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2" w:rsidRPr="00B22D31" w:rsidRDefault="00F93AED" w:rsidP="003E3205">
      <w:pPr>
        <w:pBdr>
          <w:top w:val="nil"/>
          <w:left w:val="nil"/>
          <w:bottom w:val="nil"/>
          <w:right w:val="nil"/>
          <w:between w:val="nil"/>
        </w:pBdr>
        <w:jc w:val="center"/>
        <w:rPr>
          <w:b/>
          <w:sz w:val="28"/>
          <w:szCs w:val="28"/>
          <w:highlight w:val="white"/>
        </w:rPr>
      </w:pPr>
      <w:bookmarkStart w:id="0" w:name="_GoBack"/>
      <w:bookmarkEnd w:id="0"/>
      <w:r w:rsidRPr="00B22D31">
        <w:rPr>
          <w:b/>
          <w:sz w:val="28"/>
          <w:szCs w:val="28"/>
          <w:highlight w:val="white"/>
        </w:rPr>
        <w:t>АНАЛІЗ РЕГУЛЯТОРНОГО ВПЛИВУ</w:t>
      </w:r>
    </w:p>
    <w:p w:rsidR="004A34E7" w:rsidRDefault="004A34E7" w:rsidP="004A34E7">
      <w:pPr>
        <w:pStyle w:val="rvps2"/>
        <w:shd w:val="clear" w:color="auto" w:fill="FFFFFF"/>
        <w:spacing w:before="0" w:beforeAutospacing="0" w:after="0" w:afterAutospacing="0"/>
        <w:ind w:firstLine="450"/>
        <w:jc w:val="center"/>
        <w:rPr>
          <w:b/>
          <w:noProof/>
          <w:sz w:val="28"/>
          <w:szCs w:val="28"/>
        </w:rPr>
      </w:pPr>
      <w:r w:rsidRPr="00825B5F">
        <w:rPr>
          <w:b/>
          <w:noProof/>
          <w:sz w:val="28"/>
          <w:szCs w:val="28"/>
        </w:rPr>
        <w:t>проекту Закону України «Про внесення змін до Податкового кодексу України та інших законів України щодо особливостей оподаткування у період дії воєнного стану»</w:t>
      </w:r>
    </w:p>
    <w:p w:rsidR="004A34E7" w:rsidRPr="00825B5F" w:rsidRDefault="004A34E7" w:rsidP="004A34E7">
      <w:pPr>
        <w:pStyle w:val="rvps2"/>
        <w:shd w:val="clear" w:color="auto" w:fill="FFFFFF"/>
        <w:spacing w:before="0" w:beforeAutospacing="0" w:after="0" w:afterAutospacing="0"/>
        <w:ind w:firstLine="450"/>
        <w:jc w:val="center"/>
        <w:rPr>
          <w:b/>
          <w:noProof/>
          <w:sz w:val="28"/>
          <w:szCs w:val="28"/>
        </w:rPr>
      </w:pPr>
    </w:p>
    <w:p w:rsidR="00AE0FB2" w:rsidRDefault="00F93AED" w:rsidP="00212731">
      <w:pPr>
        <w:pBdr>
          <w:top w:val="nil"/>
          <w:left w:val="nil"/>
          <w:bottom w:val="nil"/>
          <w:right w:val="nil"/>
          <w:between w:val="nil"/>
        </w:pBdr>
        <w:tabs>
          <w:tab w:val="left" w:pos="3261"/>
          <w:tab w:val="left" w:pos="3544"/>
        </w:tabs>
        <w:spacing w:line="360" w:lineRule="auto"/>
        <w:jc w:val="center"/>
        <w:rPr>
          <w:b/>
          <w:sz w:val="28"/>
          <w:szCs w:val="28"/>
          <w:highlight w:val="white"/>
        </w:rPr>
      </w:pPr>
      <w:r w:rsidRPr="00B22D31">
        <w:rPr>
          <w:b/>
          <w:sz w:val="28"/>
          <w:szCs w:val="28"/>
          <w:highlight w:val="white"/>
        </w:rPr>
        <w:t>І. Визначення проблеми</w:t>
      </w:r>
    </w:p>
    <w:p w:rsidR="004A34E7" w:rsidRPr="00332B1B" w:rsidRDefault="004A34E7" w:rsidP="004A34E7">
      <w:pPr>
        <w:pStyle w:val="af7"/>
        <w:ind w:left="0" w:firstLine="567"/>
        <w:rPr>
          <w:b/>
          <w:highlight w:val="white"/>
        </w:rPr>
      </w:pPr>
      <w:r w:rsidRPr="00332B1B">
        <w:t xml:space="preserve">Розробка </w:t>
      </w:r>
      <w:r w:rsidRPr="00332B1B">
        <w:rPr>
          <w:noProof/>
          <w:spacing w:val="-6"/>
        </w:rPr>
        <w:t xml:space="preserve">проекту Закону України </w:t>
      </w:r>
      <w:r w:rsidRPr="00332B1B">
        <w:rPr>
          <w:noProof/>
        </w:rPr>
        <w:t>«Про внесення змін до Податкового кодексу України та інших законів України щодо особливостей оподаткування у період дії воєнного стану»</w:t>
      </w:r>
      <w:r w:rsidR="00B25254" w:rsidRPr="00332B1B">
        <w:rPr>
          <w:noProof/>
        </w:rPr>
        <w:t xml:space="preserve"> </w:t>
      </w:r>
      <w:r w:rsidRPr="00332B1B">
        <w:t xml:space="preserve">обумовлена необхідністю виконання пункту 15 Меморандуму про економічну та фінансову політику від  08 грудня 2022 року, відповідно до якого Україна взяла на себе зобов’язання якнайшвидшого відновлення довоєнного стану </w:t>
      </w:r>
      <w:r w:rsidR="009D5600">
        <w:t>системи оподаткування</w:t>
      </w:r>
      <w:r w:rsidRPr="00332B1B">
        <w:t>.</w:t>
      </w:r>
    </w:p>
    <w:p w:rsidR="004A34E7" w:rsidRPr="00332B1B" w:rsidRDefault="004A34E7" w:rsidP="004A34E7">
      <w:pPr>
        <w:ind w:firstLine="567"/>
        <w:jc w:val="both"/>
        <w:rPr>
          <w:sz w:val="28"/>
          <w:szCs w:val="28"/>
        </w:rPr>
      </w:pPr>
      <w:r w:rsidRPr="00332B1B">
        <w:rPr>
          <w:sz w:val="28"/>
          <w:szCs w:val="28"/>
        </w:rPr>
        <w:t>Законопроектом шляхом внесення змін до Податкового кодексу України, Закону України «Про збір та облік єдиного внеску на загальнообов’язкове державне соціальне страхування» та Закону України «Про застосування реєстраторів розрахункових операцій у сфері торгівлі, громадського харчування та послуг» запропоновано установити, що окремі норми діють до припинення або скасування воєнного, надзвичайного стану на території України, але не пізніше 01 липня 2023 року, зокрема:</w:t>
      </w:r>
    </w:p>
    <w:p w:rsidR="004A34E7" w:rsidRPr="00332B1B" w:rsidRDefault="004A34E7" w:rsidP="004A34E7">
      <w:pPr>
        <w:pStyle w:val="af9"/>
        <w:spacing w:after="0" w:line="240" w:lineRule="auto"/>
        <w:ind w:left="0" w:firstLine="567"/>
        <w:contextualSpacing w:val="0"/>
        <w:jc w:val="both"/>
        <w:rPr>
          <w:rFonts w:ascii="Times New Roman" w:hAnsi="Times New Roman" w:cs="Times New Roman"/>
          <w:sz w:val="28"/>
          <w:szCs w:val="28"/>
        </w:rPr>
      </w:pPr>
      <w:r w:rsidRPr="00332B1B">
        <w:rPr>
          <w:rFonts w:ascii="Times New Roman" w:hAnsi="Times New Roman" w:cs="Times New Roman"/>
          <w:sz w:val="28"/>
          <w:szCs w:val="28"/>
        </w:rPr>
        <w:t>можливість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p>
    <w:p w:rsidR="004A34E7" w:rsidRPr="00332B1B" w:rsidRDefault="004A34E7" w:rsidP="004A34E7">
      <w:pPr>
        <w:pStyle w:val="af9"/>
        <w:spacing w:after="0" w:line="240" w:lineRule="auto"/>
        <w:ind w:left="0" w:firstLine="567"/>
        <w:contextualSpacing w:val="0"/>
        <w:jc w:val="both"/>
        <w:rPr>
          <w:rFonts w:ascii="Times New Roman" w:hAnsi="Times New Roman" w:cs="Times New Roman"/>
          <w:sz w:val="28"/>
          <w:szCs w:val="28"/>
        </w:rPr>
      </w:pPr>
      <w:r w:rsidRPr="00332B1B">
        <w:rPr>
          <w:rFonts w:ascii="Times New Roman" w:hAnsi="Times New Roman" w:cs="Times New Roman"/>
          <w:sz w:val="28"/>
          <w:szCs w:val="28"/>
        </w:rPr>
        <w:t xml:space="preserve">можливість для фізичних осіб – підприємців  платників єдиного </w:t>
      </w:r>
      <w:r w:rsidRPr="00332B1B">
        <w:rPr>
          <w:rFonts w:ascii="Times New Roman" w:hAnsi="Times New Roman" w:cs="Times New Roman"/>
          <w:sz w:val="28"/>
          <w:szCs w:val="28"/>
        </w:rPr>
        <w:br/>
        <w:t>податку І та ІІ груп не сплачувати єдиний податок;</w:t>
      </w:r>
    </w:p>
    <w:p w:rsidR="004A34E7" w:rsidRPr="00332B1B" w:rsidRDefault="004A34E7" w:rsidP="004A34E7">
      <w:pPr>
        <w:pStyle w:val="af9"/>
        <w:spacing w:after="0" w:line="240" w:lineRule="auto"/>
        <w:ind w:left="0" w:firstLine="567"/>
        <w:contextualSpacing w:val="0"/>
        <w:jc w:val="both"/>
        <w:rPr>
          <w:rFonts w:ascii="Times New Roman" w:hAnsi="Times New Roman" w:cs="Times New Roman"/>
          <w:sz w:val="28"/>
          <w:szCs w:val="28"/>
        </w:rPr>
      </w:pPr>
      <w:r w:rsidRPr="00332B1B">
        <w:rPr>
          <w:rFonts w:ascii="Times New Roman" w:hAnsi="Times New Roman" w:cs="Times New Roman"/>
          <w:sz w:val="28"/>
          <w:szCs w:val="28"/>
        </w:rPr>
        <w:t>зупинення проведення документальних перевірок;</w:t>
      </w:r>
    </w:p>
    <w:p w:rsidR="004A34E7" w:rsidRPr="00332B1B" w:rsidRDefault="004A34E7" w:rsidP="004A34E7">
      <w:pPr>
        <w:pStyle w:val="af9"/>
        <w:spacing w:after="0" w:line="240" w:lineRule="auto"/>
        <w:ind w:left="0" w:firstLine="567"/>
        <w:contextualSpacing w:val="0"/>
        <w:jc w:val="both"/>
        <w:rPr>
          <w:rFonts w:ascii="Times New Roman" w:hAnsi="Times New Roman" w:cs="Times New Roman"/>
          <w:sz w:val="28"/>
          <w:szCs w:val="28"/>
        </w:rPr>
      </w:pPr>
      <w:r w:rsidRPr="00332B1B">
        <w:rPr>
          <w:rFonts w:ascii="Times New Roman" w:hAnsi="Times New Roman" w:cs="Times New Roman"/>
          <w:sz w:val="28"/>
          <w:szCs w:val="28"/>
        </w:rPr>
        <w:t xml:space="preserve">зупинення перебігу строків </w:t>
      </w:r>
      <w:r w:rsidRPr="00332B1B">
        <w:rPr>
          <w:rFonts w:ascii="Times New Roman" w:hAnsi="Times New Roman" w:cs="Times New Roman"/>
          <w:sz w:val="28"/>
          <w:szCs w:val="28"/>
          <w:lang w:val="ru-RU"/>
        </w:rPr>
        <w:t>(</w:t>
      </w:r>
      <w:r w:rsidRPr="00332B1B">
        <w:rPr>
          <w:rFonts w:ascii="Times New Roman" w:hAnsi="Times New Roman" w:cs="Times New Roman"/>
          <w:sz w:val="28"/>
          <w:szCs w:val="28"/>
        </w:rPr>
        <w:t>строків подання податкової звітності, строків проведення перевірок, строків отримання податкової інформації контролюючими органами, строків проведення процедури адміністративного оскарження</w:t>
      </w:r>
      <w:r w:rsidRPr="00332B1B">
        <w:rPr>
          <w:rFonts w:ascii="Times New Roman" w:hAnsi="Times New Roman" w:cs="Times New Roman"/>
          <w:sz w:val="28"/>
          <w:szCs w:val="28"/>
          <w:lang w:val="ru-RU"/>
        </w:rPr>
        <w:t xml:space="preserve"> </w:t>
      </w:r>
      <w:r w:rsidRPr="00332B1B">
        <w:rPr>
          <w:rFonts w:ascii="Times New Roman" w:hAnsi="Times New Roman" w:cs="Times New Roman"/>
          <w:sz w:val="28"/>
          <w:szCs w:val="28"/>
        </w:rPr>
        <w:t>тощо), визначених податковим законодавством та іншим законодавством, контроль за дотриманням якого покладено на контролюючі органи;</w:t>
      </w:r>
    </w:p>
    <w:p w:rsidR="00BC1070" w:rsidRPr="00332B1B" w:rsidRDefault="00BC1070" w:rsidP="00BC1070">
      <w:pPr>
        <w:ind w:firstLine="567"/>
        <w:jc w:val="both"/>
        <w:rPr>
          <w:sz w:val="28"/>
          <w:szCs w:val="28"/>
        </w:rPr>
      </w:pPr>
      <w:r w:rsidRPr="00332B1B">
        <w:rPr>
          <w:sz w:val="28"/>
          <w:szCs w:val="28"/>
        </w:rPr>
        <w:t>незастосування штрафних санкцій за порушення податкового законодавства;</w:t>
      </w:r>
    </w:p>
    <w:p w:rsidR="00BC1070" w:rsidRPr="00332B1B" w:rsidRDefault="00BC1070" w:rsidP="00BC1070">
      <w:pPr>
        <w:ind w:firstLine="567"/>
        <w:jc w:val="both"/>
        <w:rPr>
          <w:sz w:val="28"/>
          <w:szCs w:val="28"/>
        </w:rPr>
      </w:pPr>
      <w:r w:rsidRPr="00332B1B">
        <w:rPr>
          <w:sz w:val="28"/>
          <w:szCs w:val="28"/>
        </w:rPr>
        <w:t>незастосування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p>
    <w:p w:rsidR="00BC1070" w:rsidRPr="00332B1B" w:rsidRDefault="00BC1070" w:rsidP="00BC1070">
      <w:pPr>
        <w:ind w:firstLine="567"/>
        <w:jc w:val="both"/>
        <w:rPr>
          <w:sz w:val="28"/>
          <w:szCs w:val="28"/>
        </w:rPr>
      </w:pPr>
      <w:r w:rsidRPr="00332B1B">
        <w:rPr>
          <w:sz w:val="28"/>
          <w:szCs w:val="28"/>
        </w:rPr>
        <w:t>незастосування штрафних санкцій за порушення порядку використання реєстраторів розрахункових операцій</w:t>
      </w:r>
      <w:r w:rsidRPr="00332B1B">
        <w:rPr>
          <w:sz w:val="28"/>
          <w:szCs w:val="28"/>
          <w:lang w:val="ru-RU"/>
        </w:rPr>
        <w:t>/</w:t>
      </w:r>
      <w:r w:rsidRPr="00332B1B">
        <w:rPr>
          <w:sz w:val="28"/>
          <w:szCs w:val="28"/>
        </w:rPr>
        <w:t>програмних реєстраторів розрахункових операцій.</w:t>
      </w:r>
    </w:p>
    <w:p w:rsidR="00BC1070" w:rsidRPr="00332B1B" w:rsidRDefault="00BC1070" w:rsidP="00BC1070">
      <w:pPr>
        <w:pStyle w:val="af9"/>
        <w:spacing w:after="0" w:line="240" w:lineRule="auto"/>
        <w:ind w:left="0" w:firstLine="567"/>
        <w:contextualSpacing w:val="0"/>
        <w:jc w:val="both"/>
        <w:rPr>
          <w:rFonts w:ascii="Times New Roman" w:hAnsi="Times New Roman" w:cs="Times New Roman"/>
          <w:sz w:val="28"/>
          <w:szCs w:val="28"/>
        </w:rPr>
      </w:pPr>
      <w:r w:rsidRPr="00332B1B">
        <w:rPr>
          <w:rFonts w:ascii="Times New Roman" w:hAnsi="Times New Roman" w:cs="Times New Roman"/>
          <w:sz w:val="28"/>
          <w:szCs w:val="28"/>
        </w:rPr>
        <w:t xml:space="preserve">Також законопроектом передбачено: </w:t>
      </w:r>
    </w:p>
    <w:p w:rsidR="00BC1070" w:rsidRPr="00332B1B" w:rsidRDefault="00BC1070" w:rsidP="00BC1070">
      <w:pPr>
        <w:ind w:firstLine="567"/>
        <w:jc w:val="both"/>
        <w:rPr>
          <w:bCs/>
          <w:sz w:val="28"/>
          <w:szCs w:val="28"/>
        </w:rPr>
      </w:pPr>
      <w:r w:rsidRPr="00332B1B">
        <w:rPr>
          <w:sz w:val="28"/>
          <w:szCs w:val="28"/>
        </w:rPr>
        <w:t xml:space="preserve">установити, що у разі сплати платником податків протягом 30 календарних днів з дня, наступного за днем отримання податкового повідомлення-рішення, суми податкового зобов’язання, нарахованого за результатами  документальних перевірок, які були відновлені або розпочаті з 01 липня 2023 року та завершені </w:t>
      </w:r>
      <w:r w:rsidRPr="00332B1B">
        <w:rPr>
          <w:sz w:val="28"/>
          <w:szCs w:val="28"/>
        </w:rPr>
        <w:lastRenderedPageBreak/>
        <w:t>до дня припинення або скасування воєнного, надзвичайного стану на території України, штрафні (фінансові) санкції (штрафи), нараховані на суму такого податкового зобов’язання, скасовуються, а пеня не нараховується. Водночас сума сплаченого податкового зобов’язання не підлягає оскарженню;</w:t>
      </w:r>
    </w:p>
    <w:p w:rsidR="00BC1070" w:rsidRPr="00332B1B" w:rsidRDefault="00BC1070" w:rsidP="00BC1070">
      <w:pPr>
        <w:pStyle w:val="af9"/>
        <w:spacing w:after="0" w:line="240" w:lineRule="auto"/>
        <w:ind w:left="0" w:firstLine="567"/>
        <w:contextualSpacing w:val="0"/>
        <w:jc w:val="both"/>
        <w:rPr>
          <w:rFonts w:ascii="Times New Roman" w:hAnsi="Times New Roman" w:cs="Times New Roman"/>
          <w:sz w:val="28"/>
          <w:szCs w:val="28"/>
        </w:rPr>
      </w:pPr>
      <w:r w:rsidRPr="00332B1B">
        <w:rPr>
          <w:rFonts w:ascii="Times New Roman" w:hAnsi="Times New Roman" w:cs="Times New Roman"/>
          <w:sz w:val="28"/>
          <w:szCs w:val="28"/>
        </w:rPr>
        <w:t>поновлення заборони на роботу програмних реєстраторів розрахункових операцій в режимі офлайн без виданого діапазону фіскальних номерів;</w:t>
      </w:r>
    </w:p>
    <w:p w:rsidR="00EA79EA" w:rsidRPr="00332B1B" w:rsidRDefault="00EA79EA" w:rsidP="00EA79EA">
      <w:pPr>
        <w:pBdr>
          <w:top w:val="nil"/>
          <w:left w:val="nil"/>
          <w:bottom w:val="nil"/>
          <w:right w:val="nil"/>
          <w:between w:val="nil"/>
        </w:pBdr>
        <w:ind w:firstLine="567"/>
        <w:jc w:val="both"/>
        <w:rPr>
          <w:sz w:val="28"/>
          <w:szCs w:val="28"/>
        </w:rPr>
      </w:pPr>
      <w:r w:rsidRPr="00332B1B">
        <w:rPr>
          <w:sz w:val="28"/>
          <w:szCs w:val="28"/>
        </w:rPr>
        <w:t xml:space="preserve">зміна </w:t>
      </w:r>
      <w:r w:rsidR="00BC1070" w:rsidRPr="00332B1B">
        <w:rPr>
          <w:sz w:val="28"/>
          <w:szCs w:val="28"/>
        </w:rPr>
        <w:t xml:space="preserve">дати </w:t>
      </w:r>
      <w:r w:rsidRPr="00332B1B">
        <w:rPr>
          <w:sz w:val="28"/>
          <w:szCs w:val="28"/>
        </w:rPr>
        <w:t>віднесення до податкового кредиту сум податку на додану вартість, нарахованих на послуги, які надані нерезидентом на митній території України.</w:t>
      </w:r>
    </w:p>
    <w:p w:rsidR="00AE0FB2" w:rsidRPr="00332B1B" w:rsidRDefault="00AE0FB2" w:rsidP="00EA79EA">
      <w:pPr>
        <w:pStyle w:val="af9"/>
        <w:spacing w:after="0" w:line="240" w:lineRule="auto"/>
        <w:ind w:left="0" w:firstLine="567"/>
        <w:contextualSpacing w:val="0"/>
        <w:jc w:val="both"/>
        <w:rPr>
          <w:rFonts w:ascii="Times New Roman" w:hAnsi="Times New Roman" w:cs="Times New Roman"/>
          <w:sz w:val="28"/>
          <w:szCs w:val="28"/>
        </w:rPr>
      </w:pPr>
    </w:p>
    <w:p w:rsidR="00AE0FB2" w:rsidRPr="00332B1B" w:rsidRDefault="00F93AED">
      <w:pPr>
        <w:pBdr>
          <w:top w:val="nil"/>
          <w:left w:val="nil"/>
          <w:bottom w:val="nil"/>
          <w:right w:val="nil"/>
          <w:between w:val="nil"/>
        </w:pBdr>
        <w:ind w:firstLine="566"/>
        <w:jc w:val="both"/>
        <w:rPr>
          <w:sz w:val="28"/>
          <w:szCs w:val="28"/>
          <w:highlight w:val="white"/>
        </w:rPr>
      </w:pPr>
      <w:r w:rsidRPr="00332B1B">
        <w:rPr>
          <w:sz w:val="28"/>
          <w:szCs w:val="28"/>
          <w:highlight w:val="white"/>
        </w:rPr>
        <w:t>Основні групи (підгрупи), на які проблема справляє вплив:</w:t>
      </w:r>
    </w:p>
    <w:p w:rsidR="00AE0FB2" w:rsidRPr="00332B1B" w:rsidRDefault="00AE0FB2">
      <w:pPr>
        <w:pBdr>
          <w:top w:val="nil"/>
          <w:left w:val="nil"/>
          <w:bottom w:val="nil"/>
          <w:right w:val="nil"/>
          <w:between w:val="nil"/>
        </w:pBdr>
        <w:ind w:firstLine="567"/>
        <w:jc w:val="both"/>
        <w:rPr>
          <w:sz w:val="4"/>
          <w:szCs w:val="4"/>
          <w:highlight w:val="white"/>
        </w:rPr>
      </w:pPr>
    </w:p>
    <w:tbl>
      <w:tblPr>
        <w:tblStyle w:val="1f"/>
        <w:tblW w:w="9639" w:type="dxa"/>
        <w:tblInd w:w="89"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4404"/>
        <w:gridCol w:w="2839"/>
        <w:gridCol w:w="2396"/>
      </w:tblGrid>
      <w:tr w:rsidR="00332B1B" w:rsidRPr="00332B1B">
        <w:tc>
          <w:tcPr>
            <w:tcW w:w="4404"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jc w:val="center"/>
              <w:rPr>
                <w:sz w:val="28"/>
                <w:szCs w:val="24"/>
                <w:highlight w:val="white"/>
              </w:rPr>
            </w:pPr>
            <w:r w:rsidRPr="00332B1B">
              <w:rPr>
                <w:sz w:val="28"/>
                <w:szCs w:val="24"/>
                <w:highlight w:val="white"/>
              </w:rPr>
              <w:t>Групи (підгрупи)</w:t>
            </w:r>
          </w:p>
        </w:tc>
        <w:tc>
          <w:tcPr>
            <w:tcW w:w="2839"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jc w:val="center"/>
              <w:rPr>
                <w:sz w:val="28"/>
                <w:szCs w:val="24"/>
                <w:highlight w:val="white"/>
              </w:rPr>
            </w:pPr>
            <w:r w:rsidRPr="00332B1B">
              <w:rPr>
                <w:sz w:val="28"/>
                <w:szCs w:val="24"/>
                <w:highlight w:val="white"/>
              </w:rPr>
              <w:t>Так</w:t>
            </w:r>
          </w:p>
        </w:tc>
        <w:tc>
          <w:tcPr>
            <w:tcW w:w="2396"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jc w:val="center"/>
              <w:rPr>
                <w:sz w:val="28"/>
                <w:szCs w:val="24"/>
                <w:highlight w:val="white"/>
              </w:rPr>
            </w:pPr>
            <w:r w:rsidRPr="00332B1B">
              <w:rPr>
                <w:sz w:val="28"/>
                <w:szCs w:val="24"/>
                <w:highlight w:val="white"/>
              </w:rPr>
              <w:t>Ні</w:t>
            </w:r>
          </w:p>
        </w:tc>
      </w:tr>
      <w:tr w:rsidR="00332B1B" w:rsidRPr="00332B1B">
        <w:tc>
          <w:tcPr>
            <w:tcW w:w="4404"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rPr>
                <w:sz w:val="28"/>
                <w:szCs w:val="24"/>
                <w:highlight w:val="white"/>
              </w:rPr>
            </w:pPr>
            <w:r w:rsidRPr="00332B1B">
              <w:rPr>
                <w:sz w:val="28"/>
                <w:szCs w:val="24"/>
                <w:highlight w:val="white"/>
              </w:rPr>
              <w:t>Громадяни</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332B1B" w:rsidRDefault="00526026">
            <w:pPr>
              <w:pBdr>
                <w:top w:val="nil"/>
                <w:left w:val="nil"/>
                <w:bottom w:val="nil"/>
                <w:right w:val="nil"/>
                <w:between w:val="nil"/>
              </w:pBdr>
              <w:jc w:val="center"/>
              <w:rPr>
                <w:sz w:val="28"/>
                <w:szCs w:val="24"/>
                <w:highlight w:val="white"/>
              </w:rPr>
            </w:pPr>
            <w:r w:rsidRPr="00332B1B">
              <w:rPr>
                <w:sz w:val="28"/>
                <w:szCs w:val="24"/>
                <w:highlight w:val="white"/>
              </w:rPr>
              <w:t>-</w:t>
            </w:r>
          </w:p>
        </w:tc>
        <w:tc>
          <w:tcPr>
            <w:tcW w:w="2396" w:type="dxa"/>
            <w:tcBorders>
              <w:top w:val="single" w:sz="6" w:space="0" w:color="000000"/>
              <w:left w:val="single" w:sz="6" w:space="0" w:color="000000"/>
              <w:bottom w:val="single" w:sz="6" w:space="0" w:color="000000"/>
              <w:right w:val="single" w:sz="6" w:space="0" w:color="000000"/>
            </w:tcBorders>
          </w:tcPr>
          <w:p w:rsidR="00AE0FB2" w:rsidRPr="00332B1B" w:rsidRDefault="00526026">
            <w:pPr>
              <w:jc w:val="center"/>
              <w:rPr>
                <w:sz w:val="28"/>
                <w:szCs w:val="24"/>
                <w:highlight w:val="white"/>
              </w:rPr>
            </w:pPr>
            <w:r w:rsidRPr="00332B1B">
              <w:rPr>
                <w:sz w:val="28"/>
                <w:szCs w:val="24"/>
                <w:highlight w:val="white"/>
              </w:rPr>
              <w:t>+</w:t>
            </w:r>
          </w:p>
        </w:tc>
      </w:tr>
      <w:tr w:rsidR="00332B1B" w:rsidRPr="00332B1B">
        <w:tc>
          <w:tcPr>
            <w:tcW w:w="4404"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rPr>
                <w:sz w:val="28"/>
                <w:szCs w:val="24"/>
                <w:highlight w:val="white"/>
              </w:rPr>
            </w:pPr>
            <w:r w:rsidRPr="00332B1B">
              <w:rPr>
                <w:sz w:val="28"/>
                <w:szCs w:val="24"/>
                <w:highlight w:val="white"/>
              </w:rPr>
              <w:t>Держава</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332B1B" w:rsidRDefault="00526026">
            <w:pPr>
              <w:pBdr>
                <w:top w:val="nil"/>
                <w:left w:val="nil"/>
                <w:bottom w:val="nil"/>
                <w:right w:val="nil"/>
                <w:between w:val="nil"/>
              </w:pBdr>
              <w:jc w:val="center"/>
              <w:rPr>
                <w:sz w:val="28"/>
                <w:szCs w:val="24"/>
                <w:highlight w:val="white"/>
              </w:rPr>
            </w:pPr>
            <w:r w:rsidRPr="00332B1B">
              <w:rPr>
                <w:sz w:val="28"/>
                <w:szCs w:val="24"/>
                <w:highlight w:val="white"/>
              </w:rPr>
              <w:t>+</w:t>
            </w:r>
          </w:p>
        </w:tc>
        <w:tc>
          <w:tcPr>
            <w:tcW w:w="2396" w:type="dxa"/>
            <w:tcBorders>
              <w:top w:val="single" w:sz="6" w:space="0" w:color="000000"/>
              <w:left w:val="single" w:sz="6" w:space="0" w:color="000000"/>
              <w:bottom w:val="single" w:sz="6" w:space="0" w:color="000000"/>
              <w:right w:val="single" w:sz="6" w:space="0" w:color="000000"/>
            </w:tcBorders>
          </w:tcPr>
          <w:p w:rsidR="00AE0FB2" w:rsidRPr="00332B1B" w:rsidRDefault="00526026">
            <w:pPr>
              <w:pBdr>
                <w:top w:val="nil"/>
                <w:left w:val="nil"/>
                <w:bottom w:val="nil"/>
                <w:right w:val="nil"/>
                <w:between w:val="nil"/>
              </w:pBdr>
              <w:jc w:val="center"/>
              <w:rPr>
                <w:sz w:val="28"/>
                <w:szCs w:val="24"/>
                <w:highlight w:val="white"/>
              </w:rPr>
            </w:pPr>
            <w:r w:rsidRPr="00332B1B">
              <w:rPr>
                <w:sz w:val="28"/>
                <w:szCs w:val="24"/>
                <w:highlight w:val="white"/>
              </w:rPr>
              <w:t>-</w:t>
            </w:r>
          </w:p>
        </w:tc>
      </w:tr>
      <w:tr w:rsidR="00332B1B" w:rsidRPr="00332B1B">
        <w:tc>
          <w:tcPr>
            <w:tcW w:w="4404"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rPr>
                <w:sz w:val="28"/>
                <w:szCs w:val="24"/>
                <w:highlight w:val="white"/>
              </w:rPr>
            </w:pPr>
            <w:r w:rsidRPr="00332B1B">
              <w:rPr>
                <w:sz w:val="28"/>
                <w:szCs w:val="24"/>
                <w:highlight w:val="white"/>
              </w:rPr>
              <w:t>Суб’єкти господарювання,</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332B1B" w:rsidRDefault="00526026">
            <w:pPr>
              <w:pBdr>
                <w:top w:val="nil"/>
                <w:left w:val="nil"/>
                <w:bottom w:val="nil"/>
                <w:right w:val="nil"/>
                <w:between w:val="nil"/>
              </w:pBdr>
              <w:jc w:val="center"/>
              <w:rPr>
                <w:sz w:val="28"/>
                <w:szCs w:val="24"/>
                <w:highlight w:val="white"/>
              </w:rPr>
            </w:pPr>
            <w:r w:rsidRPr="00332B1B">
              <w:rPr>
                <w:sz w:val="28"/>
                <w:szCs w:val="24"/>
                <w:highlight w:val="white"/>
              </w:rPr>
              <w:t>+</w:t>
            </w:r>
          </w:p>
        </w:tc>
        <w:tc>
          <w:tcPr>
            <w:tcW w:w="2396" w:type="dxa"/>
            <w:tcBorders>
              <w:top w:val="single" w:sz="6" w:space="0" w:color="000000"/>
              <w:left w:val="single" w:sz="6" w:space="0" w:color="000000"/>
              <w:bottom w:val="single" w:sz="6" w:space="0" w:color="000000"/>
              <w:right w:val="single" w:sz="6" w:space="0" w:color="000000"/>
            </w:tcBorders>
          </w:tcPr>
          <w:p w:rsidR="00AE0FB2" w:rsidRPr="00332B1B" w:rsidRDefault="00526026">
            <w:pPr>
              <w:pBdr>
                <w:top w:val="nil"/>
                <w:left w:val="nil"/>
                <w:bottom w:val="nil"/>
                <w:right w:val="nil"/>
                <w:between w:val="nil"/>
              </w:pBdr>
              <w:jc w:val="center"/>
              <w:rPr>
                <w:sz w:val="28"/>
                <w:szCs w:val="24"/>
                <w:highlight w:val="white"/>
              </w:rPr>
            </w:pPr>
            <w:r w:rsidRPr="00332B1B">
              <w:rPr>
                <w:sz w:val="28"/>
                <w:szCs w:val="24"/>
                <w:highlight w:val="white"/>
              </w:rPr>
              <w:t>-</w:t>
            </w:r>
          </w:p>
        </w:tc>
      </w:tr>
      <w:tr w:rsidR="00AE0FB2" w:rsidRPr="00332B1B">
        <w:tc>
          <w:tcPr>
            <w:tcW w:w="4404"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rPr>
                <w:sz w:val="28"/>
                <w:szCs w:val="24"/>
                <w:highlight w:val="white"/>
              </w:rPr>
            </w:pPr>
            <w:r w:rsidRPr="00332B1B">
              <w:rPr>
                <w:sz w:val="28"/>
                <w:szCs w:val="24"/>
                <w:highlight w:val="white"/>
              </w:rPr>
              <w:t>у тому числі суб’єкти малого підприємництва</w:t>
            </w:r>
          </w:p>
        </w:tc>
        <w:tc>
          <w:tcPr>
            <w:tcW w:w="2839" w:type="dxa"/>
            <w:tcBorders>
              <w:top w:val="single" w:sz="6" w:space="0" w:color="000000"/>
              <w:left w:val="single" w:sz="6" w:space="0" w:color="000000"/>
              <w:bottom w:val="single" w:sz="6" w:space="0" w:color="000000"/>
              <w:right w:val="single" w:sz="6" w:space="0" w:color="000000"/>
            </w:tcBorders>
            <w:vAlign w:val="center"/>
          </w:tcPr>
          <w:p w:rsidR="00AE0FB2" w:rsidRPr="00332B1B" w:rsidRDefault="00526026">
            <w:pPr>
              <w:pBdr>
                <w:top w:val="nil"/>
                <w:left w:val="nil"/>
                <w:bottom w:val="nil"/>
                <w:right w:val="nil"/>
                <w:between w:val="nil"/>
              </w:pBdr>
              <w:jc w:val="center"/>
              <w:rPr>
                <w:sz w:val="28"/>
                <w:szCs w:val="24"/>
                <w:highlight w:val="white"/>
              </w:rPr>
            </w:pPr>
            <w:r w:rsidRPr="00332B1B">
              <w:rPr>
                <w:sz w:val="28"/>
                <w:szCs w:val="24"/>
                <w:highlight w:val="white"/>
              </w:rPr>
              <w:t>+</w:t>
            </w:r>
          </w:p>
        </w:tc>
        <w:tc>
          <w:tcPr>
            <w:tcW w:w="2396" w:type="dxa"/>
            <w:tcBorders>
              <w:top w:val="single" w:sz="6" w:space="0" w:color="000000"/>
              <w:left w:val="single" w:sz="6" w:space="0" w:color="000000"/>
              <w:bottom w:val="single" w:sz="6" w:space="0" w:color="000000"/>
              <w:right w:val="single" w:sz="6" w:space="0" w:color="000000"/>
            </w:tcBorders>
            <w:vAlign w:val="center"/>
          </w:tcPr>
          <w:p w:rsidR="00AE0FB2" w:rsidRPr="00332B1B" w:rsidRDefault="00526026">
            <w:pPr>
              <w:pBdr>
                <w:top w:val="nil"/>
                <w:left w:val="nil"/>
                <w:bottom w:val="nil"/>
                <w:right w:val="nil"/>
                <w:between w:val="nil"/>
              </w:pBdr>
              <w:jc w:val="center"/>
              <w:rPr>
                <w:sz w:val="28"/>
                <w:szCs w:val="24"/>
                <w:highlight w:val="white"/>
              </w:rPr>
            </w:pPr>
            <w:r w:rsidRPr="00332B1B">
              <w:rPr>
                <w:sz w:val="28"/>
                <w:szCs w:val="24"/>
                <w:highlight w:val="white"/>
              </w:rPr>
              <w:t>-</w:t>
            </w:r>
          </w:p>
        </w:tc>
      </w:tr>
    </w:tbl>
    <w:p w:rsidR="00AE0FB2" w:rsidRPr="00332B1B" w:rsidRDefault="00AE0FB2">
      <w:pPr>
        <w:pBdr>
          <w:top w:val="nil"/>
          <w:left w:val="nil"/>
          <w:bottom w:val="nil"/>
          <w:right w:val="nil"/>
          <w:between w:val="nil"/>
        </w:pBdr>
        <w:jc w:val="both"/>
        <w:rPr>
          <w:sz w:val="6"/>
          <w:szCs w:val="6"/>
          <w:highlight w:val="white"/>
        </w:rPr>
      </w:pPr>
    </w:p>
    <w:p w:rsidR="00AE0FB2" w:rsidRPr="00332B1B" w:rsidRDefault="00F93AED">
      <w:pPr>
        <w:ind w:firstLine="567"/>
        <w:jc w:val="both"/>
        <w:rPr>
          <w:sz w:val="28"/>
          <w:szCs w:val="28"/>
        </w:rPr>
      </w:pPr>
      <w:r w:rsidRPr="00332B1B">
        <w:rPr>
          <w:sz w:val="28"/>
          <w:szCs w:val="28"/>
        </w:rPr>
        <w:t xml:space="preserve">Урегулювання </w:t>
      </w:r>
      <w:r w:rsidR="00A13932" w:rsidRPr="00332B1B">
        <w:rPr>
          <w:sz w:val="28"/>
          <w:szCs w:val="28"/>
        </w:rPr>
        <w:t xml:space="preserve">питань щодо якнайшвидшого відновлення довоєнного стану </w:t>
      </w:r>
      <w:r w:rsidR="00695291">
        <w:rPr>
          <w:sz w:val="28"/>
          <w:szCs w:val="28"/>
        </w:rPr>
        <w:t xml:space="preserve">системи оподаткування </w:t>
      </w:r>
      <w:r w:rsidRPr="00332B1B">
        <w:rPr>
          <w:sz w:val="28"/>
          <w:szCs w:val="28"/>
        </w:rPr>
        <w:t>не може бути здійснено за допомогою</w:t>
      </w:r>
      <w:r w:rsidR="00526026" w:rsidRPr="00332B1B">
        <w:rPr>
          <w:sz w:val="28"/>
          <w:szCs w:val="28"/>
        </w:rPr>
        <w:t xml:space="preserve"> </w:t>
      </w:r>
      <w:r w:rsidRPr="00332B1B">
        <w:rPr>
          <w:sz w:val="28"/>
          <w:szCs w:val="28"/>
        </w:rPr>
        <w:t>ринкових механізмів, оскільки такі питання регулюються виключно нормативно-правовими актами</w:t>
      </w:r>
      <w:r w:rsidR="00526026" w:rsidRPr="00332B1B">
        <w:rPr>
          <w:sz w:val="28"/>
          <w:szCs w:val="28"/>
        </w:rPr>
        <w:t>.</w:t>
      </w:r>
    </w:p>
    <w:p w:rsidR="00A13932" w:rsidRPr="00332B1B" w:rsidRDefault="00526026" w:rsidP="00AB4C05">
      <w:pPr>
        <w:pStyle w:val="rvps2"/>
        <w:shd w:val="clear" w:color="auto" w:fill="FFFFFF"/>
        <w:spacing w:before="0" w:beforeAutospacing="0" w:after="0" w:afterAutospacing="0"/>
        <w:ind w:firstLine="567"/>
        <w:jc w:val="both"/>
        <w:rPr>
          <w:sz w:val="28"/>
          <w:szCs w:val="28"/>
        </w:rPr>
      </w:pPr>
      <w:r w:rsidRPr="00332B1B">
        <w:rPr>
          <w:sz w:val="28"/>
          <w:szCs w:val="28"/>
        </w:rPr>
        <w:t xml:space="preserve">Урегулювання зазначеного питання здійснюється шляхом внесення змін до </w:t>
      </w:r>
      <w:r w:rsidR="00F93AED" w:rsidRPr="00332B1B">
        <w:rPr>
          <w:sz w:val="28"/>
          <w:szCs w:val="28"/>
        </w:rPr>
        <w:t>чинних регуляторних актів,</w:t>
      </w:r>
      <w:r w:rsidRPr="00332B1B">
        <w:rPr>
          <w:sz w:val="28"/>
          <w:szCs w:val="28"/>
        </w:rPr>
        <w:t xml:space="preserve"> шляхом обмеження дії тимчасових та відновлення дії постійних норм таких регуляторних актів. </w:t>
      </w:r>
      <w:r w:rsidR="00F93AED" w:rsidRPr="00332B1B">
        <w:rPr>
          <w:sz w:val="28"/>
          <w:szCs w:val="28"/>
        </w:rPr>
        <w:t xml:space="preserve"> </w:t>
      </w:r>
    </w:p>
    <w:p w:rsidR="00AB4C05" w:rsidRPr="00332B1B" w:rsidRDefault="00AB4C05" w:rsidP="00AB4C05">
      <w:pPr>
        <w:pStyle w:val="rvps2"/>
        <w:shd w:val="clear" w:color="auto" w:fill="FFFFFF"/>
        <w:spacing w:before="0" w:beforeAutospacing="0" w:after="0" w:afterAutospacing="0"/>
        <w:ind w:firstLine="567"/>
        <w:jc w:val="both"/>
        <w:rPr>
          <w:sz w:val="28"/>
          <w:szCs w:val="28"/>
        </w:rPr>
      </w:pPr>
    </w:p>
    <w:p w:rsidR="00AE0FB2" w:rsidRPr="00332B1B" w:rsidRDefault="00F93AED" w:rsidP="00A13932">
      <w:pPr>
        <w:pBdr>
          <w:top w:val="nil"/>
          <w:left w:val="nil"/>
          <w:bottom w:val="nil"/>
          <w:right w:val="nil"/>
          <w:between w:val="nil"/>
        </w:pBdr>
        <w:ind w:firstLine="567"/>
        <w:jc w:val="both"/>
        <w:rPr>
          <w:b/>
          <w:sz w:val="28"/>
          <w:szCs w:val="28"/>
          <w:highlight w:val="white"/>
        </w:rPr>
      </w:pPr>
      <w:r w:rsidRPr="00332B1B">
        <w:rPr>
          <w:b/>
          <w:sz w:val="28"/>
          <w:szCs w:val="28"/>
          <w:highlight w:val="white"/>
        </w:rPr>
        <w:t>II. Цілі державного регулювання</w:t>
      </w:r>
    </w:p>
    <w:p w:rsidR="00AE0FB2" w:rsidRPr="00332B1B" w:rsidRDefault="00AE0FB2">
      <w:pPr>
        <w:pBdr>
          <w:top w:val="nil"/>
          <w:left w:val="nil"/>
          <w:bottom w:val="nil"/>
          <w:right w:val="nil"/>
          <w:between w:val="nil"/>
        </w:pBdr>
        <w:ind w:firstLine="720"/>
        <w:jc w:val="both"/>
        <w:rPr>
          <w:sz w:val="6"/>
          <w:szCs w:val="6"/>
          <w:highlight w:val="white"/>
        </w:rPr>
      </w:pPr>
    </w:p>
    <w:p w:rsidR="004A3688" w:rsidRPr="00332B1B" w:rsidRDefault="00F93AED" w:rsidP="0051200F">
      <w:pPr>
        <w:pStyle w:val="rvps2"/>
        <w:shd w:val="clear" w:color="auto" w:fill="FFFFFF"/>
        <w:spacing w:before="0" w:beforeAutospacing="0" w:after="0" w:afterAutospacing="0"/>
        <w:ind w:firstLine="567"/>
        <w:jc w:val="both"/>
        <w:rPr>
          <w:noProof/>
          <w:sz w:val="28"/>
          <w:szCs w:val="28"/>
        </w:rPr>
      </w:pPr>
      <w:r w:rsidRPr="00332B1B">
        <w:rPr>
          <w:sz w:val="28"/>
          <w:szCs w:val="28"/>
          <w:highlight w:val="white"/>
        </w:rPr>
        <w:t xml:space="preserve">Ціллю </w:t>
      </w:r>
      <w:r w:rsidRPr="00332B1B">
        <w:rPr>
          <w:spacing w:val="1"/>
          <w:sz w:val="28"/>
          <w:szCs w:val="28"/>
          <w:lang w:eastAsia="ru-RU"/>
        </w:rPr>
        <w:t xml:space="preserve">державного регулювання </w:t>
      </w:r>
      <w:r w:rsidR="004A3688" w:rsidRPr="00332B1B">
        <w:rPr>
          <w:spacing w:val="1"/>
          <w:sz w:val="28"/>
          <w:szCs w:val="28"/>
          <w:lang w:eastAsia="ru-RU"/>
        </w:rPr>
        <w:t xml:space="preserve">є відновлення довоєнного стану </w:t>
      </w:r>
      <w:r w:rsidR="0038107F">
        <w:rPr>
          <w:spacing w:val="1"/>
          <w:sz w:val="28"/>
          <w:szCs w:val="28"/>
          <w:lang w:eastAsia="ru-RU"/>
        </w:rPr>
        <w:t>системи оподаткування</w:t>
      </w:r>
      <w:r w:rsidR="004A3688" w:rsidRPr="00332B1B">
        <w:rPr>
          <w:spacing w:val="1"/>
          <w:sz w:val="28"/>
          <w:szCs w:val="28"/>
          <w:lang w:eastAsia="ru-RU"/>
        </w:rPr>
        <w:t xml:space="preserve"> відповідно до зобов’язань в рамках Меморандуму про економічну та фінансову політику від 08 грудня 2022 року.</w:t>
      </w:r>
    </w:p>
    <w:p w:rsidR="00AB4C05" w:rsidRPr="00332B1B" w:rsidRDefault="0051200F" w:rsidP="00AB4C05">
      <w:pPr>
        <w:pBdr>
          <w:top w:val="nil"/>
          <w:left w:val="nil"/>
          <w:bottom w:val="nil"/>
          <w:right w:val="nil"/>
          <w:between w:val="nil"/>
        </w:pBdr>
        <w:ind w:firstLine="567"/>
        <w:jc w:val="both"/>
        <w:rPr>
          <w:sz w:val="28"/>
          <w:szCs w:val="28"/>
        </w:rPr>
      </w:pPr>
      <w:r w:rsidRPr="00332B1B">
        <w:rPr>
          <w:sz w:val="28"/>
          <w:szCs w:val="28"/>
        </w:rPr>
        <w:t>Зазначена мета досягається шляхом внесення змін до Податкового кодексу України, Закону України «Про збір та облік єдиного внеску на загальнообов’язкове державне соціальне страхування» та Закону України «Про застосування реєстраторів розрахункових операцій у сфері торгівлі, громадського харчування та послуг».</w:t>
      </w:r>
    </w:p>
    <w:p w:rsidR="0051200F" w:rsidRPr="00332B1B" w:rsidRDefault="0051200F" w:rsidP="004A3688">
      <w:pPr>
        <w:pBdr>
          <w:top w:val="nil"/>
          <w:left w:val="nil"/>
          <w:bottom w:val="nil"/>
          <w:right w:val="nil"/>
          <w:between w:val="nil"/>
        </w:pBdr>
        <w:ind w:firstLine="567"/>
        <w:jc w:val="both"/>
        <w:rPr>
          <w:spacing w:val="1"/>
          <w:sz w:val="28"/>
          <w:szCs w:val="28"/>
          <w:lang w:eastAsia="ru-RU"/>
        </w:rPr>
      </w:pPr>
    </w:p>
    <w:p w:rsidR="00AB4C05" w:rsidRPr="00332B1B" w:rsidRDefault="00AB4C05" w:rsidP="00AB4C05">
      <w:pPr>
        <w:widowControl w:val="0"/>
        <w:spacing w:before="120" w:after="120"/>
        <w:ind w:left="23" w:right="23" w:firstLine="459"/>
        <w:jc w:val="both"/>
        <w:rPr>
          <w:b/>
          <w:bCs/>
          <w:sz w:val="28"/>
          <w:szCs w:val="28"/>
          <w:shd w:val="clear" w:color="auto" w:fill="FFFFFF"/>
        </w:rPr>
      </w:pPr>
      <w:r w:rsidRPr="00332B1B">
        <w:rPr>
          <w:b/>
          <w:bCs/>
          <w:sz w:val="28"/>
          <w:szCs w:val="28"/>
          <w:shd w:val="clear" w:color="auto" w:fill="FFFFFF"/>
        </w:rPr>
        <w:t>ІІІ. Визначення та оцінка альтернативних способів досягнення цілей</w:t>
      </w:r>
    </w:p>
    <w:p w:rsidR="00725A0C" w:rsidRPr="00332B1B" w:rsidRDefault="00725A0C" w:rsidP="00725A0C">
      <w:pPr>
        <w:widowControl w:val="0"/>
        <w:spacing w:before="120"/>
        <w:ind w:firstLine="567"/>
        <w:jc w:val="both"/>
        <w:rPr>
          <w:sz w:val="28"/>
          <w:szCs w:val="28"/>
          <w:highlight w:val="white"/>
        </w:rPr>
      </w:pPr>
      <w:r w:rsidRPr="00332B1B">
        <w:rPr>
          <w:sz w:val="28"/>
          <w:szCs w:val="28"/>
          <w:highlight w:val="white"/>
        </w:rPr>
        <w:t>Необхідність у внесенні змін до вищезазначених законодавчих актів обумовлена виконанням пункту 15 Меморандуму про економічну та фінансову політику від 08 грудня 2022 року.</w:t>
      </w:r>
    </w:p>
    <w:p w:rsidR="00B35413" w:rsidRPr="00332B1B" w:rsidRDefault="00B35413" w:rsidP="00725A0C">
      <w:pPr>
        <w:widowControl w:val="0"/>
        <w:spacing w:before="120"/>
        <w:ind w:firstLine="567"/>
        <w:jc w:val="both"/>
        <w:rPr>
          <w:sz w:val="28"/>
          <w:szCs w:val="28"/>
          <w:highlight w:val="white"/>
        </w:rPr>
      </w:pPr>
    </w:p>
    <w:p w:rsidR="00B35413" w:rsidRPr="00332B1B" w:rsidRDefault="00B35413" w:rsidP="00725A0C">
      <w:pPr>
        <w:widowControl w:val="0"/>
        <w:spacing w:before="120"/>
        <w:ind w:firstLine="567"/>
        <w:jc w:val="both"/>
        <w:rPr>
          <w:sz w:val="28"/>
          <w:szCs w:val="28"/>
          <w:highlight w:val="white"/>
        </w:rPr>
      </w:pPr>
    </w:p>
    <w:p w:rsidR="00B35413" w:rsidRPr="00332B1B" w:rsidRDefault="00B35413" w:rsidP="00725A0C">
      <w:pPr>
        <w:widowControl w:val="0"/>
        <w:spacing w:before="120"/>
        <w:ind w:firstLine="567"/>
        <w:jc w:val="both"/>
        <w:rPr>
          <w:sz w:val="28"/>
          <w:szCs w:val="28"/>
          <w:highlight w:val="white"/>
        </w:rPr>
      </w:pPr>
    </w:p>
    <w:p w:rsidR="00AB4C05" w:rsidRPr="00332B1B" w:rsidRDefault="00AB4C05" w:rsidP="00AB4C05">
      <w:pPr>
        <w:numPr>
          <w:ilvl w:val="0"/>
          <w:numId w:val="3"/>
        </w:numPr>
        <w:tabs>
          <w:tab w:val="left" w:pos="851"/>
        </w:tabs>
        <w:ind w:left="0" w:firstLine="567"/>
        <w:jc w:val="both"/>
        <w:rPr>
          <w:sz w:val="28"/>
          <w:szCs w:val="28"/>
        </w:rPr>
      </w:pPr>
      <w:r w:rsidRPr="00332B1B">
        <w:rPr>
          <w:sz w:val="28"/>
          <w:szCs w:val="28"/>
        </w:rPr>
        <w:t>Альтернативні способи досягнення цілей державного регулювання:</w:t>
      </w:r>
    </w:p>
    <w:p w:rsidR="00AB4C05" w:rsidRPr="00332B1B" w:rsidRDefault="00AB4C05" w:rsidP="00AB4C05">
      <w:pPr>
        <w:tabs>
          <w:tab w:val="left" w:pos="851"/>
        </w:tabs>
        <w:ind w:left="567"/>
        <w:jc w:val="both"/>
        <w:rPr>
          <w:sz w:val="12"/>
          <w:szCs w:val="12"/>
        </w:rPr>
      </w:pPr>
    </w:p>
    <w:tbl>
      <w:tblPr>
        <w:tblW w:w="9639" w:type="dxa"/>
        <w:tblInd w:w="-5" w:type="dxa"/>
        <w:tblLook w:val="00A0" w:firstRow="1" w:lastRow="0" w:firstColumn="1" w:lastColumn="0" w:noHBand="0" w:noVBand="0"/>
      </w:tblPr>
      <w:tblGrid>
        <w:gridCol w:w="3151"/>
        <w:gridCol w:w="6488"/>
      </w:tblGrid>
      <w:tr w:rsidR="00332B1B" w:rsidRPr="00332B1B" w:rsidTr="005A5603">
        <w:tc>
          <w:tcPr>
            <w:tcW w:w="3151"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center"/>
              <w:rPr>
                <w:b/>
                <w:bCs/>
                <w:sz w:val="28"/>
                <w:szCs w:val="28"/>
              </w:rPr>
            </w:pPr>
            <w:r w:rsidRPr="00332B1B">
              <w:rPr>
                <w:b/>
                <w:bCs/>
                <w:sz w:val="28"/>
                <w:szCs w:val="28"/>
              </w:rPr>
              <w:t>Вид альтернативи</w:t>
            </w:r>
          </w:p>
        </w:tc>
        <w:tc>
          <w:tcPr>
            <w:tcW w:w="648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center"/>
              <w:rPr>
                <w:b/>
                <w:bCs/>
                <w:sz w:val="28"/>
                <w:szCs w:val="28"/>
              </w:rPr>
            </w:pPr>
            <w:r w:rsidRPr="00332B1B">
              <w:rPr>
                <w:b/>
                <w:bCs/>
                <w:sz w:val="28"/>
                <w:szCs w:val="28"/>
              </w:rPr>
              <w:t>Опис альтернативи</w:t>
            </w:r>
          </w:p>
        </w:tc>
      </w:tr>
      <w:tr w:rsidR="00332B1B" w:rsidRPr="00332B1B" w:rsidTr="005A5603">
        <w:tc>
          <w:tcPr>
            <w:tcW w:w="3151"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Альтернатива 1</w:t>
            </w:r>
          </w:p>
        </w:tc>
        <w:tc>
          <w:tcPr>
            <w:tcW w:w="648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Залишення існуючої ситуації без змін</w:t>
            </w:r>
          </w:p>
        </w:tc>
      </w:tr>
      <w:tr w:rsidR="00332B1B" w:rsidRPr="00332B1B" w:rsidTr="005A5603">
        <w:tc>
          <w:tcPr>
            <w:tcW w:w="3151"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Альтернатива 2</w:t>
            </w:r>
          </w:p>
        </w:tc>
        <w:tc>
          <w:tcPr>
            <w:tcW w:w="648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 xml:space="preserve">Внесення змін до чинних нормативно-правових актів </w:t>
            </w:r>
          </w:p>
        </w:tc>
      </w:tr>
    </w:tbl>
    <w:p w:rsidR="00AB4C05" w:rsidRPr="00332B1B" w:rsidRDefault="00AB4C05" w:rsidP="00AB4C05">
      <w:pPr>
        <w:spacing w:before="120"/>
        <w:ind w:firstLine="567"/>
        <w:jc w:val="both"/>
        <w:rPr>
          <w:sz w:val="28"/>
          <w:szCs w:val="28"/>
        </w:rPr>
      </w:pPr>
      <w:r w:rsidRPr="00332B1B">
        <w:rPr>
          <w:sz w:val="28"/>
          <w:szCs w:val="28"/>
        </w:rPr>
        <w:t xml:space="preserve">Інші прийнятні альтернативні способи досягнення цілей державного регулювання відсутні. </w:t>
      </w:r>
    </w:p>
    <w:p w:rsidR="00B35413" w:rsidRPr="00332B1B" w:rsidRDefault="00AB4C05" w:rsidP="00BD450D">
      <w:pPr>
        <w:spacing w:before="120"/>
        <w:ind w:firstLine="567"/>
        <w:jc w:val="both"/>
        <w:rPr>
          <w:sz w:val="28"/>
          <w:szCs w:val="28"/>
        </w:rPr>
      </w:pPr>
      <w:r w:rsidRPr="00332B1B">
        <w:rPr>
          <w:sz w:val="28"/>
          <w:szCs w:val="28"/>
        </w:rPr>
        <w:t>2. Оцінка вибраних альтернативних способів досягнення цілей</w:t>
      </w:r>
    </w:p>
    <w:p w:rsidR="002326AF" w:rsidRPr="00332B1B" w:rsidRDefault="002326AF" w:rsidP="00AB4C05">
      <w:pPr>
        <w:spacing w:after="120"/>
        <w:ind w:firstLine="567"/>
        <w:jc w:val="both"/>
        <w:rPr>
          <w:b/>
          <w:bCs/>
          <w:i/>
          <w:sz w:val="28"/>
          <w:szCs w:val="28"/>
          <w:shd w:val="clear" w:color="auto" w:fill="FFFFFF"/>
        </w:rPr>
      </w:pPr>
    </w:p>
    <w:p w:rsidR="00AB4C05" w:rsidRPr="00332B1B" w:rsidRDefault="00AB4C05" w:rsidP="00AB4C05">
      <w:pPr>
        <w:spacing w:after="120"/>
        <w:ind w:firstLine="567"/>
        <w:jc w:val="both"/>
        <w:rPr>
          <w:sz w:val="28"/>
          <w:szCs w:val="28"/>
        </w:rPr>
      </w:pPr>
      <w:r w:rsidRPr="00332B1B">
        <w:rPr>
          <w:sz w:val="28"/>
          <w:szCs w:val="28"/>
          <w:lang w:val="ru-RU"/>
        </w:rPr>
        <w:t xml:space="preserve">2.1. </w:t>
      </w:r>
      <w:r w:rsidRPr="00332B1B">
        <w:rPr>
          <w:sz w:val="28"/>
          <w:szCs w:val="28"/>
        </w:rPr>
        <w:t>Оцінка впливу на сферу інтересів держави</w:t>
      </w:r>
    </w:p>
    <w:p w:rsidR="002326AF" w:rsidRPr="00332B1B" w:rsidRDefault="002326AF" w:rsidP="002326AF">
      <w:pPr>
        <w:widowControl w:val="0"/>
        <w:spacing w:before="120" w:after="120"/>
        <w:ind w:left="23" w:right="23" w:firstLine="459"/>
        <w:jc w:val="both"/>
        <w:rPr>
          <w:b/>
          <w:bCs/>
          <w:i/>
          <w:sz w:val="28"/>
          <w:szCs w:val="28"/>
          <w:shd w:val="clear" w:color="auto" w:fill="FFFFFF"/>
        </w:rPr>
      </w:pPr>
      <w:r w:rsidRPr="00332B1B">
        <w:rPr>
          <w:b/>
          <w:bCs/>
          <w:i/>
          <w:sz w:val="28"/>
          <w:szCs w:val="28"/>
          <w:shd w:val="clear" w:color="auto" w:fill="FFFFFF"/>
        </w:rPr>
        <w:t>В частині змін оподаткування податком на додану вартість</w:t>
      </w:r>
    </w:p>
    <w:tbl>
      <w:tblPr>
        <w:tblW w:w="9639" w:type="dxa"/>
        <w:tblInd w:w="-5" w:type="dxa"/>
        <w:tblLook w:val="04A0" w:firstRow="1" w:lastRow="0" w:firstColumn="1" w:lastColumn="0" w:noHBand="0" w:noVBand="1"/>
      </w:tblPr>
      <w:tblGrid>
        <w:gridCol w:w="2127"/>
        <w:gridCol w:w="3214"/>
        <w:gridCol w:w="4298"/>
      </w:tblGrid>
      <w:tr w:rsidR="00332B1B" w:rsidRPr="00332B1B" w:rsidTr="005A5603">
        <w:trPr>
          <w:trHeight w:val="519"/>
        </w:trPr>
        <w:tc>
          <w:tcPr>
            <w:tcW w:w="2127"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center"/>
              <w:rPr>
                <w:b/>
                <w:bCs/>
                <w:sz w:val="28"/>
                <w:szCs w:val="28"/>
              </w:rPr>
            </w:pPr>
            <w:r w:rsidRPr="00332B1B">
              <w:rPr>
                <w:b/>
                <w:bCs/>
                <w:sz w:val="28"/>
                <w:szCs w:val="28"/>
              </w:rPr>
              <w:t>Вид альтернативи</w:t>
            </w:r>
          </w:p>
        </w:tc>
        <w:tc>
          <w:tcPr>
            <w:tcW w:w="3214"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center"/>
              <w:rPr>
                <w:b/>
                <w:bCs/>
                <w:sz w:val="28"/>
                <w:szCs w:val="28"/>
              </w:rPr>
            </w:pPr>
            <w:r w:rsidRPr="00332B1B">
              <w:rPr>
                <w:b/>
                <w:bCs/>
                <w:sz w:val="28"/>
                <w:szCs w:val="28"/>
              </w:rPr>
              <w:t>Вигоди</w:t>
            </w:r>
          </w:p>
        </w:tc>
        <w:tc>
          <w:tcPr>
            <w:tcW w:w="429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center"/>
              <w:rPr>
                <w:b/>
                <w:bCs/>
                <w:sz w:val="28"/>
                <w:szCs w:val="28"/>
              </w:rPr>
            </w:pPr>
            <w:r w:rsidRPr="00332B1B">
              <w:rPr>
                <w:b/>
                <w:bCs/>
                <w:sz w:val="28"/>
                <w:szCs w:val="28"/>
              </w:rPr>
              <w:t>Витрати</w:t>
            </w:r>
          </w:p>
        </w:tc>
      </w:tr>
      <w:tr w:rsidR="00332B1B" w:rsidRPr="00332B1B" w:rsidTr="005A5603">
        <w:trPr>
          <w:trHeight w:val="519"/>
        </w:trPr>
        <w:tc>
          <w:tcPr>
            <w:tcW w:w="2127"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Альтернатива 1</w:t>
            </w:r>
          </w:p>
        </w:tc>
        <w:tc>
          <w:tcPr>
            <w:tcW w:w="3214"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center"/>
              <w:rPr>
                <w:sz w:val="28"/>
                <w:szCs w:val="28"/>
              </w:rPr>
            </w:pPr>
            <w:r w:rsidRPr="00332B1B">
              <w:rPr>
                <w:sz w:val="28"/>
                <w:szCs w:val="28"/>
              </w:rPr>
              <w:t>-</w:t>
            </w:r>
          </w:p>
        </w:tc>
        <w:tc>
          <w:tcPr>
            <w:tcW w:w="429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Негативний вплив:</w:t>
            </w:r>
          </w:p>
          <w:p w:rsidR="00AB4C05" w:rsidRPr="00332B1B" w:rsidRDefault="00AB4C05" w:rsidP="005A5603">
            <w:pPr>
              <w:jc w:val="both"/>
              <w:rPr>
                <w:sz w:val="28"/>
                <w:szCs w:val="28"/>
              </w:rPr>
            </w:pPr>
            <w:r w:rsidRPr="00332B1B">
              <w:rPr>
                <w:sz w:val="28"/>
                <w:szCs w:val="28"/>
              </w:rPr>
              <w:t>існуючий порядок віднесення сум податку на додану вартість до податкового кредиту створює нерівні умови для платників податку, які отримують послуги на митній території України від нерезидентів та резидентів.</w:t>
            </w:r>
          </w:p>
        </w:tc>
      </w:tr>
      <w:tr w:rsidR="00332B1B" w:rsidRPr="00332B1B" w:rsidTr="005A5603">
        <w:trPr>
          <w:trHeight w:val="519"/>
        </w:trPr>
        <w:tc>
          <w:tcPr>
            <w:tcW w:w="2127"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Альтернатива 2</w:t>
            </w:r>
          </w:p>
        </w:tc>
        <w:tc>
          <w:tcPr>
            <w:tcW w:w="3214"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Позитивний вплив:</w:t>
            </w:r>
          </w:p>
          <w:p w:rsidR="00AB4C05" w:rsidRPr="00332B1B" w:rsidRDefault="00AB4C05" w:rsidP="005A5603">
            <w:pPr>
              <w:jc w:val="both"/>
              <w:rPr>
                <w:sz w:val="28"/>
                <w:szCs w:val="28"/>
              </w:rPr>
            </w:pPr>
            <w:r w:rsidRPr="00332B1B">
              <w:rPr>
                <w:sz w:val="28"/>
                <w:szCs w:val="28"/>
              </w:rPr>
              <w:t>правове регулювання порядку віднесення сум податку на додану вартість по операціях з отримання послуг від нерезидентів у наступному звітному (податковому) періоді забезпечить надходження  сум податку за звітний період, в якому такі послуги надаватимуться нерезидентом або будуть оплачені отримувачем послуг.</w:t>
            </w:r>
          </w:p>
        </w:tc>
        <w:tc>
          <w:tcPr>
            <w:tcW w:w="429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jc w:val="both"/>
              <w:rPr>
                <w:sz w:val="28"/>
                <w:szCs w:val="28"/>
              </w:rPr>
            </w:pPr>
            <w:r w:rsidRPr="00332B1B">
              <w:rPr>
                <w:sz w:val="28"/>
                <w:szCs w:val="28"/>
              </w:rPr>
              <w:t>Забезпечення дотримання механізму податкового обліку операцій з отримання послуг від нерезидентів не здійснюється за рахунок бюджетних.</w:t>
            </w:r>
          </w:p>
        </w:tc>
      </w:tr>
    </w:tbl>
    <w:p w:rsidR="00AB4C05" w:rsidRPr="00332B1B" w:rsidRDefault="00AB4C05" w:rsidP="00AB4C05">
      <w:pPr>
        <w:spacing w:after="120"/>
        <w:ind w:firstLine="567"/>
        <w:jc w:val="both"/>
        <w:rPr>
          <w:sz w:val="12"/>
          <w:szCs w:val="12"/>
          <w:highlight w:val="yellow"/>
        </w:rPr>
      </w:pPr>
    </w:p>
    <w:p w:rsidR="008E7D08" w:rsidRPr="00332B1B" w:rsidRDefault="002326AF" w:rsidP="008E7D08">
      <w:pPr>
        <w:ind w:firstLine="567"/>
        <w:jc w:val="both"/>
        <w:rPr>
          <w:b/>
          <w:i/>
          <w:sz w:val="28"/>
          <w:szCs w:val="28"/>
        </w:rPr>
      </w:pPr>
      <w:r w:rsidRPr="00332B1B">
        <w:rPr>
          <w:b/>
          <w:i/>
          <w:sz w:val="28"/>
          <w:szCs w:val="28"/>
        </w:rPr>
        <w:lastRenderedPageBreak/>
        <w:t>В частині відновлення з 1 липня 2023 року можливості проведення документальних перевірок</w:t>
      </w:r>
      <w:r w:rsidR="008E7D08" w:rsidRPr="00332B1B">
        <w:rPr>
          <w:b/>
          <w:i/>
          <w:sz w:val="28"/>
          <w:szCs w:val="28"/>
        </w:rPr>
        <w:t xml:space="preserve"> та застосування штрафних санкцій за порушення порядку використання реєстраторів розрахункових операцій/програмних реєстраторів розрахункових операцій (РРО/ПРРО)</w:t>
      </w:r>
    </w:p>
    <w:p w:rsidR="002326AF" w:rsidRPr="00332B1B" w:rsidRDefault="002326AF" w:rsidP="00AB4C05">
      <w:pPr>
        <w:spacing w:after="120"/>
        <w:ind w:firstLine="567"/>
        <w:jc w:val="both"/>
        <w:rPr>
          <w:sz w:val="28"/>
          <w:szCs w:val="28"/>
        </w:rPr>
      </w:pPr>
    </w:p>
    <w:tbl>
      <w:tblPr>
        <w:tblStyle w:val="1f"/>
        <w:tblW w:w="9728" w:type="dxa"/>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2119"/>
        <w:gridCol w:w="3783"/>
        <w:gridCol w:w="3826"/>
      </w:tblGrid>
      <w:tr w:rsidR="00332B1B" w:rsidRPr="00332B1B" w:rsidTr="001D2AFF">
        <w:tc>
          <w:tcPr>
            <w:tcW w:w="2119"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jc w:val="center"/>
              <w:rPr>
                <w:sz w:val="28"/>
                <w:szCs w:val="24"/>
              </w:rPr>
            </w:pPr>
            <w:r w:rsidRPr="00332B1B">
              <w:rPr>
                <w:sz w:val="28"/>
                <w:szCs w:val="24"/>
              </w:rPr>
              <w:t>Вид альтернативи</w:t>
            </w:r>
          </w:p>
        </w:tc>
        <w:tc>
          <w:tcPr>
            <w:tcW w:w="3783"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jc w:val="center"/>
              <w:rPr>
                <w:sz w:val="28"/>
                <w:szCs w:val="24"/>
              </w:rPr>
            </w:pPr>
            <w:r w:rsidRPr="00332B1B">
              <w:rPr>
                <w:sz w:val="28"/>
                <w:szCs w:val="24"/>
              </w:rPr>
              <w:t>Вигоди</w:t>
            </w:r>
          </w:p>
        </w:tc>
        <w:tc>
          <w:tcPr>
            <w:tcW w:w="3826"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jc w:val="center"/>
              <w:rPr>
                <w:sz w:val="28"/>
                <w:szCs w:val="24"/>
              </w:rPr>
            </w:pPr>
            <w:r w:rsidRPr="00332B1B">
              <w:rPr>
                <w:sz w:val="28"/>
                <w:szCs w:val="24"/>
              </w:rPr>
              <w:t>Витрати</w:t>
            </w:r>
          </w:p>
        </w:tc>
      </w:tr>
      <w:tr w:rsidR="00332B1B" w:rsidRPr="00332B1B" w:rsidTr="001D2AFF">
        <w:tc>
          <w:tcPr>
            <w:tcW w:w="2119"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rPr>
                <w:sz w:val="28"/>
                <w:szCs w:val="24"/>
              </w:rPr>
            </w:pPr>
            <w:r w:rsidRPr="00332B1B">
              <w:rPr>
                <w:sz w:val="28"/>
                <w:szCs w:val="24"/>
              </w:rPr>
              <w:t>Альтернатива 1</w:t>
            </w:r>
          </w:p>
        </w:tc>
        <w:tc>
          <w:tcPr>
            <w:tcW w:w="3783"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ind w:firstLine="295"/>
              <w:jc w:val="both"/>
              <w:rPr>
                <w:sz w:val="28"/>
                <w:szCs w:val="24"/>
              </w:rPr>
            </w:pPr>
            <w:r w:rsidRPr="00332B1B">
              <w:rPr>
                <w:sz w:val="28"/>
                <w:szCs w:val="24"/>
              </w:rPr>
              <w:t>Відсутні</w:t>
            </w:r>
          </w:p>
        </w:tc>
        <w:tc>
          <w:tcPr>
            <w:tcW w:w="3826"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ind w:firstLine="284"/>
              <w:jc w:val="both"/>
              <w:rPr>
                <w:sz w:val="28"/>
                <w:szCs w:val="24"/>
              </w:rPr>
            </w:pPr>
            <w:r w:rsidRPr="00332B1B">
              <w:rPr>
                <w:sz w:val="28"/>
                <w:szCs w:val="24"/>
              </w:rPr>
              <w:t xml:space="preserve">Альтернатива є неприйнятною, оскільки не забезпечує досягнення поставленої мети. </w:t>
            </w:r>
          </w:p>
          <w:p w:rsidR="002326AF" w:rsidRPr="00332B1B" w:rsidRDefault="002326AF" w:rsidP="00BA416A">
            <w:pPr>
              <w:pBdr>
                <w:top w:val="nil"/>
                <w:left w:val="nil"/>
                <w:bottom w:val="nil"/>
                <w:right w:val="nil"/>
                <w:between w:val="nil"/>
              </w:pBdr>
              <w:ind w:firstLine="284"/>
              <w:jc w:val="both"/>
              <w:rPr>
                <w:sz w:val="28"/>
                <w:szCs w:val="24"/>
              </w:rPr>
            </w:pPr>
            <w:r w:rsidRPr="00332B1B">
              <w:rPr>
                <w:sz w:val="28"/>
                <w:szCs w:val="24"/>
              </w:rPr>
              <w:t xml:space="preserve">Неприйняття </w:t>
            </w:r>
            <w:r w:rsidR="00BA416A">
              <w:rPr>
                <w:sz w:val="28"/>
                <w:szCs w:val="24"/>
              </w:rPr>
              <w:t>з</w:t>
            </w:r>
            <w:r w:rsidRPr="00332B1B">
              <w:rPr>
                <w:sz w:val="28"/>
                <w:szCs w:val="24"/>
              </w:rPr>
              <w:t xml:space="preserve">аконопроекту призведе до невиконання </w:t>
            </w:r>
            <w:r w:rsidRPr="00332B1B">
              <w:rPr>
                <w:spacing w:val="1"/>
                <w:sz w:val="28"/>
                <w:szCs w:val="28"/>
                <w:lang w:eastAsia="ru-RU"/>
              </w:rPr>
              <w:t>Україною зобов’язань в рамках Меморандуму про економічну та фінансову політику від 08 грудня 2022 року.</w:t>
            </w:r>
          </w:p>
        </w:tc>
      </w:tr>
      <w:tr w:rsidR="002326AF" w:rsidRPr="00332B1B" w:rsidTr="001D2AFF">
        <w:tc>
          <w:tcPr>
            <w:tcW w:w="2119"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rPr>
                <w:sz w:val="28"/>
                <w:szCs w:val="24"/>
              </w:rPr>
            </w:pPr>
            <w:r w:rsidRPr="00332B1B">
              <w:rPr>
                <w:sz w:val="28"/>
                <w:szCs w:val="24"/>
              </w:rPr>
              <w:t>Альтернатива 2</w:t>
            </w:r>
          </w:p>
        </w:tc>
        <w:tc>
          <w:tcPr>
            <w:tcW w:w="3783"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ind w:firstLine="295"/>
              <w:jc w:val="both"/>
              <w:rPr>
                <w:spacing w:val="1"/>
                <w:sz w:val="28"/>
                <w:szCs w:val="28"/>
                <w:lang w:eastAsia="ru-RU"/>
              </w:rPr>
            </w:pPr>
            <w:r w:rsidRPr="00332B1B">
              <w:rPr>
                <w:sz w:val="28"/>
                <w:szCs w:val="24"/>
              </w:rPr>
              <w:t xml:space="preserve">Є необхідним і достатнім способом виконання </w:t>
            </w:r>
            <w:r w:rsidRPr="00332B1B">
              <w:rPr>
                <w:spacing w:val="1"/>
                <w:sz w:val="28"/>
                <w:szCs w:val="28"/>
                <w:lang w:eastAsia="ru-RU"/>
              </w:rPr>
              <w:t>Україною зобов’язань в рамках Меморандуму про економічну та фінансову політику від 08 грудня 2022 року.</w:t>
            </w:r>
          </w:p>
          <w:p w:rsidR="002326AF" w:rsidRPr="00332B1B" w:rsidRDefault="002326AF" w:rsidP="005B0FD7">
            <w:pPr>
              <w:ind w:firstLine="295"/>
              <w:jc w:val="both"/>
              <w:rPr>
                <w:spacing w:val="1"/>
                <w:sz w:val="28"/>
                <w:szCs w:val="28"/>
                <w:lang w:eastAsia="ru-RU"/>
              </w:rPr>
            </w:pPr>
            <w:r w:rsidRPr="00332B1B">
              <w:rPr>
                <w:spacing w:val="1"/>
                <w:sz w:val="28"/>
                <w:szCs w:val="28"/>
                <w:lang w:eastAsia="ru-RU"/>
              </w:rPr>
              <w:t xml:space="preserve">Відновлюється контроль за правильністю нарахування, повнотою і своєчасністю сплати податків і зборів, а також за дотриманням законодавства з питань проведення розрахункових операцій та іншого законодавства, контроль за дотриманням якого </w:t>
            </w:r>
            <w:r w:rsidR="00BA416A">
              <w:rPr>
                <w:spacing w:val="1"/>
                <w:sz w:val="28"/>
                <w:szCs w:val="28"/>
                <w:lang w:eastAsia="ru-RU"/>
              </w:rPr>
              <w:t>покладено на контролюючі органи.</w:t>
            </w:r>
          </w:p>
        </w:tc>
        <w:tc>
          <w:tcPr>
            <w:tcW w:w="3826" w:type="dxa"/>
            <w:tcBorders>
              <w:top w:val="single" w:sz="6" w:space="0" w:color="000000"/>
              <w:left w:val="single" w:sz="6" w:space="0" w:color="000000"/>
              <w:bottom w:val="single" w:sz="6" w:space="0" w:color="000000"/>
              <w:right w:val="single" w:sz="6" w:space="0" w:color="000000"/>
            </w:tcBorders>
          </w:tcPr>
          <w:p w:rsidR="002326AF" w:rsidRPr="00332B1B" w:rsidRDefault="002326AF" w:rsidP="001D2AFF">
            <w:pPr>
              <w:pBdr>
                <w:top w:val="nil"/>
                <w:left w:val="nil"/>
                <w:bottom w:val="nil"/>
                <w:right w:val="nil"/>
                <w:between w:val="nil"/>
              </w:pBdr>
              <w:ind w:firstLine="284"/>
              <w:jc w:val="both"/>
              <w:rPr>
                <w:sz w:val="28"/>
                <w:szCs w:val="24"/>
              </w:rPr>
            </w:pPr>
            <w:r w:rsidRPr="00332B1B">
              <w:rPr>
                <w:sz w:val="28"/>
                <w:szCs w:val="24"/>
              </w:rPr>
              <w:t>Відсутні</w:t>
            </w:r>
          </w:p>
        </w:tc>
      </w:tr>
    </w:tbl>
    <w:p w:rsidR="003F4E57" w:rsidRDefault="003F4E57" w:rsidP="0004088C">
      <w:pPr>
        <w:ind w:firstLine="567"/>
        <w:jc w:val="both"/>
        <w:rPr>
          <w:sz w:val="28"/>
          <w:szCs w:val="28"/>
        </w:rPr>
      </w:pPr>
    </w:p>
    <w:p w:rsidR="0004088C" w:rsidRPr="00860CF0" w:rsidRDefault="0004088C" w:rsidP="0004088C">
      <w:pPr>
        <w:ind w:firstLine="567"/>
        <w:jc w:val="both"/>
        <w:rPr>
          <w:b/>
          <w:i/>
          <w:sz w:val="28"/>
          <w:szCs w:val="28"/>
        </w:rPr>
      </w:pPr>
      <w:r w:rsidRPr="00860CF0">
        <w:rPr>
          <w:b/>
          <w:i/>
          <w:sz w:val="28"/>
          <w:szCs w:val="28"/>
        </w:rPr>
        <w:t xml:space="preserve">В частині </w:t>
      </w:r>
      <w:r w:rsidR="003F4E57">
        <w:rPr>
          <w:b/>
          <w:i/>
          <w:sz w:val="28"/>
          <w:szCs w:val="28"/>
        </w:rPr>
        <w:t xml:space="preserve">скасування з </w:t>
      </w:r>
      <w:r w:rsidR="003F4E57" w:rsidRPr="00860CF0">
        <w:rPr>
          <w:b/>
          <w:i/>
          <w:sz w:val="28"/>
          <w:szCs w:val="28"/>
        </w:rPr>
        <w:t xml:space="preserve">01 липня 2023 року </w:t>
      </w:r>
      <w:r w:rsidRPr="00860CF0">
        <w:rPr>
          <w:b/>
          <w:i/>
          <w:sz w:val="28"/>
          <w:szCs w:val="28"/>
        </w:rPr>
        <w:t xml:space="preserve">дії норм </w:t>
      </w:r>
      <w:r w:rsidR="003F4E57">
        <w:rPr>
          <w:b/>
          <w:i/>
          <w:sz w:val="28"/>
          <w:szCs w:val="28"/>
        </w:rPr>
        <w:t>щодо</w:t>
      </w:r>
      <w:r w:rsidRPr="00860CF0">
        <w:rPr>
          <w:b/>
          <w:i/>
          <w:sz w:val="28"/>
          <w:szCs w:val="28"/>
        </w:rPr>
        <w:t>:</w:t>
      </w:r>
    </w:p>
    <w:p w:rsidR="0004088C" w:rsidRPr="00860CF0" w:rsidRDefault="00BA416A" w:rsidP="0004088C">
      <w:pPr>
        <w:ind w:firstLine="567"/>
        <w:jc w:val="both"/>
        <w:rPr>
          <w:b/>
          <w:i/>
          <w:sz w:val="28"/>
          <w:szCs w:val="28"/>
        </w:rPr>
      </w:pPr>
      <w:r>
        <w:rPr>
          <w:b/>
          <w:i/>
          <w:sz w:val="28"/>
          <w:szCs w:val="28"/>
        </w:rPr>
        <w:t xml:space="preserve">- </w:t>
      </w:r>
      <w:r w:rsidR="003F4E57">
        <w:rPr>
          <w:b/>
          <w:i/>
          <w:sz w:val="28"/>
          <w:szCs w:val="28"/>
        </w:rPr>
        <w:t>м</w:t>
      </w:r>
      <w:r w:rsidR="0004088C" w:rsidRPr="00860CF0">
        <w:rPr>
          <w:b/>
          <w:i/>
          <w:sz w:val="28"/>
          <w:szCs w:val="28"/>
        </w:rPr>
        <w:t>ожлив</w:t>
      </w:r>
      <w:r w:rsidR="003F4E57">
        <w:rPr>
          <w:b/>
          <w:i/>
          <w:sz w:val="28"/>
          <w:szCs w:val="28"/>
        </w:rPr>
        <w:t xml:space="preserve">ості </w:t>
      </w:r>
      <w:r w:rsidR="0004088C" w:rsidRPr="00860CF0">
        <w:rPr>
          <w:b/>
          <w:i/>
          <w:sz w:val="28"/>
          <w:szCs w:val="28"/>
        </w:rPr>
        <w:t xml:space="preserve">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p>
    <w:p w:rsidR="003F4E57" w:rsidRDefault="00BA416A" w:rsidP="003F4E57">
      <w:pPr>
        <w:ind w:firstLine="567"/>
        <w:jc w:val="both"/>
        <w:rPr>
          <w:b/>
          <w:i/>
          <w:sz w:val="28"/>
          <w:szCs w:val="28"/>
        </w:rPr>
      </w:pPr>
      <w:r>
        <w:rPr>
          <w:b/>
          <w:i/>
          <w:sz w:val="28"/>
          <w:szCs w:val="28"/>
        </w:rPr>
        <w:lastRenderedPageBreak/>
        <w:t xml:space="preserve">- </w:t>
      </w:r>
      <w:r w:rsidR="0004088C" w:rsidRPr="00860CF0">
        <w:rPr>
          <w:b/>
          <w:i/>
          <w:sz w:val="28"/>
          <w:szCs w:val="28"/>
        </w:rPr>
        <w:t>можлив</w:t>
      </w:r>
      <w:r w:rsidR="003F4E57">
        <w:rPr>
          <w:b/>
          <w:i/>
          <w:sz w:val="28"/>
          <w:szCs w:val="28"/>
        </w:rPr>
        <w:t>ості</w:t>
      </w:r>
      <w:r w:rsidR="0004088C" w:rsidRPr="00860CF0">
        <w:rPr>
          <w:b/>
          <w:i/>
          <w:sz w:val="28"/>
          <w:szCs w:val="28"/>
        </w:rPr>
        <w:t xml:space="preserve"> для фізичних осіб – підприємців платників єдиного податку І та ІІ груп не сплачувати єдиний податок;</w:t>
      </w:r>
    </w:p>
    <w:p w:rsidR="0004088C" w:rsidRPr="00860CF0" w:rsidRDefault="00BA416A" w:rsidP="003F4E57">
      <w:pPr>
        <w:ind w:firstLine="567"/>
        <w:jc w:val="both"/>
        <w:rPr>
          <w:b/>
          <w:i/>
          <w:sz w:val="28"/>
          <w:szCs w:val="28"/>
        </w:rPr>
      </w:pPr>
      <w:r>
        <w:rPr>
          <w:b/>
          <w:i/>
          <w:sz w:val="28"/>
          <w:szCs w:val="28"/>
        </w:rPr>
        <w:t xml:space="preserve">- </w:t>
      </w:r>
      <w:r w:rsidR="003F4E57">
        <w:rPr>
          <w:b/>
          <w:i/>
          <w:sz w:val="28"/>
          <w:szCs w:val="28"/>
        </w:rPr>
        <w:t>не</w:t>
      </w:r>
      <w:r w:rsidR="0004088C" w:rsidRPr="00860CF0">
        <w:rPr>
          <w:b/>
          <w:i/>
          <w:sz w:val="28"/>
          <w:szCs w:val="28"/>
        </w:rPr>
        <w:t xml:space="preserve">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 </w:t>
      </w:r>
    </w:p>
    <w:p w:rsidR="002326AF" w:rsidRDefault="002326AF" w:rsidP="0004088C">
      <w:pPr>
        <w:spacing w:after="120"/>
        <w:jc w:val="both"/>
        <w:rPr>
          <w:sz w:val="28"/>
          <w:szCs w:val="28"/>
        </w:rPr>
      </w:pPr>
    </w:p>
    <w:tbl>
      <w:tblPr>
        <w:tblStyle w:val="1f"/>
        <w:tblW w:w="9814" w:type="dxa"/>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2119"/>
        <w:gridCol w:w="3795"/>
        <w:gridCol w:w="3900"/>
      </w:tblGrid>
      <w:tr w:rsidR="0004088C" w:rsidRPr="00BA416A" w:rsidTr="008C5730">
        <w:tc>
          <w:tcPr>
            <w:tcW w:w="2119" w:type="dxa"/>
            <w:tcBorders>
              <w:top w:val="single" w:sz="6" w:space="0" w:color="000000"/>
              <w:left w:val="single" w:sz="6" w:space="0" w:color="000000"/>
              <w:bottom w:val="single" w:sz="6" w:space="0" w:color="000000"/>
              <w:right w:val="single" w:sz="6" w:space="0" w:color="000000"/>
            </w:tcBorders>
          </w:tcPr>
          <w:p w:rsidR="0004088C" w:rsidRPr="00BA416A" w:rsidRDefault="0004088C" w:rsidP="008C5730">
            <w:pPr>
              <w:pBdr>
                <w:top w:val="nil"/>
                <w:left w:val="nil"/>
                <w:bottom w:val="nil"/>
                <w:right w:val="nil"/>
                <w:between w:val="nil"/>
              </w:pBdr>
              <w:jc w:val="center"/>
              <w:rPr>
                <w:sz w:val="28"/>
                <w:szCs w:val="28"/>
              </w:rPr>
            </w:pPr>
            <w:r w:rsidRPr="00BA416A">
              <w:rPr>
                <w:sz w:val="28"/>
                <w:szCs w:val="28"/>
              </w:rPr>
              <w:t>Вид альтернативи</w:t>
            </w:r>
          </w:p>
        </w:tc>
        <w:tc>
          <w:tcPr>
            <w:tcW w:w="3795" w:type="dxa"/>
            <w:tcBorders>
              <w:top w:val="single" w:sz="6" w:space="0" w:color="000000"/>
              <w:left w:val="single" w:sz="6" w:space="0" w:color="000000"/>
              <w:bottom w:val="single" w:sz="6" w:space="0" w:color="000000"/>
              <w:right w:val="single" w:sz="6" w:space="0" w:color="000000"/>
            </w:tcBorders>
          </w:tcPr>
          <w:p w:rsidR="0004088C" w:rsidRPr="00BA416A" w:rsidRDefault="0004088C" w:rsidP="008C5730">
            <w:pPr>
              <w:pBdr>
                <w:top w:val="nil"/>
                <w:left w:val="nil"/>
                <w:bottom w:val="nil"/>
                <w:right w:val="nil"/>
                <w:between w:val="nil"/>
              </w:pBdr>
              <w:jc w:val="center"/>
              <w:rPr>
                <w:sz w:val="28"/>
                <w:szCs w:val="28"/>
              </w:rPr>
            </w:pPr>
            <w:r w:rsidRPr="00BA416A">
              <w:rPr>
                <w:sz w:val="28"/>
                <w:szCs w:val="28"/>
              </w:rPr>
              <w:t>Вигоди</w:t>
            </w:r>
          </w:p>
        </w:tc>
        <w:tc>
          <w:tcPr>
            <w:tcW w:w="3900" w:type="dxa"/>
            <w:tcBorders>
              <w:top w:val="single" w:sz="6" w:space="0" w:color="000000"/>
              <w:left w:val="single" w:sz="6" w:space="0" w:color="000000"/>
              <w:bottom w:val="single" w:sz="6" w:space="0" w:color="000000"/>
              <w:right w:val="single" w:sz="6" w:space="0" w:color="000000"/>
            </w:tcBorders>
          </w:tcPr>
          <w:p w:rsidR="0004088C" w:rsidRPr="00BA416A" w:rsidRDefault="0004088C" w:rsidP="008C5730">
            <w:pPr>
              <w:pBdr>
                <w:top w:val="nil"/>
                <w:left w:val="nil"/>
                <w:bottom w:val="nil"/>
                <w:right w:val="nil"/>
                <w:between w:val="nil"/>
              </w:pBdr>
              <w:jc w:val="center"/>
              <w:rPr>
                <w:sz w:val="28"/>
                <w:szCs w:val="28"/>
              </w:rPr>
            </w:pPr>
            <w:r w:rsidRPr="00BA416A">
              <w:rPr>
                <w:sz w:val="28"/>
                <w:szCs w:val="28"/>
              </w:rPr>
              <w:t>Витрати</w:t>
            </w:r>
          </w:p>
        </w:tc>
      </w:tr>
      <w:tr w:rsidR="0004088C" w:rsidRPr="00BA416A" w:rsidTr="00BA416A">
        <w:tc>
          <w:tcPr>
            <w:tcW w:w="2119" w:type="dxa"/>
            <w:tcBorders>
              <w:top w:val="single" w:sz="6" w:space="0" w:color="000000"/>
              <w:left w:val="single" w:sz="6" w:space="0" w:color="000000"/>
              <w:bottom w:val="single" w:sz="6" w:space="0" w:color="000000"/>
              <w:right w:val="single" w:sz="6" w:space="0" w:color="000000"/>
            </w:tcBorders>
          </w:tcPr>
          <w:p w:rsidR="0004088C" w:rsidRPr="00BA416A" w:rsidRDefault="0004088C" w:rsidP="00457ACE">
            <w:pPr>
              <w:pBdr>
                <w:top w:val="nil"/>
                <w:left w:val="nil"/>
                <w:bottom w:val="nil"/>
                <w:right w:val="nil"/>
                <w:between w:val="nil"/>
              </w:pBdr>
              <w:jc w:val="center"/>
              <w:rPr>
                <w:sz w:val="28"/>
                <w:szCs w:val="28"/>
              </w:rPr>
            </w:pPr>
            <w:r w:rsidRPr="00BA416A">
              <w:rPr>
                <w:sz w:val="28"/>
                <w:szCs w:val="28"/>
              </w:rPr>
              <w:t>Альтернатива 1</w:t>
            </w:r>
          </w:p>
        </w:tc>
        <w:tc>
          <w:tcPr>
            <w:tcW w:w="3795" w:type="dxa"/>
            <w:tcBorders>
              <w:top w:val="single" w:sz="6" w:space="0" w:color="000000"/>
              <w:left w:val="single" w:sz="6" w:space="0" w:color="000000"/>
              <w:bottom w:val="single" w:sz="6" w:space="0" w:color="000000"/>
              <w:right w:val="single" w:sz="6" w:space="0" w:color="000000"/>
            </w:tcBorders>
          </w:tcPr>
          <w:p w:rsidR="0004088C" w:rsidRPr="00BA416A" w:rsidRDefault="0004088C" w:rsidP="00457ACE">
            <w:pPr>
              <w:pStyle w:val="af9"/>
              <w:spacing w:after="0" w:line="240" w:lineRule="auto"/>
              <w:ind w:left="0"/>
              <w:contextualSpacing w:val="0"/>
              <w:jc w:val="both"/>
              <w:rPr>
                <w:rFonts w:ascii="Times New Roman" w:hAnsi="Times New Roman" w:cs="Times New Roman"/>
                <w:sz w:val="28"/>
                <w:szCs w:val="28"/>
              </w:rPr>
            </w:pPr>
            <w:r w:rsidRPr="00BA416A">
              <w:rPr>
                <w:rFonts w:ascii="Times New Roman" w:hAnsi="Times New Roman" w:cs="Times New Roman"/>
                <w:sz w:val="28"/>
                <w:szCs w:val="28"/>
              </w:rPr>
              <w:t>1) можливість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p>
          <w:p w:rsidR="0004088C" w:rsidRPr="00BA416A" w:rsidRDefault="0004088C" w:rsidP="00457ACE">
            <w:pPr>
              <w:pStyle w:val="af9"/>
              <w:spacing w:line="240" w:lineRule="auto"/>
              <w:ind w:left="36"/>
              <w:jc w:val="both"/>
              <w:rPr>
                <w:rFonts w:ascii="Times New Roman" w:hAnsi="Times New Roman" w:cs="Times New Roman"/>
                <w:sz w:val="28"/>
                <w:szCs w:val="28"/>
              </w:rPr>
            </w:pPr>
            <w:r w:rsidRPr="00BA416A">
              <w:rPr>
                <w:rFonts w:ascii="Times New Roman" w:hAnsi="Times New Roman" w:cs="Times New Roman"/>
                <w:sz w:val="28"/>
                <w:szCs w:val="28"/>
              </w:rPr>
              <w:t>2) можливість для фізичних осіб – підприємців  платників єдиного податку І та ІІ груп не сплачувати єдиний податок;</w:t>
            </w:r>
          </w:p>
          <w:p w:rsidR="0004088C" w:rsidRPr="00457ACE" w:rsidRDefault="0004088C" w:rsidP="00457ACE">
            <w:pPr>
              <w:pStyle w:val="af9"/>
              <w:spacing w:line="240" w:lineRule="auto"/>
              <w:ind w:left="36"/>
              <w:jc w:val="both"/>
              <w:rPr>
                <w:rFonts w:ascii="Times New Roman" w:hAnsi="Times New Roman" w:cs="Times New Roman"/>
                <w:sz w:val="28"/>
                <w:szCs w:val="28"/>
              </w:rPr>
            </w:pPr>
            <w:r w:rsidRPr="00BA416A">
              <w:rPr>
                <w:rFonts w:ascii="Times New Roman" w:hAnsi="Times New Roman" w:cs="Times New Roman"/>
                <w:sz w:val="28"/>
                <w:szCs w:val="28"/>
              </w:rPr>
              <w:t>3) можливість застосування штрафних санкцій за порушення правильності нарахування, обчислення та сплати єдиного внеску на загальнообов’язкове державне соціальн</w:t>
            </w:r>
            <w:r w:rsidR="00457ACE">
              <w:rPr>
                <w:rFonts w:ascii="Times New Roman" w:hAnsi="Times New Roman" w:cs="Times New Roman"/>
                <w:sz w:val="28"/>
                <w:szCs w:val="28"/>
              </w:rPr>
              <w:t>е страхування.</w:t>
            </w:r>
          </w:p>
        </w:tc>
        <w:tc>
          <w:tcPr>
            <w:tcW w:w="3900" w:type="dxa"/>
            <w:tcBorders>
              <w:top w:val="single" w:sz="6" w:space="0" w:color="000000"/>
              <w:left w:val="single" w:sz="6" w:space="0" w:color="000000"/>
              <w:bottom w:val="single" w:sz="6" w:space="0" w:color="000000"/>
              <w:right w:val="single" w:sz="6" w:space="0" w:color="000000"/>
            </w:tcBorders>
          </w:tcPr>
          <w:p w:rsidR="0004088C" w:rsidRPr="00BA416A" w:rsidRDefault="0004088C" w:rsidP="008C5730">
            <w:pPr>
              <w:ind w:firstLine="284"/>
              <w:jc w:val="both"/>
              <w:rPr>
                <w:sz w:val="28"/>
                <w:szCs w:val="28"/>
              </w:rPr>
            </w:pPr>
            <w:r w:rsidRPr="00BA416A">
              <w:rPr>
                <w:sz w:val="28"/>
                <w:szCs w:val="28"/>
              </w:rPr>
              <w:t xml:space="preserve">Відсутні </w:t>
            </w:r>
          </w:p>
        </w:tc>
      </w:tr>
      <w:tr w:rsidR="0004088C" w:rsidRPr="00BA416A" w:rsidTr="008C5730">
        <w:tc>
          <w:tcPr>
            <w:tcW w:w="2119" w:type="dxa"/>
            <w:tcBorders>
              <w:top w:val="single" w:sz="6" w:space="0" w:color="000000"/>
              <w:left w:val="single" w:sz="6" w:space="0" w:color="000000"/>
              <w:bottom w:val="single" w:sz="6" w:space="0" w:color="000000"/>
              <w:right w:val="single" w:sz="6" w:space="0" w:color="000000"/>
            </w:tcBorders>
          </w:tcPr>
          <w:p w:rsidR="0004088C" w:rsidRPr="00BA416A" w:rsidRDefault="0004088C" w:rsidP="008C5730">
            <w:pPr>
              <w:pBdr>
                <w:top w:val="nil"/>
                <w:left w:val="nil"/>
                <w:bottom w:val="nil"/>
                <w:right w:val="nil"/>
                <w:between w:val="nil"/>
              </w:pBdr>
              <w:jc w:val="center"/>
              <w:rPr>
                <w:sz w:val="28"/>
                <w:szCs w:val="28"/>
              </w:rPr>
            </w:pPr>
            <w:r w:rsidRPr="00BA416A">
              <w:rPr>
                <w:sz w:val="28"/>
                <w:szCs w:val="28"/>
              </w:rPr>
              <w:t>Альтернатива 2</w:t>
            </w:r>
          </w:p>
        </w:tc>
        <w:tc>
          <w:tcPr>
            <w:tcW w:w="3795" w:type="dxa"/>
            <w:tcBorders>
              <w:top w:val="single" w:sz="6" w:space="0" w:color="000000"/>
              <w:left w:val="single" w:sz="6" w:space="0" w:color="000000"/>
              <w:bottom w:val="single" w:sz="6" w:space="0" w:color="000000"/>
              <w:right w:val="single" w:sz="6" w:space="0" w:color="000000"/>
            </w:tcBorders>
          </w:tcPr>
          <w:p w:rsidR="0004088C" w:rsidRPr="00BA416A" w:rsidRDefault="0004088C" w:rsidP="008C5730">
            <w:pPr>
              <w:jc w:val="both"/>
              <w:rPr>
                <w:sz w:val="28"/>
                <w:szCs w:val="28"/>
              </w:rPr>
            </w:pPr>
            <w:r w:rsidRPr="00BA416A">
              <w:rPr>
                <w:sz w:val="28"/>
                <w:szCs w:val="28"/>
              </w:rPr>
              <w:t>Відсутні</w:t>
            </w:r>
          </w:p>
        </w:tc>
        <w:tc>
          <w:tcPr>
            <w:tcW w:w="3900" w:type="dxa"/>
            <w:tcBorders>
              <w:top w:val="single" w:sz="6" w:space="0" w:color="000000"/>
              <w:left w:val="single" w:sz="6" w:space="0" w:color="000000"/>
              <w:bottom w:val="single" w:sz="6" w:space="0" w:color="000000"/>
              <w:right w:val="single" w:sz="6" w:space="0" w:color="000000"/>
            </w:tcBorders>
          </w:tcPr>
          <w:p w:rsidR="0004088C" w:rsidRPr="00BA416A" w:rsidRDefault="0004088C" w:rsidP="008C5730">
            <w:pPr>
              <w:ind w:left="108"/>
              <w:jc w:val="both"/>
              <w:rPr>
                <w:sz w:val="28"/>
                <w:szCs w:val="28"/>
              </w:rPr>
            </w:pPr>
            <w:r w:rsidRPr="00BA416A">
              <w:rPr>
                <w:sz w:val="28"/>
                <w:szCs w:val="28"/>
              </w:rPr>
              <w:t>1) повернення суб’єктів господарювання до  попередньої системи оподаткування;</w:t>
            </w:r>
          </w:p>
          <w:p w:rsidR="0004088C" w:rsidRPr="00BA416A" w:rsidRDefault="0004088C" w:rsidP="008C5730">
            <w:pPr>
              <w:ind w:left="108"/>
              <w:jc w:val="both"/>
              <w:rPr>
                <w:sz w:val="28"/>
                <w:szCs w:val="28"/>
              </w:rPr>
            </w:pPr>
            <w:r w:rsidRPr="00BA416A">
              <w:rPr>
                <w:sz w:val="28"/>
                <w:szCs w:val="28"/>
              </w:rPr>
              <w:t>2) повернення до сплати єдиного податку  фізичними особами – підприємцями  платниками єдиного податку І та ІІ груп;</w:t>
            </w:r>
          </w:p>
          <w:p w:rsidR="0004088C" w:rsidRPr="00BA416A" w:rsidRDefault="0004088C" w:rsidP="00457ACE">
            <w:pPr>
              <w:ind w:left="108"/>
              <w:jc w:val="both"/>
              <w:rPr>
                <w:sz w:val="28"/>
                <w:szCs w:val="28"/>
              </w:rPr>
            </w:pPr>
            <w:r w:rsidRPr="00BA416A">
              <w:rPr>
                <w:sz w:val="28"/>
                <w:szCs w:val="28"/>
              </w:rPr>
              <w:t xml:space="preserve">3) неможливість застосування штрафних санкцій за порушення правильності нарахування, обчислення та сплати єдиного внеску на загальнообов’язкове </w:t>
            </w:r>
            <w:r w:rsidR="00457ACE">
              <w:rPr>
                <w:sz w:val="28"/>
                <w:szCs w:val="28"/>
              </w:rPr>
              <w:lastRenderedPageBreak/>
              <w:t>державне соціальне страхування.</w:t>
            </w:r>
          </w:p>
        </w:tc>
      </w:tr>
    </w:tbl>
    <w:p w:rsidR="00AB4C05" w:rsidRPr="00332B1B" w:rsidRDefault="00AB4C05" w:rsidP="00B46A4F">
      <w:pPr>
        <w:spacing w:before="120" w:after="120"/>
        <w:ind w:firstLine="567"/>
        <w:jc w:val="both"/>
        <w:rPr>
          <w:sz w:val="28"/>
          <w:szCs w:val="28"/>
        </w:rPr>
      </w:pPr>
      <w:r w:rsidRPr="00332B1B">
        <w:rPr>
          <w:sz w:val="28"/>
          <w:szCs w:val="28"/>
        </w:rPr>
        <w:lastRenderedPageBreak/>
        <w:t xml:space="preserve">2.2. </w:t>
      </w:r>
      <w:r w:rsidRPr="00332B1B">
        <w:rPr>
          <w:sz w:val="28"/>
          <w:szCs w:val="28"/>
          <w:highlight w:val="white"/>
        </w:rPr>
        <w:t>Проект акта не розповсюджується на сферу інтересів громадян.</w:t>
      </w:r>
    </w:p>
    <w:p w:rsidR="00AB4C05" w:rsidRPr="00332B1B" w:rsidRDefault="00AB4C05" w:rsidP="00AB4C05">
      <w:pPr>
        <w:tabs>
          <w:tab w:val="left" w:pos="851"/>
        </w:tabs>
        <w:spacing w:after="120"/>
        <w:ind w:firstLine="567"/>
        <w:rPr>
          <w:sz w:val="28"/>
          <w:szCs w:val="28"/>
        </w:rPr>
      </w:pPr>
      <w:r w:rsidRPr="00332B1B">
        <w:rPr>
          <w:sz w:val="28"/>
          <w:szCs w:val="28"/>
        </w:rPr>
        <w:t>2.3. Оцінка впливу на сферу інтересів суб’єктів господарювання.</w:t>
      </w:r>
    </w:p>
    <w:p w:rsidR="002326AF" w:rsidRPr="00332B1B" w:rsidRDefault="002326AF" w:rsidP="002326AF">
      <w:pPr>
        <w:widowControl w:val="0"/>
        <w:spacing w:before="120" w:after="120"/>
        <w:ind w:left="23" w:right="23" w:firstLine="459"/>
        <w:jc w:val="both"/>
        <w:rPr>
          <w:b/>
          <w:bCs/>
          <w:i/>
          <w:sz w:val="28"/>
          <w:szCs w:val="28"/>
          <w:shd w:val="clear" w:color="auto" w:fill="FFFFFF"/>
        </w:rPr>
      </w:pPr>
      <w:r w:rsidRPr="00332B1B">
        <w:rPr>
          <w:b/>
          <w:bCs/>
          <w:i/>
          <w:sz w:val="28"/>
          <w:szCs w:val="28"/>
          <w:shd w:val="clear" w:color="auto" w:fill="FFFFFF"/>
        </w:rPr>
        <w:t>В частині змін оподаткування податком на додану вартість</w:t>
      </w:r>
    </w:p>
    <w:p w:rsidR="00AB4C05" w:rsidRPr="00332B1B" w:rsidRDefault="00AB4C05" w:rsidP="00AB4C05">
      <w:pPr>
        <w:ind w:firstLine="567"/>
        <w:jc w:val="both"/>
        <w:rPr>
          <w:sz w:val="28"/>
          <w:szCs w:val="28"/>
          <w:highlight w:val="white"/>
        </w:rPr>
      </w:pPr>
      <w:r w:rsidRPr="00332B1B">
        <w:rPr>
          <w:sz w:val="28"/>
          <w:szCs w:val="28"/>
          <w:highlight w:val="white"/>
        </w:rPr>
        <w:t>За даними інформаційних систем ДПС станом на 01.01.2023 року на обліку в ДПС зареєстровано 261</w:t>
      </w:r>
      <w:r w:rsidR="00BA416A">
        <w:rPr>
          <w:sz w:val="28"/>
          <w:szCs w:val="28"/>
          <w:highlight w:val="white"/>
        </w:rPr>
        <w:t xml:space="preserve"> </w:t>
      </w:r>
      <w:r w:rsidRPr="00332B1B">
        <w:rPr>
          <w:sz w:val="28"/>
          <w:szCs w:val="28"/>
          <w:highlight w:val="white"/>
        </w:rPr>
        <w:t>351 платників податку на додану вартість, які потенційно можуть застосовувати норми Податкового кодексу України, що визначають порядок оподаткування податком на додану вартість операцій з отримання на митній території України послуг нерезидентів, зокрема визначення дати віднесення сум податку до податкового кредиту.</w:t>
      </w:r>
    </w:p>
    <w:p w:rsidR="00AB4C05" w:rsidRPr="00332B1B" w:rsidRDefault="00AB4C05" w:rsidP="00AB4C05">
      <w:pPr>
        <w:widowControl w:val="0"/>
        <w:spacing w:after="120"/>
        <w:ind w:firstLine="567"/>
        <w:jc w:val="both"/>
        <w:rPr>
          <w:sz w:val="28"/>
          <w:szCs w:val="28"/>
        </w:rPr>
      </w:pPr>
      <w:r w:rsidRPr="00332B1B">
        <w:rPr>
          <w:sz w:val="28"/>
          <w:szCs w:val="28"/>
        </w:rPr>
        <w:t>Інформація про кількість суб’єктів господарювання, які зареєстровані платниками податку на додану вартість:</w:t>
      </w:r>
    </w:p>
    <w:tbl>
      <w:tblPr>
        <w:tblStyle w:val="afc"/>
        <w:tblW w:w="0" w:type="auto"/>
        <w:tblLook w:val="04A0" w:firstRow="1" w:lastRow="0" w:firstColumn="1" w:lastColumn="0" w:noHBand="0" w:noVBand="1"/>
      </w:tblPr>
      <w:tblGrid>
        <w:gridCol w:w="1616"/>
        <w:gridCol w:w="1602"/>
        <w:gridCol w:w="1603"/>
        <w:gridCol w:w="1602"/>
        <w:gridCol w:w="1603"/>
        <w:gridCol w:w="1602"/>
      </w:tblGrid>
      <w:tr w:rsidR="00332B1B" w:rsidRPr="00332B1B" w:rsidTr="005A5603">
        <w:tc>
          <w:tcPr>
            <w:tcW w:w="1604" w:type="dxa"/>
            <w:vMerge w:val="restart"/>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Показник</w:t>
            </w:r>
          </w:p>
        </w:tc>
        <w:tc>
          <w:tcPr>
            <w:tcW w:w="8024" w:type="dxa"/>
            <w:gridSpan w:val="5"/>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Загальна кількість платників податку на додану вартість</w:t>
            </w:r>
          </w:p>
        </w:tc>
      </w:tr>
      <w:tr w:rsidR="00332B1B" w:rsidRPr="00332B1B" w:rsidTr="005A5603">
        <w:tc>
          <w:tcPr>
            <w:tcW w:w="1604" w:type="dxa"/>
            <w:vMerge/>
          </w:tcPr>
          <w:p w:rsidR="00AB4C05" w:rsidRPr="00332B1B" w:rsidRDefault="00AB4C05" w:rsidP="005A5603">
            <w:pPr>
              <w:widowControl w:val="0"/>
              <w:spacing w:after="120"/>
              <w:jc w:val="center"/>
              <w:rPr>
                <w:rFonts w:ascii="Times New Roman" w:hAnsi="Times New Roman"/>
                <w:sz w:val="28"/>
                <w:szCs w:val="28"/>
                <w:lang w:val="uk-UA" w:eastAsia="uk-UA"/>
              </w:rPr>
            </w:pPr>
          </w:p>
        </w:tc>
        <w:tc>
          <w:tcPr>
            <w:tcW w:w="1604"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Великі</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 xml:space="preserve">Середні </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Малі</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Мікро</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Разом</w:t>
            </w:r>
          </w:p>
        </w:tc>
      </w:tr>
      <w:tr w:rsidR="00332B1B" w:rsidRPr="00332B1B" w:rsidTr="005A5603">
        <w:tc>
          <w:tcPr>
            <w:tcW w:w="1604"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Станом на 01.01.2021</w:t>
            </w:r>
          </w:p>
        </w:tc>
        <w:tc>
          <w:tcPr>
            <w:tcW w:w="1604"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 xml:space="preserve">370 </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87</w:t>
            </w:r>
            <w:r w:rsidR="00BA416A">
              <w:rPr>
                <w:rFonts w:ascii="Times New Roman" w:hAnsi="Times New Roman"/>
                <w:sz w:val="28"/>
                <w:szCs w:val="28"/>
              </w:rPr>
              <w:t xml:space="preserve"> </w:t>
            </w:r>
            <w:r w:rsidRPr="00332B1B">
              <w:rPr>
                <w:rFonts w:ascii="Times New Roman" w:hAnsi="Times New Roman"/>
                <w:sz w:val="28"/>
                <w:szCs w:val="28"/>
              </w:rPr>
              <w:t>994</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9</w:t>
            </w:r>
            <w:r w:rsidR="00BA416A">
              <w:rPr>
                <w:rFonts w:ascii="Times New Roman" w:hAnsi="Times New Roman"/>
                <w:sz w:val="28"/>
                <w:szCs w:val="28"/>
              </w:rPr>
              <w:t xml:space="preserve"> </w:t>
            </w:r>
            <w:r w:rsidRPr="00332B1B">
              <w:rPr>
                <w:rFonts w:ascii="Times New Roman" w:hAnsi="Times New Roman"/>
                <w:sz w:val="28"/>
                <w:szCs w:val="28"/>
              </w:rPr>
              <w:t>343</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165</w:t>
            </w:r>
            <w:r w:rsidR="00BA416A">
              <w:rPr>
                <w:rFonts w:ascii="Times New Roman" w:hAnsi="Times New Roman"/>
                <w:sz w:val="28"/>
                <w:szCs w:val="28"/>
              </w:rPr>
              <w:t xml:space="preserve"> </w:t>
            </w:r>
            <w:r w:rsidRPr="00332B1B">
              <w:rPr>
                <w:rFonts w:ascii="Times New Roman" w:hAnsi="Times New Roman"/>
                <w:sz w:val="28"/>
                <w:szCs w:val="28"/>
              </w:rPr>
              <w:t>297</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263</w:t>
            </w:r>
            <w:r w:rsidR="00BA416A">
              <w:rPr>
                <w:rFonts w:ascii="Times New Roman" w:hAnsi="Times New Roman"/>
                <w:sz w:val="28"/>
                <w:szCs w:val="28"/>
              </w:rPr>
              <w:t xml:space="preserve"> </w:t>
            </w:r>
            <w:r w:rsidRPr="00332B1B">
              <w:rPr>
                <w:rFonts w:ascii="Times New Roman" w:hAnsi="Times New Roman"/>
                <w:sz w:val="28"/>
                <w:szCs w:val="28"/>
              </w:rPr>
              <w:t>004</w:t>
            </w:r>
          </w:p>
        </w:tc>
      </w:tr>
      <w:tr w:rsidR="00332B1B" w:rsidRPr="00332B1B" w:rsidTr="005A5603">
        <w:tc>
          <w:tcPr>
            <w:tcW w:w="1604"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Станом на 01.01.2022</w:t>
            </w:r>
          </w:p>
        </w:tc>
        <w:tc>
          <w:tcPr>
            <w:tcW w:w="1604"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 xml:space="preserve">425 </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79</w:t>
            </w:r>
            <w:r w:rsidR="00BA416A">
              <w:rPr>
                <w:rFonts w:ascii="Times New Roman" w:hAnsi="Times New Roman"/>
                <w:sz w:val="28"/>
                <w:szCs w:val="28"/>
              </w:rPr>
              <w:t xml:space="preserve"> </w:t>
            </w:r>
            <w:r w:rsidRPr="00332B1B">
              <w:rPr>
                <w:rFonts w:ascii="Times New Roman" w:hAnsi="Times New Roman"/>
                <w:sz w:val="28"/>
                <w:szCs w:val="28"/>
              </w:rPr>
              <w:t>341</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10</w:t>
            </w:r>
            <w:r w:rsidR="00BA416A">
              <w:rPr>
                <w:rFonts w:ascii="Times New Roman" w:hAnsi="Times New Roman"/>
                <w:sz w:val="28"/>
                <w:szCs w:val="28"/>
              </w:rPr>
              <w:t xml:space="preserve"> </w:t>
            </w:r>
            <w:r w:rsidRPr="00332B1B">
              <w:rPr>
                <w:rFonts w:ascii="Times New Roman" w:hAnsi="Times New Roman"/>
                <w:sz w:val="28"/>
                <w:szCs w:val="28"/>
              </w:rPr>
              <w:t>469</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168</w:t>
            </w:r>
            <w:r w:rsidR="00BA416A">
              <w:rPr>
                <w:rFonts w:ascii="Times New Roman" w:hAnsi="Times New Roman"/>
                <w:sz w:val="28"/>
                <w:szCs w:val="28"/>
              </w:rPr>
              <w:t xml:space="preserve"> </w:t>
            </w:r>
            <w:r w:rsidRPr="00332B1B">
              <w:rPr>
                <w:rFonts w:ascii="Times New Roman" w:hAnsi="Times New Roman"/>
                <w:sz w:val="28"/>
                <w:szCs w:val="28"/>
              </w:rPr>
              <w:t>904</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259</w:t>
            </w:r>
            <w:r w:rsidR="00BA416A">
              <w:rPr>
                <w:rFonts w:ascii="Times New Roman" w:hAnsi="Times New Roman"/>
                <w:sz w:val="28"/>
                <w:szCs w:val="28"/>
              </w:rPr>
              <w:t xml:space="preserve"> </w:t>
            </w:r>
            <w:r w:rsidRPr="00332B1B">
              <w:rPr>
                <w:rFonts w:ascii="Times New Roman" w:hAnsi="Times New Roman"/>
                <w:sz w:val="28"/>
                <w:szCs w:val="28"/>
              </w:rPr>
              <w:t>139</w:t>
            </w:r>
          </w:p>
        </w:tc>
      </w:tr>
      <w:tr w:rsidR="00332B1B" w:rsidRPr="00332B1B" w:rsidTr="005A5603">
        <w:tc>
          <w:tcPr>
            <w:tcW w:w="1604"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Станом на 01.01.2023*</w:t>
            </w:r>
          </w:p>
        </w:tc>
        <w:tc>
          <w:tcPr>
            <w:tcW w:w="1604"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lang w:val="uk-UA" w:eastAsia="uk-UA"/>
              </w:rPr>
              <w:t>-</w:t>
            </w:r>
          </w:p>
        </w:tc>
        <w:tc>
          <w:tcPr>
            <w:tcW w:w="1605" w:type="dxa"/>
          </w:tcPr>
          <w:p w:rsidR="00AB4C05" w:rsidRPr="00332B1B" w:rsidRDefault="00AB4C05" w:rsidP="005A5603">
            <w:pPr>
              <w:widowControl w:val="0"/>
              <w:spacing w:after="120"/>
              <w:jc w:val="center"/>
              <w:rPr>
                <w:rFonts w:ascii="Times New Roman" w:hAnsi="Times New Roman"/>
                <w:sz w:val="28"/>
                <w:szCs w:val="28"/>
                <w:lang w:val="uk-UA" w:eastAsia="uk-UA"/>
              </w:rPr>
            </w:pPr>
            <w:r w:rsidRPr="00332B1B">
              <w:rPr>
                <w:rFonts w:ascii="Times New Roman" w:hAnsi="Times New Roman"/>
                <w:sz w:val="28"/>
                <w:szCs w:val="28"/>
              </w:rPr>
              <w:t>261</w:t>
            </w:r>
            <w:r w:rsidR="00BA416A">
              <w:rPr>
                <w:rFonts w:ascii="Times New Roman" w:hAnsi="Times New Roman"/>
                <w:sz w:val="28"/>
                <w:szCs w:val="28"/>
              </w:rPr>
              <w:t xml:space="preserve"> </w:t>
            </w:r>
            <w:r w:rsidRPr="00332B1B">
              <w:rPr>
                <w:rFonts w:ascii="Times New Roman" w:hAnsi="Times New Roman"/>
                <w:sz w:val="28"/>
                <w:szCs w:val="28"/>
              </w:rPr>
              <w:t>351</w:t>
            </w:r>
          </w:p>
        </w:tc>
      </w:tr>
    </w:tbl>
    <w:p w:rsidR="00AB4C05" w:rsidRPr="00332B1B" w:rsidRDefault="00AB4C05" w:rsidP="00AB4C05">
      <w:pPr>
        <w:widowControl w:val="0"/>
        <w:spacing w:after="120"/>
        <w:ind w:firstLine="567"/>
        <w:jc w:val="both"/>
        <w:rPr>
          <w:sz w:val="28"/>
          <w:szCs w:val="28"/>
        </w:rPr>
      </w:pPr>
      <w:r w:rsidRPr="00332B1B">
        <w:rPr>
          <w:sz w:val="28"/>
          <w:szCs w:val="28"/>
        </w:rPr>
        <w:t xml:space="preserve">*- </w:t>
      </w:r>
      <w:r w:rsidRPr="00332B1B">
        <w:t>ві</w:t>
      </w:r>
      <w:r w:rsidR="004D394E" w:rsidRPr="00332B1B">
        <w:t>д</w:t>
      </w:r>
      <w:r w:rsidRPr="00332B1B">
        <w:t>сутня річна звітність для розмежування платників</w:t>
      </w:r>
    </w:p>
    <w:p w:rsidR="00AB4C05" w:rsidRDefault="00AB4C05" w:rsidP="00457ACE">
      <w:pPr>
        <w:tabs>
          <w:tab w:val="left" w:pos="851"/>
        </w:tabs>
        <w:spacing w:after="240"/>
        <w:ind w:firstLine="567"/>
        <w:jc w:val="both"/>
        <w:rPr>
          <w:sz w:val="28"/>
          <w:szCs w:val="28"/>
        </w:rPr>
      </w:pPr>
      <w:r w:rsidRPr="00332B1B">
        <w:rPr>
          <w:sz w:val="28"/>
          <w:szCs w:val="28"/>
        </w:rPr>
        <w:t xml:space="preserve">Дані </w:t>
      </w:r>
      <w:r w:rsidRPr="00332B1B">
        <w:rPr>
          <w:sz w:val="28"/>
          <w:szCs w:val="28"/>
          <w:highlight w:val="white"/>
        </w:rPr>
        <w:t>інформаційних систем ДПС</w:t>
      </w:r>
      <w:r w:rsidRPr="00332B1B">
        <w:rPr>
          <w:sz w:val="28"/>
          <w:szCs w:val="28"/>
        </w:rPr>
        <w:t xml:space="preserve"> щодо декларування платниками податку на додану вартість податкового зобов’язання та податкового кредиту в цілому та по операціях з отримання послуг від нерезидентів на митній території України протягом 2020-2021 років та 11 місяців 2022 року :</w:t>
      </w:r>
    </w:p>
    <w:tbl>
      <w:tblPr>
        <w:tblStyle w:val="afc"/>
        <w:tblW w:w="9774" w:type="dxa"/>
        <w:tblLook w:val="04A0" w:firstRow="1" w:lastRow="0" w:firstColumn="1" w:lastColumn="0" w:noHBand="0" w:noVBand="1"/>
      </w:tblPr>
      <w:tblGrid>
        <w:gridCol w:w="1980"/>
        <w:gridCol w:w="1558"/>
        <w:gridCol w:w="1559"/>
        <w:gridCol w:w="1559"/>
        <w:gridCol w:w="1559"/>
        <w:gridCol w:w="1559"/>
      </w:tblGrid>
      <w:tr w:rsidR="00332B1B" w:rsidRPr="00332B1B" w:rsidTr="005A5603">
        <w:tc>
          <w:tcPr>
            <w:tcW w:w="1980" w:type="dxa"/>
          </w:tcPr>
          <w:p w:rsidR="00AB4C05" w:rsidRPr="00332B1B" w:rsidRDefault="00AB4C05" w:rsidP="00B46A4F">
            <w:pPr>
              <w:tabs>
                <w:tab w:val="left" w:pos="851"/>
              </w:tabs>
              <w:jc w:val="center"/>
              <w:rPr>
                <w:rFonts w:ascii="Times New Roman" w:hAnsi="Times New Roman"/>
                <w:b/>
                <w:sz w:val="24"/>
                <w:szCs w:val="24"/>
                <w:lang w:val="uk-UA"/>
              </w:rPr>
            </w:pPr>
            <w:r w:rsidRPr="00332B1B">
              <w:rPr>
                <w:rFonts w:ascii="Times New Roman" w:hAnsi="Times New Roman"/>
                <w:b/>
                <w:sz w:val="24"/>
                <w:szCs w:val="24"/>
                <w:lang w:val="uk-UA"/>
              </w:rPr>
              <w:t xml:space="preserve">Показник </w:t>
            </w:r>
          </w:p>
        </w:tc>
        <w:tc>
          <w:tcPr>
            <w:tcW w:w="1558" w:type="dxa"/>
          </w:tcPr>
          <w:p w:rsidR="00AB4C05" w:rsidRPr="00332B1B" w:rsidRDefault="00AB4C05" w:rsidP="00B46A4F">
            <w:pPr>
              <w:tabs>
                <w:tab w:val="left" w:pos="851"/>
              </w:tabs>
              <w:jc w:val="center"/>
              <w:rPr>
                <w:rFonts w:ascii="Times New Roman" w:hAnsi="Times New Roman"/>
                <w:b/>
                <w:sz w:val="24"/>
                <w:szCs w:val="24"/>
                <w:lang w:val="uk-UA"/>
              </w:rPr>
            </w:pPr>
            <w:r w:rsidRPr="00332B1B">
              <w:rPr>
                <w:rFonts w:ascii="Times New Roman" w:hAnsi="Times New Roman"/>
                <w:b/>
                <w:sz w:val="24"/>
                <w:szCs w:val="24"/>
                <w:lang w:val="uk-UA"/>
              </w:rPr>
              <w:t>Великі</w:t>
            </w:r>
          </w:p>
        </w:tc>
        <w:tc>
          <w:tcPr>
            <w:tcW w:w="1559" w:type="dxa"/>
          </w:tcPr>
          <w:p w:rsidR="00AB4C05" w:rsidRPr="00332B1B" w:rsidRDefault="00AB4C05" w:rsidP="00B46A4F">
            <w:pPr>
              <w:tabs>
                <w:tab w:val="left" w:pos="851"/>
              </w:tabs>
              <w:jc w:val="center"/>
              <w:rPr>
                <w:rFonts w:ascii="Times New Roman" w:hAnsi="Times New Roman"/>
                <w:b/>
                <w:sz w:val="24"/>
                <w:szCs w:val="24"/>
                <w:lang w:val="uk-UA"/>
              </w:rPr>
            </w:pPr>
            <w:r w:rsidRPr="00332B1B">
              <w:rPr>
                <w:rFonts w:ascii="Times New Roman" w:hAnsi="Times New Roman"/>
                <w:b/>
                <w:sz w:val="24"/>
                <w:szCs w:val="24"/>
                <w:lang w:val="uk-UA"/>
              </w:rPr>
              <w:t>Середні</w:t>
            </w:r>
          </w:p>
        </w:tc>
        <w:tc>
          <w:tcPr>
            <w:tcW w:w="1559" w:type="dxa"/>
          </w:tcPr>
          <w:p w:rsidR="00AB4C05" w:rsidRPr="00332B1B" w:rsidRDefault="00AB4C05" w:rsidP="00B46A4F">
            <w:pPr>
              <w:tabs>
                <w:tab w:val="left" w:pos="851"/>
              </w:tabs>
              <w:jc w:val="center"/>
              <w:rPr>
                <w:rFonts w:ascii="Times New Roman" w:hAnsi="Times New Roman"/>
                <w:b/>
                <w:sz w:val="24"/>
                <w:szCs w:val="24"/>
                <w:lang w:val="uk-UA"/>
              </w:rPr>
            </w:pPr>
            <w:r w:rsidRPr="00332B1B">
              <w:rPr>
                <w:rFonts w:ascii="Times New Roman" w:hAnsi="Times New Roman"/>
                <w:b/>
                <w:sz w:val="24"/>
                <w:szCs w:val="24"/>
                <w:lang w:val="uk-UA"/>
              </w:rPr>
              <w:t>Малі</w:t>
            </w:r>
          </w:p>
        </w:tc>
        <w:tc>
          <w:tcPr>
            <w:tcW w:w="1559" w:type="dxa"/>
          </w:tcPr>
          <w:p w:rsidR="00AB4C05" w:rsidRPr="00332B1B" w:rsidRDefault="00AB4C05" w:rsidP="00B46A4F">
            <w:pPr>
              <w:tabs>
                <w:tab w:val="left" w:pos="851"/>
              </w:tabs>
              <w:jc w:val="center"/>
              <w:rPr>
                <w:rFonts w:ascii="Times New Roman" w:hAnsi="Times New Roman"/>
                <w:b/>
                <w:sz w:val="24"/>
                <w:szCs w:val="24"/>
                <w:lang w:val="uk-UA"/>
              </w:rPr>
            </w:pPr>
            <w:r w:rsidRPr="00332B1B">
              <w:rPr>
                <w:rFonts w:ascii="Times New Roman" w:hAnsi="Times New Roman"/>
                <w:b/>
                <w:sz w:val="24"/>
                <w:szCs w:val="24"/>
                <w:lang w:val="uk-UA"/>
              </w:rPr>
              <w:t>Мікро</w:t>
            </w:r>
          </w:p>
        </w:tc>
        <w:tc>
          <w:tcPr>
            <w:tcW w:w="1559" w:type="dxa"/>
          </w:tcPr>
          <w:p w:rsidR="00AB4C05" w:rsidRPr="00332B1B" w:rsidRDefault="00AB4C05" w:rsidP="00B46A4F">
            <w:pPr>
              <w:tabs>
                <w:tab w:val="left" w:pos="851"/>
              </w:tabs>
              <w:jc w:val="center"/>
              <w:rPr>
                <w:rFonts w:ascii="Times New Roman" w:hAnsi="Times New Roman"/>
                <w:b/>
                <w:sz w:val="24"/>
                <w:szCs w:val="24"/>
                <w:lang w:val="uk-UA"/>
              </w:rPr>
            </w:pPr>
            <w:r w:rsidRPr="00332B1B">
              <w:rPr>
                <w:rFonts w:ascii="Times New Roman" w:hAnsi="Times New Roman"/>
                <w:b/>
                <w:sz w:val="24"/>
                <w:szCs w:val="24"/>
                <w:lang w:val="uk-UA"/>
              </w:rPr>
              <w:t>Разом</w:t>
            </w:r>
          </w:p>
        </w:tc>
      </w:tr>
      <w:tr w:rsidR="00332B1B" w:rsidRPr="00332B1B" w:rsidTr="005A5603">
        <w:trPr>
          <w:trHeight w:val="1125"/>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Загальна сума податкового зобов’язання з ПДВ (рядок 9 декларацій з ПДВ ), млн грн</w:t>
            </w:r>
          </w:p>
        </w:tc>
        <w:tc>
          <w:tcPr>
            <w:tcW w:w="1558"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2020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486913,8</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994368,2</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135329,2</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165737,0</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1782348,2</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2021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630613,6</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1349934,4</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161599,0</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210890,5</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2353037,5</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2022 рік*</w:t>
            </w:r>
          </w:p>
        </w:tc>
        <w:tc>
          <w:tcPr>
            <w:tcW w:w="1558"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1488860,2</w:t>
            </w:r>
          </w:p>
        </w:tc>
      </w:tr>
      <w:tr w:rsidR="00332B1B" w:rsidRPr="00332B1B" w:rsidTr="005A5603">
        <w:trPr>
          <w:trHeight w:val="12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 xml:space="preserve">Загальна сума податкового кредиту з ПДВ (рядок 17 </w:t>
            </w:r>
            <w:r w:rsidRPr="00332B1B">
              <w:rPr>
                <w:rFonts w:ascii="Times New Roman" w:hAnsi="Times New Roman"/>
                <w:sz w:val="24"/>
                <w:szCs w:val="24"/>
                <w:lang w:val="uk-UA"/>
              </w:rPr>
              <w:lastRenderedPageBreak/>
              <w:t>декларацій з ПДВ ), млн грн</w:t>
            </w:r>
          </w:p>
        </w:tc>
        <w:tc>
          <w:tcPr>
            <w:tcW w:w="1558"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lastRenderedPageBreak/>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2020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536490,5</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1468981,6</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197412,2</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462417,8</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2665302,1</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2021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746497,9</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1930688,1</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228154,2</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562140,9</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3467481,1</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2022 рік*</w:t>
            </w:r>
          </w:p>
        </w:tc>
        <w:tc>
          <w:tcPr>
            <w:tcW w:w="1558"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2672970,1</w:t>
            </w:r>
          </w:p>
        </w:tc>
      </w:tr>
      <w:tr w:rsidR="00332B1B" w:rsidRPr="00332B1B" w:rsidTr="00B46A4F">
        <w:trPr>
          <w:trHeight w:val="2473"/>
        </w:trPr>
        <w:tc>
          <w:tcPr>
            <w:tcW w:w="1980"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 xml:space="preserve">Кількість платників ПДВ, якими задекларовано операції з отримання послуг від нерезидентів, млн грн  </w:t>
            </w:r>
          </w:p>
        </w:tc>
        <w:tc>
          <w:tcPr>
            <w:tcW w:w="1558"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 xml:space="preserve">x </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x</w:t>
            </w:r>
          </w:p>
        </w:tc>
      </w:tr>
      <w:tr w:rsidR="00332B1B" w:rsidRPr="00332B1B" w:rsidTr="00B46A4F">
        <w:trPr>
          <w:trHeight w:val="285"/>
        </w:trPr>
        <w:tc>
          <w:tcPr>
            <w:tcW w:w="1980"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2020 рік</w:t>
            </w:r>
          </w:p>
        </w:tc>
        <w:tc>
          <w:tcPr>
            <w:tcW w:w="1558"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261</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2625</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830</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1632</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5348</w:t>
            </w:r>
          </w:p>
        </w:tc>
      </w:tr>
      <w:tr w:rsidR="00332B1B" w:rsidRPr="00332B1B" w:rsidTr="00B46A4F">
        <w:trPr>
          <w:trHeight w:val="305"/>
        </w:trPr>
        <w:tc>
          <w:tcPr>
            <w:tcW w:w="1980"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2021 рік</w:t>
            </w:r>
          </w:p>
        </w:tc>
        <w:tc>
          <w:tcPr>
            <w:tcW w:w="1558"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284</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2837</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883</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1807</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5811</w:t>
            </w:r>
          </w:p>
        </w:tc>
      </w:tr>
      <w:tr w:rsidR="00332B1B" w:rsidRPr="00332B1B" w:rsidTr="00B46A4F">
        <w:trPr>
          <w:trHeight w:val="325"/>
        </w:trPr>
        <w:tc>
          <w:tcPr>
            <w:tcW w:w="1980"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2022 рік*</w:t>
            </w:r>
          </w:p>
        </w:tc>
        <w:tc>
          <w:tcPr>
            <w:tcW w:w="1558"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tcPr>
          <w:p w:rsidR="00AB4C05" w:rsidRPr="00332B1B" w:rsidRDefault="00AB4C05" w:rsidP="00B46A4F">
            <w:pPr>
              <w:tabs>
                <w:tab w:val="left" w:pos="851"/>
              </w:tabs>
              <w:jc w:val="center"/>
              <w:rPr>
                <w:rFonts w:ascii="Times New Roman" w:hAnsi="Times New Roman"/>
                <w:sz w:val="24"/>
                <w:szCs w:val="24"/>
                <w:lang w:val="uk-UA"/>
              </w:rPr>
            </w:pPr>
            <w:r w:rsidRPr="00332B1B">
              <w:rPr>
                <w:rFonts w:ascii="Times New Roman" w:hAnsi="Times New Roman"/>
                <w:sz w:val="24"/>
                <w:szCs w:val="24"/>
                <w:lang w:val="uk-UA"/>
              </w:rPr>
              <w:t>4196</w:t>
            </w:r>
          </w:p>
        </w:tc>
      </w:tr>
      <w:tr w:rsidR="00332B1B" w:rsidRPr="00332B1B" w:rsidTr="005A5603">
        <w:trPr>
          <w:trHeight w:val="15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 xml:space="preserve">Сума податкового зобов’язання з ПДВ, задекларована платниками за послуги, отримані від нерезидентів (кол. Б ряд. 6.1. та 6.2), млн грн </w:t>
            </w:r>
          </w:p>
        </w:tc>
        <w:tc>
          <w:tcPr>
            <w:tcW w:w="1558"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2020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3741,9</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4628,2</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583,4</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425,4</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9378,9</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2021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4264,7</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6161,7</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527,3</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693,9</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11647,6</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2022 рік*</w:t>
            </w:r>
          </w:p>
        </w:tc>
        <w:tc>
          <w:tcPr>
            <w:tcW w:w="1558"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7294,2</w:t>
            </w:r>
          </w:p>
        </w:tc>
      </w:tr>
      <w:tr w:rsidR="00332B1B" w:rsidRPr="00332B1B" w:rsidTr="005A5603">
        <w:trPr>
          <w:trHeight w:val="15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 xml:space="preserve">Сума податкового кредиту ПДВ, задекларована платниками за послуги отримані від нерезидентів (кол. Б ряд. 13.1. та 13.2), млн грн </w:t>
            </w:r>
          </w:p>
        </w:tc>
        <w:tc>
          <w:tcPr>
            <w:tcW w:w="1558"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c>
          <w:tcPr>
            <w:tcW w:w="1559"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x</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2020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3700,2</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4599,6</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571,8</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417,5</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9289,1</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2021 рік</w:t>
            </w:r>
          </w:p>
        </w:tc>
        <w:tc>
          <w:tcPr>
            <w:tcW w:w="1558"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4527,8</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5996,9</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542,1</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701,8</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11768,6</w:t>
            </w:r>
          </w:p>
        </w:tc>
      </w:tr>
      <w:tr w:rsidR="00332B1B" w:rsidRPr="00332B1B" w:rsidTr="005A5603">
        <w:trPr>
          <w:trHeight w:val="300"/>
        </w:trPr>
        <w:tc>
          <w:tcPr>
            <w:tcW w:w="1980" w:type="dxa"/>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2022 рік*</w:t>
            </w:r>
          </w:p>
        </w:tc>
        <w:tc>
          <w:tcPr>
            <w:tcW w:w="1558"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center"/>
              <w:rPr>
                <w:rFonts w:ascii="Times New Roman" w:hAnsi="Times New Roman"/>
                <w:sz w:val="24"/>
                <w:szCs w:val="24"/>
                <w:lang w:val="uk-UA"/>
              </w:rPr>
            </w:pPr>
            <w:r w:rsidRPr="00332B1B">
              <w:rPr>
                <w:rFonts w:ascii="Times New Roman" w:hAnsi="Times New Roman"/>
                <w:sz w:val="24"/>
                <w:szCs w:val="24"/>
                <w:lang w:val="uk-UA"/>
              </w:rPr>
              <w:t>-</w:t>
            </w:r>
          </w:p>
        </w:tc>
        <w:tc>
          <w:tcPr>
            <w:tcW w:w="1559" w:type="dxa"/>
            <w:noWrap/>
            <w:hideMark/>
          </w:tcPr>
          <w:p w:rsidR="00AB4C05" w:rsidRPr="00332B1B" w:rsidRDefault="00AB4C05" w:rsidP="005A5603">
            <w:pPr>
              <w:jc w:val="right"/>
              <w:rPr>
                <w:rFonts w:ascii="Times New Roman" w:hAnsi="Times New Roman"/>
                <w:sz w:val="24"/>
                <w:szCs w:val="24"/>
                <w:lang w:val="uk-UA"/>
              </w:rPr>
            </w:pPr>
            <w:r w:rsidRPr="00332B1B">
              <w:rPr>
                <w:rFonts w:ascii="Times New Roman" w:hAnsi="Times New Roman"/>
                <w:sz w:val="24"/>
                <w:szCs w:val="24"/>
                <w:lang w:val="uk-UA"/>
              </w:rPr>
              <w:t>7527,4</w:t>
            </w:r>
          </w:p>
        </w:tc>
      </w:tr>
    </w:tbl>
    <w:p w:rsidR="00AB4C05" w:rsidRPr="00332B1B" w:rsidRDefault="00AB4C05" w:rsidP="00AB4C05">
      <w:pPr>
        <w:widowControl w:val="0"/>
        <w:spacing w:after="120"/>
        <w:ind w:firstLine="567"/>
        <w:jc w:val="both"/>
      </w:pPr>
      <w:r w:rsidRPr="00332B1B">
        <w:rPr>
          <w:sz w:val="28"/>
          <w:szCs w:val="28"/>
        </w:rPr>
        <w:t xml:space="preserve">*- </w:t>
      </w:r>
      <w:r w:rsidRPr="00332B1B">
        <w:t>ві</w:t>
      </w:r>
      <w:r w:rsidR="00BA416A">
        <w:t>д</w:t>
      </w:r>
      <w:r w:rsidRPr="00332B1B">
        <w:t>сутня річна звітність для розмежування платників</w:t>
      </w:r>
    </w:p>
    <w:p w:rsidR="00AB4C05" w:rsidRPr="00332B1B" w:rsidRDefault="00AB4C05" w:rsidP="00AB4C05">
      <w:pPr>
        <w:pBdr>
          <w:top w:val="nil"/>
          <w:left w:val="nil"/>
          <w:bottom w:val="nil"/>
          <w:right w:val="nil"/>
          <w:between w:val="nil"/>
        </w:pBdr>
        <w:ind w:firstLine="567"/>
        <w:jc w:val="both"/>
        <w:rPr>
          <w:sz w:val="28"/>
          <w:szCs w:val="28"/>
          <w:highlight w:val="white"/>
        </w:rPr>
      </w:pPr>
      <w:r w:rsidRPr="00332B1B">
        <w:rPr>
          <w:sz w:val="28"/>
          <w:szCs w:val="28"/>
          <w:highlight w:val="white"/>
        </w:rPr>
        <w:lastRenderedPageBreak/>
        <w:t>За даними ДПС, станом на 01.01.2022 року загальна кількість суб’єктів великого та середнього підприємництва становить близько 31 % від загальної кількості зареєстрованих платників податку на додану вартість, водночас кількість суб’єктів господарювання, які належать до суб’єктів малого та мікропідприємництва, становить 69 % від загальної платників податку на додану вартість.</w:t>
      </w:r>
    </w:p>
    <w:p w:rsidR="00AB4C05" w:rsidRPr="00332B1B" w:rsidRDefault="00AB4C05" w:rsidP="00AB4C05">
      <w:pPr>
        <w:pBdr>
          <w:top w:val="nil"/>
          <w:left w:val="nil"/>
          <w:bottom w:val="nil"/>
          <w:right w:val="nil"/>
          <w:between w:val="nil"/>
        </w:pBdr>
        <w:ind w:firstLine="567"/>
        <w:jc w:val="both"/>
        <w:rPr>
          <w:sz w:val="28"/>
          <w:szCs w:val="28"/>
          <w:highlight w:val="white"/>
        </w:rPr>
      </w:pPr>
      <w:r w:rsidRPr="00332B1B">
        <w:rPr>
          <w:sz w:val="28"/>
          <w:szCs w:val="28"/>
          <w:highlight w:val="white"/>
        </w:rPr>
        <w:t>При цьому, кількість платників податку на додану вартість великого та середнього підприємництва, якими за 2021 рік задекларовано отримання послуг від нерезидентів на митній території України, становить 54 % від загальної кількості платників, які задекларували отримання таких послуг, а кількість платників податку на додану вартість, які належать до суб’єктів малого та мікропідприємництва, становить 46 % від загальної кількості платників податку на додану вартість, які задекларували отримання таких послуг.</w:t>
      </w:r>
    </w:p>
    <w:p w:rsidR="00AB4C05" w:rsidRPr="00332B1B" w:rsidRDefault="00AB4C05" w:rsidP="00B9026E">
      <w:pPr>
        <w:pBdr>
          <w:top w:val="nil"/>
          <w:left w:val="nil"/>
          <w:bottom w:val="nil"/>
          <w:right w:val="nil"/>
          <w:between w:val="nil"/>
        </w:pBdr>
        <w:jc w:val="both"/>
        <w:rPr>
          <w:sz w:val="28"/>
          <w:szCs w:val="28"/>
          <w:highlight w:val="white"/>
        </w:rPr>
      </w:pPr>
    </w:p>
    <w:tbl>
      <w:tblPr>
        <w:tblpPr w:leftFromText="180" w:rightFromText="180" w:vertAnchor="text" w:horzAnchor="margin" w:tblpX="-10" w:tblpY="-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91"/>
        <w:gridCol w:w="1134"/>
        <w:gridCol w:w="1276"/>
        <w:gridCol w:w="1265"/>
        <w:gridCol w:w="1276"/>
        <w:gridCol w:w="997"/>
      </w:tblGrid>
      <w:tr w:rsidR="00332B1B" w:rsidRPr="00332B1B" w:rsidTr="005A5603">
        <w:tc>
          <w:tcPr>
            <w:tcW w:w="3691" w:type="dxa"/>
          </w:tcPr>
          <w:p w:rsidR="00AB4C05" w:rsidRPr="00332B1B" w:rsidRDefault="00AB4C05" w:rsidP="005A5603">
            <w:pPr>
              <w:tabs>
                <w:tab w:val="left" w:pos="851"/>
              </w:tabs>
              <w:spacing w:after="120"/>
              <w:jc w:val="center"/>
              <w:rPr>
                <w:b/>
                <w:sz w:val="24"/>
                <w:szCs w:val="24"/>
              </w:rPr>
            </w:pPr>
            <w:r w:rsidRPr="00332B1B">
              <w:rPr>
                <w:b/>
                <w:sz w:val="24"/>
                <w:szCs w:val="24"/>
              </w:rPr>
              <w:t xml:space="preserve">Показник </w:t>
            </w:r>
          </w:p>
        </w:tc>
        <w:tc>
          <w:tcPr>
            <w:tcW w:w="1134" w:type="dxa"/>
          </w:tcPr>
          <w:p w:rsidR="00AB4C05" w:rsidRPr="00332B1B" w:rsidRDefault="00AB4C05" w:rsidP="005A5603">
            <w:pPr>
              <w:tabs>
                <w:tab w:val="left" w:pos="851"/>
              </w:tabs>
              <w:spacing w:after="120"/>
              <w:jc w:val="center"/>
              <w:rPr>
                <w:b/>
                <w:sz w:val="24"/>
                <w:szCs w:val="24"/>
              </w:rPr>
            </w:pPr>
            <w:r w:rsidRPr="00332B1B">
              <w:rPr>
                <w:b/>
                <w:sz w:val="24"/>
                <w:szCs w:val="24"/>
              </w:rPr>
              <w:t>Великі</w:t>
            </w:r>
          </w:p>
        </w:tc>
        <w:tc>
          <w:tcPr>
            <w:tcW w:w="1276" w:type="dxa"/>
          </w:tcPr>
          <w:p w:rsidR="00AB4C05" w:rsidRPr="00332B1B" w:rsidRDefault="00AB4C05" w:rsidP="005A5603">
            <w:pPr>
              <w:tabs>
                <w:tab w:val="left" w:pos="851"/>
              </w:tabs>
              <w:spacing w:after="120"/>
              <w:jc w:val="center"/>
              <w:rPr>
                <w:b/>
                <w:sz w:val="24"/>
                <w:szCs w:val="24"/>
              </w:rPr>
            </w:pPr>
            <w:r w:rsidRPr="00332B1B">
              <w:rPr>
                <w:b/>
                <w:sz w:val="24"/>
                <w:szCs w:val="24"/>
              </w:rPr>
              <w:t>Середні</w:t>
            </w:r>
          </w:p>
        </w:tc>
        <w:tc>
          <w:tcPr>
            <w:tcW w:w="1265" w:type="dxa"/>
          </w:tcPr>
          <w:p w:rsidR="00AB4C05" w:rsidRPr="00332B1B" w:rsidRDefault="00AB4C05" w:rsidP="005A5603">
            <w:pPr>
              <w:tabs>
                <w:tab w:val="left" w:pos="851"/>
              </w:tabs>
              <w:spacing w:after="120"/>
              <w:jc w:val="center"/>
              <w:rPr>
                <w:b/>
                <w:sz w:val="24"/>
                <w:szCs w:val="24"/>
              </w:rPr>
            </w:pPr>
            <w:r w:rsidRPr="00332B1B">
              <w:rPr>
                <w:b/>
                <w:sz w:val="24"/>
                <w:szCs w:val="24"/>
              </w:rPr>
              <w:t>Малі</w:t>
            </w:r>
          </w:p>
        </w:tc>
        <w:tc>
          <w:tcPr>
            <w:tcW w:w="1276" w:type="dxa"/>
          </w:tcPr>
          <w:p w:rsidR="00AB4C05" w:rsidRPr="00332B1B" w:rsidRDefault="00AB4C05" w:rsidP="005A5603">
            <w:pPr>
              <w:tabs>
                <w:tab w:val="left" w:pos="851"/>
              </w:tabs>
              <w:spacing w:after="120"/>
              <w:jc w:val="center"/>
              <w:rPr>
                <w:b/>
                <w:sz w:val="24"/>
                <w:szCs w:val="24"/>
              </w:rPr>
            </w:pPr>
            <w:r w:rsidRPr="00332B1B">
              <w:rPr>
                <w:b/>
                <w:sz w:val="24"/>
                <w:szCs w:val="24"/>
              </w:rPr>
              <w:t>Мікро</w:t>
            </w:r>
          </w:p>
        </w:tc>
        <w:tc>
          <w:tcPr>
            <w:tcW w:w="997" w:type="dxa"/>
          </w:tcPr>
          <w:p w:rsidR="00AB4C05" w:rsidRPr="00332B1B" w:rsidRDefault="00AB4C05" w:rsidP="005A5603">
            <w:pPr>
              <w:tabs>
                <w:tab w:val="left" w:pos="851"/>
              </w:tabs>
              <w:spacing w:after="120"/>
              <w:jc w:val="center"/>
              <w:rPr>
                <w:b/>
                <w:sz w:val="24"/>
                <w:szCs w:val="24"/>
              </w:rPr>
            </w:pPr>
            <w:r w:rsidRPr="00332B1B">
              <w:rPr>
                <w:b/>
                <w:sz w:val="24"/>
                <w:szCs w:val="24"/>
              </w:rPr>
              <w:t>Разом</w:t>
            </w:r>
          </w:p>
        </w:tc>
      </w:tr>
      <w:tr w:rsidR="00332B1B" w:rsidRPr="00332B1B" w:rsidTr="005A5603">
        <w:tc>
          <w:tcPr>
            <w:tcW w:w="3691" w:type="dxa"/>
            <w:tcBorders>
              <w:top w:val="single" w:sz="4" w:space="0" w:color="000000"/>
              <w:left w:val="single" w:sz="4" w:space="0" w:color="000000"/>
              <w:bottom w:val="single" w:sz="4" w:space="0" w:color="000000"/>
              <w:right w:val="single" w:sz="4" w:space="0" w:color="000000"/>
            </w:tcBorders>
            <w:hideMark/>
          </w:tcPr>
          <w:p w:rsidR="00AB4C05" w:rsidRPr="00332B1B" w:rsidRDefault="00AB4C05" w:rsidP="005A5603">
            <w:pPr>
              <w:jc w:val="both"/>
              <w:rPr>
                <w:sz w:val="28"/>
                <w:szCs w:val="28"/>
              </w:rPr>
            </w:pPr>
            <w:r w:rsidRPr="00332B1B">
              <w:rPr>
                <w:sz w:val="28"/>
                <w:szCs w:val="28"/>
              </w:rPr>
              <w:t>Кількість суб’єктів господарювання, що підпадають під дію регулювання норми Податкового кодексу України*</w:t>
            </w:r>
          </w:p>
        </w:tc>
        <w:tc>
          <w:tcPr>
            <w:tcW w:w="1134" w:type="dxa"/>
            <w:tcBorders>
              <w:top w:val="single" w:sz="4" w:space="0" w:color="000000"/>
              <w:left w:val="single" w:sz="4" w:space="0" w:color="000000"/>
              <w:bottom w:val="single" w:sz="4" w:space="0" w:color="000000"/>
              <w:right w:val="single" w:sz="4" w:space="0" w:color="000000"/>
            </w:tcBorders>
            <w:hideMark/>
          </w:tcPr>
          <w:p w:rsidR="00AB4C05" w:rsidRPr="00332B1B" w:rsidRDefault="00AB4C05" w:rsidP="005A5603">
            <w:pPr>
              <w:jc w:val="center"/>
              <w:rPr>
                <w:sz w:val="28"/>
                <w:szCs w:val="28"/>
              </w:rPr>
            </w:pPr>
            <w:r w:rsidRPr="00332B1B">
              <w:rPr>
                <w:sz w:val="28"/>
                <w:szCs w:val="28"/>
              </w:rPr>
              <w:t>284</w:t>
            </w:r>
          </w:p>
        </w:tc>
        <w:tc>
          <w:tcPr>
            <w:tcW w:w="1276" w:type="dxa"/>
            <w:tcBorders>
              <w:top w:val="single" w:sz="4" w:space="0" w:color="000000"/>
              <w:left w:val="single" w:sz="4" w:space="0" w:color="000000"/>
              <w:bottom w:val="single" w:sz="4" w:space="0" w:color="000000"/>
              <w:right w:val="single" w:sz="4" w:space="0" w:color="000000"/>
            </w:tcBorders>
            <w:hideMark/>
          </w:tcPr>
          <w:p w:rsidR="00AB4C05" w:rsidRPr="00332B1B" w:rsidRDefault="00AB4C05" w:rsidP="005A5603">
            <w:pPr>
              <w:jc w:val="center"/>
              <w:rPr>
                <w:sz w:val="28"/>
                <w:szCs w:val="28"/>
              </w:rPr>
            </w:pPr>
            <w:r w:rsidRPr="00332B1B">
              <w:rPr>
                <w:sz w:val="28"/>
                <w:szCs w:val="28"/>
              </w:rPr>
              <w:t>2837</w:t>
            </w:r>
          </w:p>
        </w:tc>
        <w:tc>
          <w:tcPr>
            <w:tcW w:w="1265" w:type="dxa"/>
            <w:tcBorders>
              <w:top w:val="single" w:sz="4" w:space="0" w:color="000000"/>
              <w:left w:val="single" w:sz="4" w:space="0" w:color="000000"/>
              <w:bottom w:val="single" w:sz="4" w:space="0" w:color="000000"/>
              <w:right w:val="single" w:sz="4" w:space="0" w:color="000000"/>
            </w:tcBorders>
            <w:hideMark/>
          </w:tcPr>
          <w:p w:rsidR="00AB4C05" w:rsidRPr="00332B1B" w:rsidRDefault="00AB4C05" w:rsidP="005A5603">
            <w:pPr>
              <w:jc w:val="center"/>
              <w:rPr>
                <w:sz w:val="28"/>
                <w:szCs w:val="28"/>
              </w:rPr>
            </w:pPr>
            <w:r w:rsidRPr="00332B1B">
              <w:rPr>
                <w:sz w:val="28"/>
                <w:szCs w:val="28"/>
              </w:rPr>
              <w:t>883</w:t>
            </w:r>
          </w:p>
        </w:tc>
        <w:tc>
          <w:tcPr>
            <w:tcW w:w="1276" w:type="dxa"/>
            <w:tcBorders>
              <w:top w:val="single" w:sz="4" w:space="0" w:color="000000"/>
              <w:left w:val="single" w:sz="4" w:space="0" w:color="000000"/>
              <w:bottom w:val="single" w:sz="4" w:space="0" w:color="000000"/>
              <w:right w:val="single" w:sz="4" w:space="0" w:color="000000"/>
            </w:tcBorders>
            <w:hideMark/>
          </w:tcPr>
          <w:p w:rsidR="00AB4C05" w:rsidRPr="00332B1B" w:rsidRDefault="00AB4C05" w:rsidP="005A5603">
            <w:pPr>
              <w:jc w:val="center"/>
              <w:rPr>
                <w:sz w:val="28"/>
                <w:szCs w:val="28"/>
              </w:rPr>
            </w:pPr>
            <w:r w:rsidRPr="00332B1B">
              <w:rPr>
                <w:sz w:val="28"/>
                <w:szCs w:val="28"/>
              </w:rPr>
              <w:t>1807</w:t>
            </w:r>
          </w:p>
        </w:tc>
        <w:tc>
          <w:tcPr>
            <w:tcW w:w="997" w:type="dxa"/>
            <w:tcBorders>
              <w:top w:val="single" w:sz="4" w:space="0" w:color="000000"/>
              <w:left w:val="single" w:sz="4" w:space="0" w:color="000000"/>
              <w:bottom w:val="single" w:sz="4" w:space="0" w:color="000000"/>
              <w:right w:val="single" w:sz="4" w:space="0" w:color="000000"/>
            </w:tcBorders>
            <w:hideMark/>
          </w:tcPr>
          <w:p w:rsidR="00AB4C05" w:rsidRPr="00332B1B" w:rsidRDefault="00AB4C05" w:rsidP="005A5603">
            <w:pPr>
              <w:jc w:val="center"/>
              <w:rPr>
                <w:sz w:val="28"/>
                <w:szCs w:val="28"/>
              </w:rPr>
            </w:pPr>
            <w:r w:rsidRPr="00332B1B">
              <w:rPr>
                <w:sz w:val="28"/>
                <w:szCs w:val="28"/>
              </w:rPr>
              <w:t>5811</w:t>
            </w:r>
          </w:p>
        </w:tc>
      </w:tr>
      <w:tr w:rsidR="00332B1B" w:rsidRPr="00332B1B" w:rsidTr="005A5603">
        <w:tc>
          <w:tcPr>
            <w:tcW w:w="3691" w:type="dxa"/>
            <w:tcBorders>
              <w:top w:val="single" w:sz="4" w:space="0" w:color="000000"/>
              <w:left w:val="single" w:sz="4" w:space="0" w:color="000000"/>
              <w:bottom w:val="single" w:sz="4" w:space="0" w:color="000000"/>
              <w:right w:val="single" w:sz="4" w:space="0" w:color="000000"/>
            </w:tcBorders>
            <w:hideMark/>
          </w:tcPr>
          <w:p w:rsidR="00AB4C05" w:rsidRPr="00332B1B" w:rsidRDefault="00AB4C05" w:rsidP="005A5603">
            <w:pPr>
              <w:jc w:val="both"/>
              <w:rPr>
                <w:sz w:val="28"/>
                <w:szCs w:val="28"/>
              </w:rPr>
            </w:pPr>
            <w:r w:rsidRPr="00332B1B">
              <w:rPr>
                <w:sz w:val="28"/>
                <w:szCs w:val="28"/>
              </w:rPr>
              <w:t>Питома вага групи у загальній кількості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B4C05" w:rsidRPr="00332B1B" w:rsidRDefault="00AB4C05" w:rsidP="005A5603">
            <w:pPr>
              <w:jc w:val="center"/>
              <w:rPr>
                <w:sz w:val="28"/>
                <w:szCs w:val="28"/>
              </w:rPr>
            </w:pPr>
            <w:r w:rsidRPr="00332B1B">
              <w:rPr>
                <w:sz w:val="28"/>
                <w:szCs w:val="28"/>
              </w:rPr>
              <w:t>4,9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B4C05" w:rsidRPr="00332B1B" w:rsidRDefault="00AB4C05" w:rsidP="005A5603">
            <w:pPr>
              <w:jc w:val="center"/>
              <w:rPr>
                <w:sz w:val="28"/>
                <w:szCs w:val="28"/>
              </w:rPr>
            </w:pPr>
            <w:r w:rsidRPr="00332B1B">
              <w:rPr>
                <w:sz w:val="28"/>
                <w:szCs w:val="28"/>
              </w:rPr>
              <w:t>48,8</w:t>
            </w:r>
          </w:p>
        </w:tc>
        <w:tc>
          <w:tcPr>
            <w:tcW w:w="1265" w:type="dxa"/>
            <w:tcBorders>
              <w:top w:val="single" w:sz="4" w:space="0" w:color="000000"/>
              <w:left w:val="single" w:sz="4" w:space="0" w:color="000000"/>
              <w:bottom w:val="single" w:sz="4" w:space="0" w:color="000000"/>
              <w:right w:val="single" w:sz="4" w:space="0" w:color="000000"/>
            </w:tcBorders>
            <w:vAlign w:val="center"/>
            <w:hideMark/>
          </w:tcPr>
          <w:p w:rsidR="00AB4C05" w:rsidRPr="00332B1B" w:rsidRDefault="00AB4C05" w:rsidP="005A5603">
            <w:pPr>
              <w:jc w:val="center"/>
              <w:rPr>
                <w:sz w:val="28"/>
                <w:szCs w:val="28"/>
              </w:rPr>
            </w:pPr>
            <w:r w:rsidRPr="00332B1B">
              <w:rPr>
                <w:sz w:val="28"/>
                <w:szCs w:val="28"/>
              </w:rPr>
              <w:t>15,2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AB4C05" w:rsidRPr="00332B1B" w:rsidRDefault="00AB4C05" w:rsidP="005A5603">
            <w:pPr>
              <w:jc w:val="center"/>
              <w:rPr>
                <w:sz w:val="28"/>
                <w:szCs w:val="28"/>
              </w:rPr>
            </w:pPr>
            <w:r w:rsidRPr="00332B1B">
              <w:rPr>
                <w:sz w:val="28"/>
                <w:szCs w:val="28"/>
              </w:rPr>
              <w:t>31,1</w:t>
            </w:r>
          </w:p>
        </w:tc>
        <w:tc>
          <w:tcPr>
            <w:tcW w:w="997" w:type="dxa"/>
            <w:tcBorders>
              <w:top w:val="single" w:sz="4" w:space="0" w:color="000000"/>
              <w:left w:val="single" w:sz="4" w:space="0" w:color="000000"/>
              <w:bottom w:val="single" w:sz="4" w:space="0" w:color="000000"/>
              <w:right w:val="single" w:sz="4" w:space="0" w:color="000000"/>
            </w:tcBorders>
            <w:vAlign w:val="center"/>
            <w:hideMark/>
          </w:tcPr>
          <w:p w:rsidR="00AB4C05" w:rsidRPr="00332B1B" w:rsidRDefault="00AB4C05" w:rsidP="005A5603">
            <w:pPr>
              <w:jc w:val="center"/>
              <w:rPr>
                <w:sz w:val="28"/>
                <w:szCs w:val="28"/>
              </w:rPr>
            </w:pPr>
            <w:r w:rsidRPr="00332B1B">
              <w:rPr>
                <w:sz w:val="28"/>
                <w:szCs w:val="28"/>
              </w:rPr>
              <w:t>100</w:t>
            </w:r>
          </w:p>
        </w:tc>
      </w:tr>
    </w:tbl>
    <w:p w:rsidR="00AB4C05" w:rsidRPr="00B9026E" w:rsidRDefault="00AB4C05" w:rsidP="00B9026E">
      <w:pPr>
        <w:widowControl w:val="0"/>
        <w:spacing w:after="120"/>
        <w:ind w:firstLine="567"/>
        <w:jc w:val="both"/>
      </w:pPr>
      <w:r w:rsidRPr="00B9026E">
        <w:t>*- кількість платників ПДВ, якими задекларовано операції з отримання послуг від нерезидентів на митній території України, п</w:t>
      </w:r>
      <w:r w:rsidR="004D394E" w:rsidRPr="00B9026E">
        <w:t>р</w:t>
      </w:r>
      <w:r w:rsidRPr="00B9026E">
        <w:t>отягом 2021 року</w:t>
      </w:r>
    </w:p>
    <w:p w:rsidR="00AB4C05" w:rsidRDefault="00AB4C05" w:rsidP="00457ACE">
      <w:pPr>
        <w:jc w:val="both"/>
        <w:rPr>
          <w:sz w:val="28"/>
          <w:szCs w:val="28"/>
        </w:rPr>
      </w:pPr>
    </w:p>
    <w:tbl>
      <w:tblPr>
        <w:tblW w:w="9781" w:type="dxa"/>
        <w:tblInd w:w="-8" w:type="dxa"/>
        <w:tblLook w:val="00A0" w:firstRow="1" w:lastRow="0" w:firstColumn="1" w:lastColumn="0" w:noHBand="0" w:noVBand="0"/>
      </w:tblPr>
      <w:tblGrid>
        <w:gridCol w:w="2239"/>
        <w:gridCol w:w="3262"/>
        <w:gridCol w:w="4280"/>
      </w:tblGrid>
      <w:tr w:rsidR="00332B1B" w:rsidRPr="00332B1B" w:rsidTr="00B9026E">
        <w:tc>
          <w:tcPr>
            <w:tcW w:w="2239"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jc w:val="center"/>
              <w:rPr>
                <w:b/>
                <w:bCs/>
                <w:sz w:val="28"/>
                <w:szCs w:val="28"/>
              </w:rPr>
            </w:pPr>
            <w:r w:rsidRPr="00332B1B">
              <w:rPr>
                <w:b/>
                <w:bCs/>
                <w:sz w:val="28"/>
                <w:szCs w:val="28"/>
              </w:rPr>
              <w:t>Вид альтернативи</w:t>
            </w:r>
          </w:p>
        </w:tc>
        <w:tc>
          <w:tcPr>
            <w:tcW w:w="3262"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widowControl w:val="0"/>
              <w:jc w:val="center"/>
              <w:rPr>
                <w:b/>
                <w:bCs/>
                <w:sz w:val="28"/>
                <w:szCs w:val="28"/>
              </w:rPr>
            </w:pPr>
            <w:r w:rsidRPr="00332B1B">
              <w:rPr>
                <w:b/>
                <w:bCs/>
                <w:sz w:val="28"/>
                <w:szCs w:val="28"/>
              </w:rPr>
              <w:t>Вигоди</w:t>
            </w:r>
          </w:p>
        </w:tc>
        <w:tc>
          <w:tcPr>
            <w:tcW w:w="4280"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widowControl w:val="0"/>
              <w:jc w:val="center"/>
              <w:rPr>
                <w:b/>
                <w:bCs/>
                <w:sz w:val="28"/>
                <w:szCs w:val="28"/>
              </w:rPr>
            </w:pPr>
            <w:r w:rsidRPr="00332B1B">
              <w:rPr>
                <w:b/>
                <w:bCs/>
                <w:sz w:val="28"/>
                <w:szCs w:val="28"/>
              </w:rPr>
              <w:t>Витрати</w:t>
            </w:r>
          </w:p>
        </w:tc>
      </w:tr>
      <w:tr w:rsidR="00332B1B" w:rsidRPr="00332B1B" w:rsidTr="00B9026E">
        <w:tc>
          <w:tcPr>
            <w:tcW w:w="2239"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jc w:val="both"/>
              <w:rPr>
                <w:sz w:val="28"/>
                <w:szCs w:val="28"/>
              </w:rPr>
            </w:pPr>
            <w:r w:rsidRPr="00332B1B">
              <w:rPr>
                <w:sz w:val="28"/>
                <w:szCs w:val="28"/>
              </w:rPr>
              <w:t>Альтернатива 1</w:t>
            </w:r>
          </w:p>
        </w:tc>
        <w:tc>
          <w:tcPr>
            <w:tcW w:w="3262"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widowControl w:val="0"/>
              <w:jc w:val="center"/>
              <w:rPr>
                <w:sz w:val="28"/>
                <w:szCs w:val="28"/>
              </w:rPr>
            </w:pPr>
            <w:r w:rsidRPr="00332B1B">
              <w:rPr>
                <w:sz w:val="28"/>
                <w:szCs w:val="28"/>
              </w:rPr>
              <w:t>Відсутні</w:t>
            </w:r>
          </w:p>
        </w:tc>
        <w:tc>
          <w:tcPr>
            <w:tcW w:w="4280"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widowControl w:val="0"/>
              <w:jc w:val="both"/>
              <w:rPr>
                <w:sz w:val="28"/>
                <w:szCs w:val="28"/>
              </w:rPr>
            </w:pPr>
            <w:r w:rsidRPr="00332B1B">
              <w:rPr>
                <w:sz w:val="28"/>
                <w:szCs w:val="28"/>
              </w:rPr>
              <w:t>Внаслідок використання чинного порядку оподаткування податком операцій з отримання послуг, які надаються нерезидентами на митній території України, можливий негативний вплив на  конкурентоспроможність суб’єктів господарювання – резидентів, які надають аналогічні послуги.</w:t>
            </w:r>
          </w:p>
        </w:tc>
      </w:tr>
      <w:tr w:rsidR="00332B1B" w:rsidRPr="00332B1B" w:rsidTr="00B9026E">
        <w:tc>
          <w:tcPr>
            <w:tcW w:w="2239"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jc w:val="both"/>
              <w:rPr>
                <w:sz w:val="28"/>
                <w:szCs w:val="28"/>
              </w:rPr>
            </w:pPr>
            <w:r w:rsidRPr="00332B1B">
              <w:rPr>
                <w:sz w:val="28"/>
                <w:szCs w:val="28"/>
              </w:rPr>
              <w:t>Альтернатива 2</w:t>
            </w:r>
          </w:p>
        </w:tc>
        <w:tc>
          <w:tcPr>
            <w:tcW w:w="3262"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widowControl w:val="0"/>
              <w:jc w:val="both"/>
              <w:rPr>
                <w:sz w:val="28"/>
                <w:szCs w:val="28"/>
              </w:rPr>
            </w:pPr>
            <w:r w:rsidRPr="00332B1B">
              <w:rPr>
                <w:sz w:val="28"/>
                <w:szCs w:val="28"/>
              </w:rPr>
              <w:t xml:space="preserve">Зміна  порядку визначення дати віднесення до податкового кредиту сум </w:t>
            </w:r>
            <w:r w:rsidRPr="00332B1B">
              <w:rPr>
                <w:sz w:val="28"/>
                <w:szCs w:val="28"/>
              </w:rPr>
              <w:lastRenderedPageBreak/>
              <w:t>податку на додану вартість по послугах отриманих від нерезидентів на митній території України  матиме позитивний вплив на конкурентоспроможність суб’єктів господарювання– резидентів, які надають аналогічні послуги.</w:t>
            </w:r>
          </w:p>
        </w:tc>
        <w:tc>
          <w:tcPr>
            <w:tcW w:w="4280" w:type="dxa"/>
            <w:tcBorders>
              <w:top w:val="outset" w:sz="6" w:space="0" w:color="auto"/>
              <w:left w:val="outset" w:sz="6" w:space="0" w:color="auto"/>
              <w:bottom w:val="outset" w:sz="6" w:space="0" w:color="auto"/>
              <w:right w:val="outset" w:sz="6" w:space="0" w:color="auto"/>
            </w:tcBorders>
            <w:hideMark/>
          </w:tcPr>
          <w:p w:rsidR="00AB4C05" w:rsidRPr="00332B1B" w:rsidRDefault="00AB4C05" w:rsidP="005A5603">
            <w:pPr>
              <w:widowControl w:val="0"/>
              <w:jc w:val="center"/>
              <w:rPr>
                <w:sz w:val="28"/>
                <w:szCs w:val="28"/>
              </w:rPr>
            </w:pPr>
            <w:r w:rsidRPr="00332B1B">
              <w:rPr>
                <w:sz w:val="28"/>
                <w:szCs w:val="28"/>
              </w:rPr>
              <w:lastRenderedPageBreak/>
              <w:t>Відсутні</w:t>
            </w:r>
          </w:p>
        </w:tc>
      </w:tr>
    </w:tbl>
    <w:p w:rsidR="00AB4C05" w:rsidRPr="00332B1B" w:rsidRDefault="00AB4C05" w:rsidP="004D394E">
      <w:pPr>
        <w:pBdr>
          <w:top w:val="nil"/>
          <w:left w:val="nil"/>
          <w:bottom w:val="nil"/>
          <w:right w:val="nil"/>
          <w:between w:val="nil"/>
        </w:pBdr>
        <w:jc w:val="both"/>
        <w:rPr>
          <w:b/>
          <w:sz w:val="28"/>
          <w:szCs w:val="28"/>
        </w:rPr>
      </w:pPr>
    </w:p>
    <w:p w:rsidR="00AB4C05" w:rsidRPr="00332B1B" w:rsidRDefault="00AB4C05" w:rsidP="00AB4C05">
      <w:pPr>
        <w:spacing w:after="120"/>
        <w:jc w:val="center"/>
        <w:rPr>
          <w:b/>
          <w:sz w:val="28"/>
          <w:szCs w:val="28"/>
        </w:rPr>
      </w:pPr>
      <w:r w:rsidRPr="00332B1B">
        <w:rPr>
          <w:b/>
          <w:sz w:val="28"/>
          <w:szCs w:val="28"/>
          <w:highlight w:val="white"/>
        </w:rPr>
        <w:t>Проведення оцінки впливу кількісних витрат на сферу інтересів суб’єктів господарювання, які виникатимуть унаслідок дії регуляторного</w:t>
      </w:r>
      <w:r w:rsidRPr="00332B1B">
        <w:rPr>
          <w:b/>
          <w:sz w:val="28"/>
          <w:szCs w:val="28"/>
        </w:rPr>
        <w:t xml:space="preserve"> акта</w:t>
      </w:r>
    </w:p>
    <w:tbl>
      <w:tblPr>
        <w:tblStyle w:val="afc"/>
        <w:tblW w:w="0" w:type="auto"/>
        <w:tblLook w:val="04A0" w:firstRow="1" w:lastRow="0" w:firstColumn="1" w:lastColumn="0" w:noHBand="0" w:noVBand="1"/>
      </w:tblPr>
      <w:tblGrid>
        <w:gridCol w:w="3246"/>
        <w:gridCol w:w="1257"/>
        <w:gridCol w:w="1399"/>
        <w:gridCol w:w="1123"/>
        <w:gridCol w:w="1385"/>
        <w:gridCol w:w="1218"/>
      </w:tblGrid>
      <w:tr w:rsidR="00332B1B" w:rsidRPr="00332B1B" w:rsidTr="005A5603">
        <w:trPr>
          <w:trHeight w:val="460"/>
        </w:trPr>
        <w:tc>
          <w:tcPr>
            <w:tcW w:w="3369"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Показник</w:t>
            </w:r>
          </w:p>
        </w:tc>
        <w:tc>
          <w:tcPr>
            <w:tcW w:w="1275"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Великі</w:t>
            </w:r>
          </w:p>
        </w:tc>
        <w:tc>
          <w:tcPr>
            <w:tcW w:w="1418"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Середні</w:t>
            </w:r>
          </w:p>
        </w:tc>
        <w:tc>
          <w:tcPr>
            <w:tcW w:w="1134"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Малі</w:t>
            </w:r>
          </w:p>
        </w:tc>
        <w:tc>
          <w:tcPr>
            <w:tcW w:w="1417"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Мікро</w:t>
            </w:r>
          </w:p>
        </w:tc>
        <w:tc>
          <w:tcPr>
            <w:tcW w:w="1241"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Разом</w:t>
            </w:r>
          </w:p>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(гр.2-5)</w:t>
            </w:r>
          </w:p>
        </w:tc>
      </w:tr>
      <w:tr w:rsidR="00332B1B" w:rsidRPr="00332B1B" w:rsidTr="005A5603">
        <w:tc>
          <w:tcPr>
            <w:tcW w:w="3369" w:type="dxa"/>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1</w:t>
            </w:r>
          </w:p>
        </w:tc>
        <w:tc>
          <w:tcPr>
            <w:tcW w:w="1275" w:type="dxa"/>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2</w:t>
            </w:r>
          </w:p>
        </w:tc>
        <w:tc>
          <w:tcPr>
            <w:tcW w:w="1418" w:type="dxa"/>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3</w:t>
            </w:r>
          </w:p>
        </w:tc>
        <w:tc>
          <w:tcPr>
            <w:tcW w:w="1134" w:type="dxa"/>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4</w:t>
            </w:r>
          </w:p>
        </w:tc>
        <w:tc>
          <w:tcPr>
            <w:tcW w:w="1417" w:type="dxa"/>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5</w:t>
            </w:r>
          </w:p>
        </w:tc>
        <w:tc>
          <w:tcPr>
            <w:tcW w:w="1241" w:type="dxa"/>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6</w:t>
            </w:r>
          </w:p>
        </w:tc>
      </w:tr>
      <w:tr w:rsidR="00332B1B" w:rsidRPr="00332B1B" w:rsidTr="005A5603">
        <w:trPr>
          <w:trHeight w:val="1164"/>
        </w:trPr>
        <w:tc>
          <w:tcPr>
            <w:tcW w:w="3369"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Витрати на проведення камеральної перевірки податкової декларації з ПДВ, поданої одним платником, грн</w:t>
            </w:r>
          </w:p>
        </w:tc>
        <w:tc>
          <w:tcPr>
            <w:tcW w:w="1275" w:type="dxa"/>
            <w:vAlign w:val="center"/>
          </w:tcPr>
          <w:p w:rsidR="00AB4C05" w:rsidRPr="00332B1B" w:rsidRDefault="00AB4C05" w:rsidP="005A5603">
            <w:pP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*1</w:t>
            </w:r>
            <w:r w:rsidR="00BA416A">
              <w:rPr>
                <w:rFonts w:ascii="Times New Roman" w:hAnsi="Times New Roman"/>
                <w:sz w:val="28"/>
                <w:szCs w:val="28"/>
                <w:highlight w:val="white"/>
                <w:lang w:val="uk-UA" w:eastAsia="uk-UA"/>
              </w:rPr>
              <w:t xml:space="preserve"> </w:t>
            </w:r>
            <w:r w:rsidRPr="00332B1B">
              <w:rPr>
                <w:rFonts w:ascii="Times New Roman" w:hAnsi="Times New Roman"/>
                <w:sz w:val="28"/>
                <w:szCs w:val="28"/>
                <w:highlight w:val="white"/>
                <w:lang w:val="uk-UA" w:eastAsia="uk-UA"/>
              </w:rPr>
              <w:t>218,9</w:t>
            </w:r>
          </w:p>
        </w:tc>
        <w:tc>
          <w:tcPr>
            <w:tcW w:w="1418"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**30,0</w:t>
            </w:r>
          </w:p>
        </w:tc>
        <w:tc>
          <w:tcPr>
            <w:tcW w:w="1134"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**30,0</w:t>
            </w:r>
          </w:p>
        </w:tc>
        <w:tc>
          <w:tcPr>
            <w:tcW w:w="1417"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**30,0</w:t>
            </w:r>
          </w:p>
        </w:tc>
        <w:tc>
          <w:tcPr>
            <w:tcW w:w="1241"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1</w:t>
            </w:r>
            <w:r w:rsidR="00BA416A">
              <w:rPr>
                <w:rFonts w:ascii="Times New Roman" w:hAnsi="Times New Roman"/>
                <w:sz w:val="28"/>
                <w:szCs w:val="28"/>
                <w:highlight w:val="white"/>
                <w:lang w:val="uk-UA" w:eastAsia="uk-UA"/>
              </w:rPr>
              <w:t xml:space="preserve"> </w:t>
            </w:r>
            <w:r w:rsidRPr="00332B1B">
              <w:rPr>
                <w:rFonts w:ascii="Times New Roman" w:hAnsi="Times New Roman"/>
                <w:sz w:val="28"/>
                <w:szCs w:val="28"/>
                <w:highlight w:val="white"/>
                <w:lang w:val="uk-UA" w:eastAsia="uk-UA"/>
              </w:rPr>
              <w:t>308,9</w:t>
            </w:r>
          </w:p>
        </w:tc>
      </w:tr>
      <w:tr w:rsidR="00332B1B" w:rsidRPr="00332B1B" w:rsidTr="005A5603">
        <w:trPr>
          <w:trHeight w:val="1280"/>
        </w:trPr>
        <w:tc>
          <w:tcPr>
            <w:tcW w:w="3369"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Витрати платника ПДВ на заповнення податкової декларації з ПДВ, грн***</w:t>
            </w:r>
          </w:p>
        </w:tc>
        <w:tc>
          <w:tcPr>
            <w:tcW w:w="1275"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1</w:t>
            </w:r>
            <w:r w:rsidR="00BA416A">
              <w:rPr>
                <w:rFonts w:ascii="Times New Roman" w:hAnsi="Times New Roman"/>
                <w:sz w:val="28"/>
                <w:szCs w:val="28"/>
                <w:highlight w:val="white"/>
                <w:lang w:val="uk-UA" w:eastAsia="uk-UA"/>
              </w:rPr>
              <w:t xml:space="preserve"> </w:t>
            </w:r>
            <w:r w:rsidRPr="00332B1B">
              <w:rPr>
                <w:rFonts w:ascii="Times New Roman" w:hAnsi="Times New Roman"/>
                <w:sz w:val="28"/>
                <w:szCs w:val="28"/>
                <w:highlight w:val="white"/>
                <w:lang w:val="uk-UA" w:eastAsia="uk-UA"/>
              </w:rPr>
              <w:t>275</w:t>
            </w:r>
          </w:p>
        </w:tc>
        <w:tc>
          <w:tcPr>
            <w:tcW w:w="1418"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637,5</w:t>
            </w:r>
          </w:p>
        </w:tc>
        <w:tc>
          <w:tcPr>
            <w:tcW w:w="1134"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318,8</w:t>
            </w:r>
          </w:p>
        </w:tc>
        <w:tc>
          <w:tcPr>
            <w:tcW w:w="1417"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318,8</w:t>
            </w:r>
          </w:p>
        </w:tc>
        <w:tc>
          <w:tcPr>
            <w:tcW w:w="1241" w:type="dxa"/>
            <w:vAlign w:val="center"/>
          </w:tcPr>
          <w:p w:rsidR="00AB4C05" w:rsidRPr="00332B1B" w:rsidRDefault="00AB4C05" w:rsidP="005A5603">
            <w:pPr>
              <w:jc w:val="center"/>
              <w:rPr>
                <w:rFonts w:ascii="Times New Roman" w:hAnsi="Times New Roman"/>
                <w:sz w:val="28"/>
                <w:szCs w:val="28"/>
                <w:highlight w:val="white"/>
                <w:lang w:val="uk-UA" w:eastAsia="uk-UA"/>
              </w:rPr>
            </w:pPr>
            <w:r w:rsidRPr="00332B1B">
              <w:rPr>
                <w:rFonts w:ascii="Times New Roman" w:hAnsi="Times New Roman"/>
                <w:sz w:val="28"/>
                <w:szCs w:val="28"/>
                <w:highlight w:val="white"/>
                <w:lang w:val="uk-UA" w:eastAsia="uk-UA"/>
              </w:rPr>
              <w:t>2</w:t>
            </w:r>
            <w:r w:rsidR="00BA416A">
              <w:rPr>
                <w:rFonts w:ascii="Times New Roman" w:hAnsi="Times New Roman"/>
                <w:sz w:val="28"/>
                <w:szCs w:val="28"/>
                <w:highlight w:val="white"/>
                <w:lang w:val="uk-UA" w:eastAsia="uk-UA"/>
              </w:rPr>
              <w:t xml:space="preserve"> </w:t>
            </w:r>
            <w:r w:rsidRPr="00332B1B">
              <w:rPr>
                <w:rFonts w:ascii="Times New Roman" w:hAnsi="Times New Roman"/>
                <w:sz w:val="28"/>
                <w:szCs w:val="28"/>
                <w:highlight w:val="white"/>
                <w:lang w:val="uk-UA" w:eastAsia="uk-UA"/>
              </w:rPr>
              <w:t>550,1</w:t>
            </w:r>
          </w:p>
        </w:tc>
      </w:tr>
    </w:tbl>
    <w:p w:rsidR="00AB4C05" w:rsidRPr="00332B1B" w:rsidRDefault="00AB4C05" w:rsidP="00AB4C05">
      <w:r w:rsidRPr="00332B1B">
        <w:t>Обрахунок:</w:t>
      </w:r>
    </w:p>
    <w:p w:rsidR="00AB4C05" w:rsidRPr="00332B1B" w:rsidRDefault="00AB4C05" w:rsidP="00AB4C05">
      <w:r w:rsidRPr="00332B1B">
        <w:t xml:space="preserve">* На 01.01.2023 на обліку в МУ ДПС по роботі ВПП перебуває </w:t>
      </w:r>
      <w:r w:rsidRPr="00332B1B">
        <w:rPr>
          <w:b/>
        </w:rPr>
        <w:t>1 729</w:t>
      </w:r>
      <w:r w:rsidRPr="00332B1B">
        <w:t xml:space="preserve"> підприємств включених до реєстру платників ПДВ</w:t>
      </w:r>
    </w:p>
    <w:p w:rsidR="00AB4C05" w:rsidRPr="00332B1B" w:rsidRDefault="00AB4C05" w:rsidP="00AB4C05">
      <w:pPr>
        <w:ind w:left="1701"/>
      </w:pPr>
      <w:r w:rsidRPr="00332B1B">
        <w:t>- посадовий оклад головного державного інспектора, що проводить камеральну перевірку 8 200 грн.</w:t>
      </w:r>
    </w:p>
    <w:p w:rsidR="00AB4C05" w:rsidRPr="00332B1B" w:rsidRDefault="00AB4C05" w:rsidP="00AB4C05"/>
    <w:p w:rsidR="00AB4C05" w:rsidRPr="00332B1B" w:rsidRDefault="00AB4C05" w:rsidP="00AB4C05">
      <w:r w:rsidRPr="00332B1B">
        <w:t xml:space="preserve">** На 01.01.2023 на обліку в ГУ ДПС перебуває </w:t>
      </w:r>
      <w:r w:rsidRPr="00332B1B">
        <w:rPr>
          <w:b/>
        </w:rPr>
        <w:t>236 252</w:t>
      </w:r>
      <w:r w:rsidRPr="00332B1B">
        <w:t xml:space="preserve">  підприємств включених до реєстру платників ПДВ </w:t>
      </w:r>
    </w:p>
    <w:p w:rsidR="00AB4C05" w:rsidRPr="00332B1B" w:rsidRDefault="00AB4C05" w:rsidP="00AB4C05">
      <w:pPr>
        <w:ind w:left="1701"/>
      </w:pPr>
      <w:r w:rsidRPr="00332B1B">
        <w:t>- посадовий оклад головного державного інспектора, що проводить камеральну перевірку 8 200 грн.</w:t>
      </w:r>
    </w:p>
    <w:p w:rsidR="00AB4C05" w:rsidRPr="00332B1B" w:rsidRDefault="00AB4C05" w:rsidP="00AB4C05">
      <w:pPr>
        <w:jc w:val="center"/>
      </w:pPr>
    </w:p>
    <w:p w:rsidR="00AB4C05" w:rsidRPr="00332B1B" w:rsidRDefault="00AB4C05" w:rsidP="00AB4C05">
      <w:r w:rsidRPr="00332B1B">
        <w:t>*** Враховуючи, що ДПС постачає безкоштовно програмне забезпечення «Спеціалізоване клієнтське програмне забезпечення для формування та подання звітності до «Єдиного вікна подання електронної звітності» для формування звітності до Державної податкової служби України, що дає можливість формувати декларацію на підставі попередньої та з врахування ПН/РК зареєстрованих у ЄРПН.</w:t>
      </w:r>
    </w:p>
    <w:p w:rsidR="00AB4C05" w:rsidRPr="00332B1B" w:rsidRDefault="00AB4C05" w:rsidP="00AB4C05">
      <w:pPr>
        <w:pStyle w:val="af9"/>
        <w:numPr>
          <w:ilvl w:val="0"/>
          <w:numId w:val="4"/>
        </w:numPr>
        <w:spacing w:after="0" w:line="240" w:lineRule="auto"/>
        <w:rPr>
          <w:rFonts w:ascii="Times New Roman" w:hAnsi="Times New Roman" w:cs="Times New Roman"/>
        </w:rPr>
      </w:pPr>
      <w:r w:rsidRPr="00332B1B">
        <w:rPr>
          <w:rFonts w:ascii="Times New Roman" w:hAnsi="Times New Roman" w:cs="Times New Roman"/>
        </w:rPr>
        <w:t xml:space="preserve">Середня заробітна плата за даними Пенсійного фонду України 13 387 грн (останній оприлюднений період вересень 2022 року). </w:t>
      </w:r>
    </w:p>
    <w:p w:rsidR="00AB4C05" w:rsidRPr="00332B1B" w:rsidRDefault="00AB4C05" w:rsidP="00AB4C05">
      <w:pPr>
        <w:pStyle w:val="af9"/>
        <w:ind w:left="420"/>
        <w:rPr>
          <w:rFonts w:ascii="Times New Roman" w:hAnsi="Times New Roman" w:cs="Times New Roman"/>
        </w:rPr>
      </w:pPr>
      <w:r w:rsidRPr="00332B1B">
        <w:rPr>
          <w:rFonts w:ascii="Times New Roman" w:hAnsi="Times New Roman" w:cs="Times New Roman"/>
        </w:rPr>
        <w:t>За умови, що місяць має 21 робочий день то середня заробітна плата за І робочий день складатиме  637,5 грн (13 387/21)</w:t>
      </w:r>
    </w:p>
    <w:p w:rsidR="00AB4C05" w:rsidRPr="00332B1B" w:rsidRDefault="00AB4C05" w:rsidP="00AB4C05">
      <w:pPr>
        <w:pStyle w:val="af9"/>
        <w:numPr>
          <w:ilvl w:val="0"/>
          <w:numId w:val="4"/>
        </w:numPr>
        <w:spacing w:after="0" w:line="240" w:lineRule="auto"/>
        <w:ind w:firstLine="1565"/>
        <w:rPr>
          <w:rFonts w:ascii="Times New Roman" w:hAnsi="Times New Roman" w:cs="Times New Roman"/>
        </w:rPr>
      </w:pPr>
      <w:r w:rsidRPr="00332B1B">
        <w:rPr>
          <w:rFonts w:ascii="Times New Roman" w:hAnsi="Times New Roman" w:cs="Times New Roman"/>
        </w:rPr>
        <w:t>Мікро – 637,5/2= 318,8 грн.</w:t>
      </w:r>
    </w:p>
    <w:p w:rsidR="00AB4C05" w:rsidRPr="00332B1B" w:rsidRDefault="00AB4C05" w:rsidP="00AB4C05">
      <w:pPr>
        <w:pStyle w:val="af9"/>
        <w:numPr>
          <w:ilvl w:val="0"/>
          <w:numId w:val="4"/>
        </w:numPr>
        <w:spacing w:after="0" w:line="240" w:lineRule="auto"/>
        <w:ind w:firstLine="1565"/>
        <w:rPr>
          <w:rFonts w:ascii="Times New Roman" w:hAnsi="Times New Roman" w:cs="Times New Roman"/>
        </w:rPr>
      </w:pPr>
      <w:r w:rsidRPr="00332B1B">
        <w:rPr>
          <w:rFonts w:ascii="Times New Roman" w:hAnsi="Times New Roman" w:cs="Times New Roman"/>
        </w:rPr>
        <w:t>Малі – 637,5/2= 318,8 грн.</w:t>
      </w:r>
    </w:p>
    <w:p w:rsidR="00AB4C05" w:rsidRPr="00332B1B" w:rsidRDefault="00AB4C05" w:rsidP="00AB4C05">
      <w:pPr>
        <w:pStyle w:val="af9"/>
        <w:numPr>
          <w:ilvl w:val="0"/>
          <w:numId w:val="4"/>
        </w:numPr>
        <w:spacing w:after="0" w:line="240" w:lineRule="auto"/>
        <w:ind w:firstLine="1565"/>
        <w:rPr>
          <w:rFonts w:ascii="Times New Roman" w:hAnsi="Times New Roman" w:cs="Times New Roman"/>
        </w:rPr>
      </w:pPr>
      <w:r w:rsidRPr="00332B1B">
        <w:rPr>
          <w:rFonts w:ascii="Times New Roman" w:hAnsi="Times New Roman" w:cs="Times New Roman"/>
        </w:rPr>
        <w:t>Середні – 637,5 грн.</w:t>
      </w:r>
    </w:p>
    <w:p w:rsidR="00AB4C05" w:rsidRPr="00332B1B" w:rsidRDefault="00AB4C05" w:rsidP="00AB4C05">
      <w:pPr>
        <w:pStyle w:val="af9"/>
        <w:numPr>
          <w:ilvl w:val="0"/>
          <w:numId w:val="4"/>
        </w:numPr>
        <w:spacing w:after="0" w:line="240" w:lineRule="auto"/>
        <w:ind w:firstLine="1565"/>
        <w:rPr>
          <w:rFonts w:ascii="Times New Roman" w:hAnsi="Times New Roman" w:cs="Times New Roman"/>
        </w:rPr>
      </w:pPr>
      <w:r w:rsidRPr="00332B1B">
        <w:rPr>
          <w:rFonts w:ascii="Times New Roman" w:hAnsi="Times New Roman" w:cs="Times New Roman"/>
        </w:rPr>
        <w:t>Великі – 637,5*2=1 275 грн.</w:t>
      </w:r>
    </w:p>
    <w:p w:rsidR="00BD450D" w:rsidRPr="00332B1B" w:rsidRDefault="00BD450D" w:rsidP="00BD450D">
      <w:pPr>
        <w:ind w:left="420"/>
      </w:pPr>
    </w:p>
    <w:tbl>
      <w:tblPr>
        <w:tblStyle w:val="afc"/>
        <w:tblW w:w="9639" w:type="dxa"/>
        <w:tblInd w:w="-5" w:type="dxa"/>
        <w:tblLook w:val="04A0" w:firstRow="1" w:lastRow="0" w:firstColumn="1" w:lastColumn="0" w:noHBand="0" w:noVBand="1"/>
      </w:tblPr>
      <w:tblGrid>
        <w:gridCol w:w="7938"/>
        <w:gridCol w:w="1701"/>
      </w:tblGrid>
      <w:tr w:rsidR="00332B1B" w:rsidRPr="00332B1B" w:rsidTr="005A5603">
        <w:tc>
          <w:tcPr>
            <w:tcW w:w="793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spacing w:line="256" w:lineRule="auto"/>
              <w:ind w:firstLine="22"/>
              <w:jc w:val="center"/>
              <w:rPr>
                <w:rFonts w:ascii="Times New Roman" w:hAnsi="Times New Roman"/>
                <w:b/>
                <w:bCs/>
                <w:sz w:val="28"/>
                <w:szCs w:val="28"/>
                <w:lang w:val="uk-UA" w:eastAsia="uk-UA"/>
              </w:rPr>
            </w:pPr>
            <w:r w:rsidRPr="00332B1B">
              <w:rPr>
                <w:rFonts w:ascii="Times New Roman" w:hAnsi="Times New Roman"/>
                <w:b/>
                <w:bCs/>
                <w:sz w:val="28"/>
                <w:szCs w:val="28"/>
                <w:lang w:val="uk-UA" w:eastAsia="uk-UA"/>
              </w:rPr>
              <w:t>Сумарні витрати за альтернативами</w:t>
            </w:r>
          </w:p>
        </w:tc>
        <w:tc>
          <w:tcPr>
            <w:tcW w:w="1701"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spacing w:line="256" w:lineRule="auto"/>
              <w:jc w:val="center"/>
              <w:rPr>
                <w:rFonts w:ascii="Times New Roman" w:hAnsi="Times New Roman"/>
                <w:b/>
                <w:bCs/>
                <w:sz w:val="28"/>
                <w:szCs w:val="28"/>
                <w:lang w:val="uk-UA" w:eastAsia="uk-UA"/>
              </w:rPr>
            </w:pPr>
            <w:r w:rsidRPr="00332B1B">
              <w:rPr>
                <w:rFonts w:ascii="Times New Roman" w:hAnsi="Times New Roman"/>
                <w:b/>
                <w:bCs/>
                <w:sz w:val="28"/>
                <w:szCs w:val="28"/>
                <w:lang w:val="uk-UA" w:eastAsia="uk-UA"/>
              </w:rPr>
              <w:t>Сума витрат, гривень</w:t>
            </w:r>
          </w:p>
        </w:tc>
      </w:tr>
      <w:tr w:rsidR="00332B1B" w:rsidRPr="00332B1B" w:rsidTr="005A5603">
        <w:tc>
          <w:tcPr>
            <w:tcW w:w="793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widowControl w:val="0"/>
              <w:jc w:val="both"/>
              <w:rPr>
                <w:rFonts w:ascii="Times New Roman" w:hAnsi="Times New Roman"/>
                <w:sz w:val="28"/>
                <w:szCs w:val="28"/>
                <w:highlight w:val="yellow"/>
                <w:lang w:val="uk-UA"/>
              </w:rPr>
            </w:pPr>
            <w:r w:rsidRPr="00332B1B">
              <w:rPr>
                <w:rFonts w:ascii="Times New Roman" w:hAnsi="Times New Roman"/>
                <w:sz w:val="28"/>
                <w:szCs w:val="28"/>
                <w:lang w:val="uk-UA"/>
              </w:rPr>
              <w:t>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701" w:type="dxa"/>
            <w:tcBorders>
              <w:top w:val="single" w:sz="4" w:space="0" w:color="auto"/>
              <w:left w:val="single" w:sz="4" w:space="0" w:color="auto"/>
              <w:bottom w:val="single" w:sz="4" w:space="0" w:color="auto"/>
              <w:right w:val="single" w:sz="4" w:space="0" w:color="auto"/>
            </w:tcBorders>
            <w:hideMark/>
          </w:tcPr>
          <w:p w:rsidR="001D2AFF" w:rsidRPr="00332B1B" w:rsidRDefault="001D2AFF" w:rsidP="001D2AFF">
            <w:pPr>
              <w:widowControl w:val="0"/>
              <w:jc w:val="both"/>
              <w:rPr>
                <w:rFonts w:ascii="Times New Roman" w:hAnsi="Times New Roman"/>
                <w:sz w:val="28"/>
                <w:szCs w:val="28"/>
                <w:lang w:val="uk-UA"/>
              </w:rPr>
            </w:pPr>
            <w:r w:rsidRPr="00332B1B">
              <w:rPr>
                <w:rFonts w:ascii="Times New Roman" w:hAnsi="Times New Roman"/>
                <w:sz w:val="28"/>
                <w:szCs w:val="28"/>
                <w:lang w:val="uk-UA"/>
              </w:rPr>
              <w:t>22</w:t>
            </w:r>
            <w:r w:rsidR="00BA416A">
              <w:rPr>
                <w:rFonts w:ascii="Times New Roman" w:hAnsi="Times New Roman"/>
                <w:sz w:val="28"/>
                <w:szCs w:val="28"/>
                <w:lang w:val="uk-UA"/>
              </w:rPr>
              <w:t xml:space="preserve"> </w:t>
            </w:r>
            <w:r w:rsidRPr="00332B1B">
              <w:rPr>
                <w:rFonts w:ascii="Times New Roman" w:hAnsi="Times New Roman"/>
                <w:sz w:val="28"/>
                <w:szCs w:val="28"/>
                <w:lang w:val="uk-UA"/>
              </w:rPr>
              <w:t>950 грн – за перший рік</w:t>
            </w:r>
          </w:p>
          <w:p w:rsidR="00AB4C05" w:rsidRPr="00332B1B" w:rsidRDefault="001D2AFF" w:rsidP="00BA416A">
            <w:pPr>
              <w:spacing w:line="256" w:lineRule="auto"/>
              <w:jc w:val="both"/>
              <w:rPr>
                <w:rFonts w:ascii="Times New Roman" w:hAnsi="Times New Roman"/>
                <w:sz w:val="28"/>
                <w:szCs w:val="28"/>
                <w:highlight w:val="yellow"/>
                <w:lang w:val="uk-UA" w:eastAsia="uk-UA"/>
              </w:rPr>
            </w:pPr>
            <w:r w:rsidRPr="00332B1B">
              <w:rPr>
                <w:rFonts w:ascii="Times New Roman" w:hAnsi="Times New Roman"/>
                <w:spacing w:val="-6"/>
                <w:sz w:val="28"/>
                <w:szCs w:val="28"/>
                <w:lang w:val="uk-UA"/>
              </w:rPr>
              <w:t>114</w:t>
            </w:r>
            <w:r w:rsidR="00BA416A">
              <w:rPr>
                <w:rFonts w:ascii="Times New Roman" w:hAnsi="Times New Roman"/>
                <w:spacing w:val="-6"/>
                <w:sz w:val="28"/>
                <w:szCs w:val="28"/>
                <w:lang w:val="uk-UA"/>
              </w:rPr>
              <w:t xml:space="preserve"> </w:t>
            </w:r>
            <w:r w:rsidRPr="00332B1B">
              <w:rPr>
                <w:rFonts w:ascii="Times New Roman" w:hAnsi="Times New Roman"/>
                <w:spacing w:val="-6"/>
                <w:sz w:val="28"/>
                <w:szCs w:val="28"/>
                <w:lang w:val="uk-UA"/>
              </w:rPr>
              <w:t>750 грн –</w:t>
            </w:r>
            <w:r w:rsidRPr="00332B1B">
              <w:rPr>
                <w:rFonts w:ascii="Times New Roman" w:hAnsi="Times New Roman"/>
                <w:sz w:val="28"/>
                <w:szCs w:val="28"/>
                <w:lang w:val="uk-UA"/>
              </w:rPr>
              <w:t xml:space="preserve"> за п’ять років</w:t>
            </w:r>
          </w:p>
        </w:tc>
      </w:tr>
      <w:tr w:rsidR="00332B1B" w:rsidRPr="00332B1B" w:rsidTr="005A5603">
        <w:tc>
          <w:tcPr>
            <w:tcW w:w="7938"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widowControl w:val="0"/>
              <w:jc w:val="both"/>
              <w:rPr>
                <w:rFonts w:ascii="Times New Roman" w:hAnsi="Times New Roman"/>
                <w:sz w:val="28"/>
                <w:szCs w:val="28"/>
                <w:lang w:val="uk-UA"/>
              </w:rPr>
            </w:pPr>
            <w:r w:rsidRPr="00332B1B">
              <w:rPr>
                <w:rFonts w:ascii="Times New Roman" w:hAnsi="Times New Roman"/>
                <w:sz w:val="28"/>
                <w:szCs w:val="28"/>
                <w:lang w:val="uk-UA"/>
              </w:rPr>
              <w:t>Альтернатива 2.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акта (рядок 11 таблиці «Витрати на одного суб’єкта господарювання великого і середнього підприємництва, які виникають внаслідок дії регуляторного акта»)</w:t>
            </w:r>
          </w:p>
        </w:tc>
        <w:tc>
          <w:tcPr>
            <w:tcW w:w="1701" w:type="dxa"/>
            <w:tcBorders>
              <w:top w:val="single" w:sz="4" w:space="0" w:color="auto"/>
              <w:left w:val="single" w:sz="4" w:space="0" w:color="auto"/>
              <w:bottom w:val="single" w:sz="4" w:space="0" w:color="auto"/>
              <w:right w:val="single" w:sz="4" w:space="0" w:color="auto"/>
            </w:tcBorders>
            <w:hideMark/>
          </w:tcPr>
          <w:p w:rsidR="00AB4C05" w:rsidRPr="00332B1B" w:rsidRDefault="00AB4C05" w:rsidP="005A5603">
            <w:pPr>
              <w:widowControl w:val="0"/>
              <w:jc w:val="both"/>
              <w:rPr>
                <w:rFonts w:ascii="Times New Roman" w:hAnsi="Times New Roman"/>
                <w:sz w:val="28"/>
                <w:szCs w:val="28"/>
                <w:lang w:val="uk-UA"/>
              </w:rPr>
            </w:pPr>
            <w:r w:rsidRPr="00332B1B">
              <w:rPr>
                <w:rFonts w:ascii="Times New Roman" w:hAnsi="Times New Roman"/>
                <w:sz w:val="28"/>
                <w:szCs w:val="28"/>
                <w:lang w:val="uk-UA"/>
              </w:rPr>
              <w:t>22</w:t>
            </w:r>
            <w:r w:rsidR="00BA416A">
              <w:rPr>
                <w:rFonts w:ascii="Times New Roman" w:hAnsi="Times New Roman"/>
                <w:sz w:val="28"/>
                <w:szCs w:val="28"/>
                <w:lang w:val="uk-UA"/>
              </w:rPr>
              <w:t xml:space="preserve"> </w:t>
            </w:r>
            <w:r w:rsidRPr="00332B1B">
              <w:rPr>
                <w:rFonts w:ascii="Times New Roman" w:hAnsi="Times New Roman"/>
                <w:sz w:val="28"/>
                <w:szCs w:val="28"/>
                <w:lang w:val="uk-UA"/>
              </w:rPr>
              <w:t>950 грн – за перший рік</w:t>
            </w:r>
          </w:p>
          <w:p w:rsidR="00AB4C05" w:rsidRPr="00332B1B" w:rsidRDefault="00AB4C05" w:rsidP="005A5603">
            <w:pPr>
              <w:widowControl w:val="0"/>
              <w:jc w:val="both"/>
              <w:rPr>
                <w:rFonts w:ascii="Times New Roman" w:hAnsi="Times New Roman"/>
                <w:sz w:val="28"/>
                <w:szCs w:val="28"/>
                <w:lang w:val="uk-UA" w:eastAsia="uk-UA"/>
              </w:rPr>
            </w:pPr>
            <w:r w:rsidRPr="00332B1B">
              <w:rPr>
                <w:rFonts w:ascii="Times New Roman" w:hAnsi="Times New Roman"/>
                <w:spacing w:val="-6"/>
                <w:sz w:val="28"/>
                <w:szCs w:val="28"/>
                <w:lang w:val="uk-UA"/>
              </w:rPr>
              <w:t>114</w:t>
            </w:r>
            <w:r w:rsidR="00BA416A">
              <w:rPr>
                <w:rFonts w:ascii="Times New Roman" w:hAnsi="Times New Roman"/>
                <w:spacing w:val="-6"/>
                <w:sz w:val="28"/>
                <w:szCs w:val="28"/>
                <w:lang w:val="uk-UA"/>
              </w:rPr>
              <w:t xml:space="preserve"> </w:t>
            </w:r>
            <w:r w:rsidRPr="00332B1B">
              <w:rPr>
                <w:rFonts w:ascii="Times New Roman" w:hAnsi="Times New Roman"/>
                <w:spacing w:val="-6"/>
                <w:sz w:val="28"/>
                <w:szCs w:val="28"/>
                <w:lang w:val="uk-UA"/>
              </w:rPr>
              <w:t>750 грн –</w:t>
            </w:r>
            <w:r w:rsidRPr="00332B1B">
              <w:rPr>
                <w:rFonts w:ascii="Times New Roman" w:hAnsi="Times New Roman"/>
                <w:sz w:val="28"/>
                <w:szCs w:val="28"/>
                <w:lang w:val="uk-UA"/>
              </w:rPr>
              <w:t xml:space="preserve"> за п’ять років</w:t>
            </w:r>
          </w:p>
        </w:tc>
      </w:tr>
    </w:tbl>
    <w:p w:rsidR="00AE0FB2" w:rsidRDefault="00F36BA5" w:rsidP="00BA416A">
      <w:pPr>
        <w:widowControl w:val="0"/>
        <w:spacing w:before="120"/>
        <w:ind w:firstLine="567"/>
        <w:jc w:val="both"/>
        <w:rPr>
          <w:sz w:val="28"/>
          <w:szCs w:val="28"/>
        </w:rPr>
      </w:pPr>
      <w:r w:rsidRPr="00332B1B">
        <w:rPr>
          <w:sz w:val="28"/>
          <w:szCs w:val="28"/>
        </w:rPr>
        <w:t>Наразі обраховані витрати стосуються податкового обліку діяльності суб’єктів господарювання, який ведеться платниками податку незалежно від  здійснення ними операцій з отримання послуг від нерезидентів на митній  території України, а тому прийняття запропонованої законопроектом норми не впливатиме на показники зазначених витрат суб’єктів господарювання.</w:t>
      </w:r>
    </w:p>
    <w:p w:rsidR="002326AF" w:rsidRPr="00332B1B" w:rsidRDefault="002326AF" w:rsidP="002326AF">
      <w:pPr>
        <w:pBdr>
          <w:top w:val="nil"/>
          <w:left w:val="nil"/>
          <w:bottom w:val="nil"/>
          <w:right w:val="nil"/>
          <w:between w:val="nil"/>
        </w:pBdr>
        <w:spacing w:before="120"/>
        <w:ind w:firstLine="567"/>
        <w:jc w:val="both"/>
        <w:rPr>
          <w:b/>
          <w:i/>
          <w:sz w:val="28"/>
          <w:szCs w:val="28"/>
        </w:rPr>
      </w:pPr>
      <w:r w:rsidRPr="00332B1B">
        <w:rPr>
          <w:b/>
          <w:i/>
          <w:sz w:val="28"/>
          <w:szCs w:val="28"/>
        </w:rPr>
        <w:t>В частині відновлення з 1 липня 2023 року можливості проведення документальних перевірок</w:t>
      </w:r>
      <w:r w:rsidR="001D2AFF" w:rsidRPr="00332B1B">
        <w:rPr>
          <w:b/>
          <w:i/>
          <w:sz w:val="28"/>
          <w:szCs w:val="28"/>
        </w:rPr>
        <w:t xml:space="preserve"> </w:t>
      </w:r>
    </w:p>
    <w:p w:rsidR="00A24022" w:rsidRPr="00332B1B" w:rsidRDefault="00BD443B" w:rsidP="003F6431">
      <w:pPr>
        <w:pBdr>
          <w:top w:val="nil"/>
          <w:left w:val="nil"/>
          <w:bottom w:val="nil"/>
          <w:right w:val="nil"/>
          <w:between w:val="nil"/>
        </w:pBdr>
        <w:spacing w:before="120"/>
        <w:ind w:firstLine="567"/>
        <w:jc w:val="both"/>
        <w:rPr>
          <w:sz w:val="28"/>
          <w:szCs w:val="28"/>
        </w:rPr>
      </w:pPr>
      <w:r w:rsidRPr="00332B1B">
        <w:rPr>
          <w:sz w:val="28"/>
          <w:szCs w:val="28"/>
        </w:rPr>
        <w:t xml:space="preserve">Дія проекту  закону поширюватиметься на суб’єктів господарювання, які будуть визначені </w:t>
      </w:r>
      <w:r w:rsidR="00861E6E" w:rsidRPr="00332B1B">
        <w:rPr>
          <w:sz w:val="28"/>
          <w:szCs w:val="28"/>
        </w:rPr>
        <w:t xml:space="preserve">контролюючим органом </w:t>
      </w:r>
      <w:r w:rsidRPr="00332B1B">
        <w:rPr>
          <w:sz w:val="28"/>
          <w:szCs w:val="28"/>
        </w:rPr>
        <w:t>такими, що мають ризик що</w:t>
      </w:r>
      <w:r w:rsidR="003F6431" w:rsidRPr="00332B1B">
        <w:rPr>
          <w:sz w:val="28"/>
          <w:szCs w:val="28"/>
        </w:rPr>
        <w:t>до несплати податків та зборів та підлягатимуть документальній пер</w:t>
      </w:r>
      <w:r w:rsidR="00EF4FB9" w:rsidRPr="00332B1B">
        <w:rPr>
          <w:sz w:val="28"/>
          <w:szCs w:val="28"/>
        </w:rPr>
        <w:t>е</w:t>
      </w:r>
      <w:r w:rsidR="003F6431" w:rsidRPr="00332B1B">
        <w:rPr>
          <w:sz w:val="28"/>
          <w:szCs w:val="28"/>
        </w:rPr>
        <w:t>вірці.</w:t>
      </w:r>
    </w:p>
    <w:p w:rsidR="00AE0FB2" w:rsidRPr="00332B1B" w:rsidRDefault="00AE0FB2">
      <w:pPr>
        <w:pBdr>
          <w:top w:val="nil"/>
          <w:left w:val="nil"/>
          <w:bottom w:val="nil"/>
          <w:right w:val="nil"/>
          <w:between w:val="nil"/>
        </w:pBdr>
        <w:spacing w:before="120"/>
        <w:ind w:firstLine="567"/>
        <w:jc w:val="both"/>
        <w:rPr>
          <w:sz w:val="8"/>
          <w:szCs w:val="8"/>
        </w:rPr>
      </w:pPr>
    </w:p>
    <w:tbl>
      <w:tblPr>
        <w:tblStyle w:val="1f"/>
        <w:tblW w:w="9631"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37"/>
        <w:gridCol w:w="4394"/>
      </w:tblGrid>
      <w:tr w:rsidR="00332B1B" w:rsidRPr="00332B1B" w:rsidTr="007D3FE7">
        <w:tc>
          <w:tcPr>
            <w:tcW w:w="5237" w:type="dxa"/>
          </w:tcPr>
          <w:p w:rsidR="006453A3" w:rsidRPr="00332B1B" w:rsidRDefault="006453A3">
            <w:pPr>
              <w:pBdr>
                <w:top w:val="nil"/>
                <w:left w:val="nil"/>
                <w:bottom w:val="nil"/>
                <w:right w:val="nil"/>
                <w:between w:val="nil"/>
              </w:pBdr>
              <w:jc w:val="center"/>
              <w:rPr>
                <w:sz w:val="24"/>
                <w:szCs w:val="24"/>
              </w:rPr>
            </w:pPr>
            <w:r w:rsidRPr="00332B1B">
              <w:rPr>
                <w:sz w:val="24"/>
                <w:szCs w:val="24"/>
              </w:rPr>
              <w:t>Показник</w:t>
            </w:r>
          </w:p>
        </w:tc>
        <w:tc>
          <w:tcPr>
            <w:tcW w:w="4394" w:type="dxa"/>
          </w:tcPr>
          <w:p w:rsidR="006453A3" w:rsidRPr="00332B1B" w:rsidRDefault="00FA2838">
            <w:pPr>
              <w:pBdr>
                <w:top w:val="nil"/>
                <w:left w:val="nil"/>
                <w:bottom w:val="nil"/>
                <w:right w:val="nil"/>
                <w:between w:val="nil"/>
              </w:pBdr>
              <w:jc w:val="center"/>
              <w:rPr>
                <w:sz w:val="24"/>
                <w:szCs w:val="24"/>
              </w:rPr>
            </w:pPr>
            <w:r w:rsidRPr="00332B1B">
              <w:rPr>
                <w:sz w:val="24"/>
                <w:szCs w:val="24"/>
              </w:rPr>
              <w:t>Всього</w:t>
            </w:r>
          </w:p>
        </w:tc>
      </w:tr>
      <w:tr w:rsidR="00332B1B" w:rsidRPr="00332B1B" w:rsidTr="007D3FE7">
        <w:tc>
          <w:tcPr>
            <w:tcW w:w="5237" w:type="dxa"/>
          </w:tcPr>
          <w:p w:rsidR="006453A3" w:rsidRPr="00332B1B" w:rsidRDefault="006453A3" w:rsidP="00457ACE">
            <w:pPr>
              <w:pBdr>
                <w:top w:val="nil"/>
                <w:left w:val="nil"/>
                <w:bottom w:val="nil"/>
                <w:right w:val="nil"/>
                <w:between w:val="nil"/>
              </w:pBdr>
              <w:rPr>
                <w:sz w:val="24"/>
                <w:szCs w:val="24"/>
              </w:rPr>
            </w:pPr>
            <w:r w:rsidRPr="00332B1B">
              <w:rPr>
                <w:sz w:val="28"/>
                <w:szCs w:val="28"/>
              </w:rPr>
              <w:t>Кількість суб’єктів господарювання (СГ), що підпадають під дію регулювання, од</w:t>
            </w:r>
            <w:r w:rsidR="00457ACE">
              <w:rPr>
                <w:sz w:val="28"/>
                <w:szCs w:val="28"/>
              </w:rPr>
              <w:t>.</w:t>
            </w:r>
          </w:p>
        </w:tc>
        <w:tc>
          <w:tcPr>
            <w:tcW w:w="4394" w:type="dxa"/>
            <w:vAlign w:val="center"/>
          </w:tcPr>
          <w:p w:rsidR="006453A3" w:rsidRPr="00332B1B" w:rsidRDefault="00780353" w:rsidP="00780353">
            <w:pPr>
              <w:jc w:val="center"/>
              <w:rPr>
                <w:sz w:val="24"/>
                <w:szCs w:val="24"/>
              </w:rPr>
            </w:pPr>
            <w:r w:rsidRPr="00332B1B">
              <w:rPr>
                <w:sz w:val="28"/>
                <w:szCs w:val="28"/>
              </w:rPr>
              <w:t>6 500 *</w:t>
            </w:r>
          </w:p>
        </w:tc>
      </w:tr>
    </w:tbl>
    <w:p w:rsidR="00954A76" w:rsidRPr="007D3FE7" w:rsidRDefault="007E0750" w:rsidP="007D3FE7">
      <w:pPr>
        <w:ind w:firstLine="567"/>
        <w:jc w:val="both"/>
        <w:rPr>
          <w:i/>
          <w:sz w:val="24"/>
          <w:szCs w:val="24"/>
        </w:rPr>
      </w:pPr>
      <w:r w:rsidRPr="00332B1B">
        <w:rPr>
          <w:sz w:val="24"/>
          <w:szCs w:val="24"/>
        </w:rPr>
        <w:t xml:space="preserve"> </w:t>
      </w:r>
      <w:r w:rsidR="00F93AED" w:rsidRPr="007D3FE7">
        <w:rPr>
          <w:i/>
          <w:sz w:val="24"/>
          <w:szCs w:val="24"/>
        </w:rPr>
        <w:t xml:space="preserve">* Показники щодо кількості суб’єктів господарювання, які </w:t>
      </w:r>
      <w:r w:rsidR="00554C9C" w:rsidRPr="007D3FE7">
        <w:rPr>
          <w:i/>
          <w:sz w:val="24"/>
          <w:szCs w:val="24"/>
        </w:rPr>
        <w:t xml:space="preserve">підпадають під дію регулювання </w:t>
      </w:r>
      <w:r w:rsidR="00FA2838" w:rsidRPr="007D3FE7">
        <w:rPr>
          <w:i/>
          <w:sz w:val="24"/>
          <w:szCs w:val="24"/>
        </w:rPr>
        <w:t>визначено за даними</w:t>
      </w:r>
      <w:r w:rsidR="00954A76" w:rsidRPr="007D3FE7">
        <w:rPr>
          <w:i/>
          <w:sz w:val="24"/>
          <w:szCs w:val="24"/>
        </w:rPr>
        <w:t xml:space="preserve"> ДПС</w:t>
      </w:r>
      <w:r w:rsidR="00FA2838" w:rsidRPr="007D3FE7">
        <w:rPr>
          <w:i/>
          <w:sz w:val="24"/>
          <w:szCs w:val="24"/>
        </w:rPr>
        <w:t>, а саме</w:t>
      </w:r>
      <w:r w:rsidR="00954A76" w:rsidRPr="007D3FE7">
        <w:rPr>
          <w:i/>
          <w:sz w:val="24"/>
          <w:szCs w:val="24"/>
        </w:rPr>
        <w:t xml:space="preserve"> звіту «Аудит - 1» «Про результати роботи підрозділів податкового аудиту» щодо кількості проведених протягом 2019-2022 років документальних позапланов</w:t>
      </w:r>
      <w:r w:rsidR="00FA2838" w:rsidRPr="007D3FE7">
        <w:rPr>
          <w:i/>
          <w:sz w:val="24"/>
          <w:szCs w:val="24"/>
        </w:rPr>
        <w:t>их перевірок платників податків. Так</w:t>
      </w:r>
      <w:r w:rsidR="00954A76" w:rsidRPr="007D3FE7">
        <w:rPr>
          <w:i/>
          <w:sz w:val="24"/>
          <w:szCs w:val="24"/>
        </w:rPr>
        <w:t xml:space="preserve"> </w:t>
      </w:r>
      <w:r w:rsidR="00954A76" w:rsidRPr="007D3FE7">
        <w:rPr>
          <w:i/>
          <w:sz w:val="24"/>
          <w:szCs w:val="24"/>
          <w:u w:val="single"/>
        </w:rPr>
        <w:t>кількість позапланових перевірок</w:t>
      </w:r>
      <w:r w:rsidR="00954A76" w:rsidRPr="007D3FE7">
        <w:rPr>
          <w:i/>
          <w:sz w:val="24"/>
          <w:szCs w:val="24"/>
        </w:rPr>
        <w:t xml:space="preserve"> у ІІ півріччі 2023 року складе </w:t>
      </w:r>
      <w:r w:rsidR="00954A76" w:rsidRPr="007D3FE7">
        <w:rPr>
          <w:i/>
          <w:sz w:val="24"/>
          <w:szCs w:val="24"/>
          <w:u w:val="single"/>
        </w:rPr>
        <w:t>близько 5 тисяч</w:t>
      </w:r>
      <w:r w:rsidR="003F6431" w:rsidRPr="007D3FE7">
        <w:rPr>
          <w:i/>
          <w:sz w:val="24"/>
          <w:szCs w:val="24"/>
        </w:rPr>
        <w:t xml:space="preserve"> (охоп</w:t>
      </w:r>
      <w:r w:rsidR="00BA416A" w:rsidRPr="007D3FE7">
        <w:rPr>
          <w:i/>
          <w:sz w:val="24"/>
          <w:szCs w:val="24"/>
        </w:rPr>
        <w:t>люватиме</w:t>
      </w:r>
      <w:r w:rsidR="003F6431" w:rsidRPr="007D3FE7">
        <w:rPr>
          <w:i/>
          <w:sz w:val="24"/>
          <w:szCs w:val="24"/>
        </w:rPr>
        <w:t xml:space="preserve"> близько 4,5 тис </w:t>
      </w:r>
      <w:r w:rsidR="00446915" w:rsidRPr="007D3FE7">
        <w:rPr>
          <w:i/>
          <w:sz w:val="24"/>
          <w:szCs w:val="24"/>
        </w:rPr>
        <w:t>СГ</w:t>
      </w:r>
      <w:r w:rsidR="003F6431" w:rsidRPr="007D3FE7">
        <w:rPr>
          <w:i/>
          <w:sz w:val="24"/>
          <w:szCs w:val="24"/>
        </w:rPr>
        <w:t>)</w:t>
      </w:r>
      <w:r w:rsidR="00954A76" w:rsidRPr="007D3FE7">
        <w:rPr>
          <w:i/>
          <w:sz w:val="24"/>
          <w:szCs w:val="24"/>
        </w:rPr>
        <w:t>.</w:t>
      </w:r>
    </w:p>
    <w:p w:rsidR="00954A76" w:rsidRPr="007D3FE7" w:rsidRDefault="00954A76" w:rsidP="007D3FE7">
      <w:pPr>
        <w:ind w:firstLine="567"/>
        <w:jc w:val="both"/>
        <w:rPr>
          <w:i/>
          <w:sz w:val="24"/>
          <w:szCs w:val="24"/>
        </w:rPr>
      </w:pPr>
      <w:r w:rsidRPr="007D3FE7">
        <w:rPr>
          <w:i/>
          <w:sz w:val="24"/>
          <w:szCs w:val="24"/>
        </w:rPr>
        <w:t xml:space="preserve">З урахуванням плану-графіка проведення документальних планових перевірок платників податків на 2023 рік та розпочатих і не завершених планових перевірок у 2021-2022 роках, </w:t>
      </w:r>
      <w:r w:rsidRPr="007D3FE7">
        <w:rPr>
          <w:i/>
          <w:sz w:val="24"/>
          <w:szCs w:val="24"/>
          <w:u w:val="single"/>
        </w:rPr>
        <w:t>кількість планових перевірок</w:t>
      </w:r>
      <w:r w:rsidRPr="007D3FE7">
        <w:rPr>
          <w:i/>
          <w:sz w:val="24"/>
          <w:szCs w:val="24"/>
        </w:rPr>
        <w:t xml:space="preserve"> у ІІ півріччі 2023 року складе </w:t>
      </w:r>
      <w:r w:rsidRPr="007D3FE7">
        <w:rPr>
          <w:i/>
          <w:sz w:val="24"/>
          <w:szCs w:val="24"/>
          <w:u w:val="single"/>
        </w:rPr>
        <w:t>близько 2 тисяч</w:t>
      </w:r>
      <w:r w:rsidR="003F6431" w:rsidRPr="007D3FE7">
        <w:rPr>
          <w:i/>
          <w:sz w:val="24"/>
          <w:szCs w:val="24"/>
        </w:rPr>
        <w:t xml:space="preserve"> (охоп</w:t>
      </w:r>
      <w:r w:rsidR="00BA416A" w:rsidRPr="007D3FE7">
        <w:rPr>
          <w:i/>
          <w:sz w:val="24"/>
          <w:szCs w:val="24"/>
        </w:rPr>
        <w:t>люватиме</w:t>
      </w:r>
      <w:r w:rsidR="00EF4FB9" w:rsidRPr="007D3FE7">
        <w:rPr>
          <w:i/>
          <w:sz w:val="24"/>
          <w:szCs w:val="24"/>
        </w:rPr>
        <w:t xml:space="preserve"> близько </w:t>
      </w:r>
      <w:r w:rsidR="003F6431" w:rsidRPr="007D3FE7">
        <w:rPr>
          <w:i/>
          <w:sz w:val="24"/>
          <w:szCs w:val="24"/>
        </w:rPr>
        <w:t xml:space="preserve"> 2 тис </w:t>
      </w:r>
      <w:r w:rsidR="00446915" w:rsidRPr="007D3FE7">
        <w:rPr>
          <w:i/>
          <w:sz w:val="24"/>
          <w:szCs w:val="24"/>
        </w:rPr>
        <w:t>СГ</w:t>
      </w:r>
      <w:r w:rsidR="003F6431" w:rsidRPr="007D3FE7">
        <w:rPr>
          <w:i/>
          <w:sz w:val="24"/>
          <w:szCs w:val="24"/>
        </w:rPr>
        <w:t xml:space="preserve">) </w:t>
      </w:r>
      <w:r w:rsidRPr="007D3FE7">
        <w:rPr>
          <w:i/>
          <w:sz w:val="24"/>
          <w:szCs w:val="24"/>
        </w:rPr>
        <w:t>.</w:t>
      </w:r>
    </w:p>
    <w:p w:rsidR="007C34BB" w:rsidRPr="00332B1B" w:rsidRDefault="007C34BB" w:rsidP="004E3E17">
      <w:pPr>
        <w:jc w:val="both"/>
        <w:rPr>
          <w:sz w:val="24"/>
          <w:szCs w:val="24"/>
        </w:rPr>
      </w:pPr>
    </w:p>
    <w:tbl>
      <w:tblPr>
        <w:tblStyle w:val="1f"/>
        <w:tblW w:w="9631" w:type="dxa"/>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2119"/>
        <w:gridCol w:w="3795"/>
        <w:gridCol w:w="3717"/>
      </w:tblGrid>
      <w:tr w:rsidR="00332B1B" w:rsidRPr="00332B1B" w:rsidTr="007D3FE7">
        <w:tc>
          <w:tcPr>
            <w:tcW w:w="2119"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jc w:val="center"/>
              <w:rPr>
                <w:sz w:val="28"/>
                <w:szCs w:val="24"/>
              </w:rPr>
            </w:pPr>
            <w:r w:rsidRPr="00332B1B">
              <w:rPr>
                <w:sz w:val="28"/>
                <w:szCs w:val="24"/>
              </w:rPr>
              <w:t>Вид альтернативи</w:t>
            </w:r>
          </w:p>
        </w:tc>
        <w:tc>
          <w:tcPr>
            <w:tcW w:w="3795"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jc w:val="center"/>
              <w:rPr>
                <w:sz w:val="28"/>
                <w:szCs w:val="24"/>
              </w:rPr>
            </w:pPr>
            <w:r w:rsidRPr="00332B1B">
              <w:rPr>
                <w:sz w:val="28"/>
                <w:szCs w:val="24"/>
              </w:rPr>
              <w:t>Вигоди</w:t>
            </w:r>
          </w:p>
        </w:tc>
        <w:tc>
          <w:tcPr>
            <w:tcW w:w="3717" w:type="dxa"/>
            <w:tcBorders>
              <w:top w:val="single" w:sz="6" w:space="0" w:color="000000"/>
              <w:left w:val="single" w:sz="6" w:space="0" w:color="000000"/>
              <w:bottom w:val="single" w:sz="6" w:space="0" w:color="000000"/>
              <w:right w:val="single" w:sz="6" w:space="0" w:color="000000"/>
            </w:tcBorders>
          </w:tcPr>
          <w:p w:rsidR="00AE0FB2" w:rsidRPr="00332B1B" w:rsidRDefault="00F93AED">
            <w:pPr>
              <w:pBdr>
                <w:top w:val="nil"/>
                <w:left w:val="nil"/>
                <w:bottom w:val="nil"/>
                <w:right w:val="nil"/>
                <w:between w:val="nil"/>
              </w:pBdr>
              <w:jc w:val="center"/>
              <w:rPr>
                <w:sz w:val="28"/>
                <w:szCs w:val="24"/>
              </w:rPr>
            </w:pPr>
            <w:r w:rsidRPr="00332B1B">
              <w:rPr>
                <w:sz w:val="28"/>
                <w:szCs w:val="24"/>
              </w:rPr>
              <w:t>Витрати</w:t>
            </w:r>
          </w:p>
        </w:tc>
      </w:tr>
      <w:tr w:rsidR="00043211" w:rsidRPr="00332B1B" w:rsidTr="00B9026E">
        <w:tc>
          <w:tcPr>
            <w:tcW w:w="2119" w:type="dxa"/>
            <w:tcBorders>
              <w:top w:val="single" w:sz="6" w:space="0" w:color="000000"/>
              <w:left w:val="single" w:sz="6" w:space="0" w:color="000000"/>
              <w:bottom w:val="single" w:sz="6" w:space="0" w:color="000000"/>
              <w:right w:val="single" w:sz="6" w:space="0" w:color="000000"/>
            </w:tcBorders>
          </w:tcPr>
          <w:p w:rsidR="00043211" w:rsidRPr="00332B1B" w:rsidRDefault="00043211" w:rsidP="00043211">
            <w:pPr>
              <w:pBdr>
                <w:top w:val="nil"/>
                <w:left w:val="nil"/>
                <w:bottom w:val="nil"/>
                <w:right w:val="nil"/>
                <w:between w:val="nil"/>
              </w:pBdr>
              <w:jc w:val="center"/>
              <w:rPr>
                <w:sz w:val="28"/>
                <w:szCs w:val="24"/>
              </w:rPr>
            </w:pPr>
            <w:r w:rsidRPr="00332B1B">
              <w:rPr>
                <w:sz w:val="28"/>
                <w:szCs w:val="24"/>
              </w:rPr>
              <w:t>Альтернатива 1</w:t>
            </w:r>
          </w:p>
        </w:tc>
        <w:tc>
          <w:tcPr>
            <w:tcW w:w="3795" w:type="dxa"/>
            <w:tcBorders>
              <w:top w:val="single" w:sz="6" w:space="0" w:color="000000"/>
              <w:left w:val="single" w:sz="6" w:space="0" w:color="000000"/>
              <w:bottom w:val="single" w:sz="6" w:space="0" w:color="000000"/>
              <w:right w:val="single" w:sz="6" w:space="0" w:color="000000"/>
            </w:tcBorders>
          </w:tcPr>
          <w:p w:rsidR="00043211" w:rsidRPr="00043211" w:rsidRDefault="00043211" w:rsidP="00043211">
            <w:pPr>
              <w:jc w:val="both"/>
              <w:rPr>
                <w:sz w:val="28"/>
                <w:szCs w:val="28"/>
                <w:lang w:eastAsia="ru-RU"/>
              </w:rPr>
            </w:pPr>
            <w:r>
              <w:rPr>
                <w:sz w:val="28"/>
                <w:szCs w:val="28"/>
                <w:lang w:eastAsia="ru-RU"/>
              </w:rPr>
              <w:t>В</w:t>
            </w:r>
            <w:r w:rsidRPr="00043211">
              <w:rPr>
                <w:sz w:val="28"/>
                <w:szCs w:val="28"/>
                <w:lang w:eastAsia="ru-RU"/>
              </w:rPr>
              <w:t>ідсутні.</w:t>
            </w:r>
          </w:p>
          <w:p w:rsidR="00043211" w:rsidRPr="00043211" w:rsidRDefault="00043211" w:rsidP="00A82121">
            <w:pPr>
              <w:jc w:val="both"/>
              <w:rPr>
                <w:sz w:val="28"/>
                <w:szCs w:val="28"/>
                <w:lang w:eastAsia="ru-RU"/>
              </w:rPr>
            </w:pPr>
          </w:p>
        </w:tc>
        <w:tc>
          <w:tcPr>
            <w:tcW w:w="3717" w:type="dxa"/>
            <w:tcBorders>
              <w:top w:val="single" w:sz="6" w:space="0" w:color="000000"/>
              <w:left w:val="single" w:sz="6" w:space="0" w:color="000000"/>
              <w:bottom w:val="single" w:sz="6" w:space="0" w:color="000000"/>
              <w:right w:val="single" w:sz="6" w:space="0" w:color="000000"/>
            </w:tcBorders>
          </w:tcPr>
          <w:p w:rsidR="00043211" w:rsidRPr="00043211" w:rsidRDefault="00A82121" w:rsidP="00043211">
            <w:pPr>
              <w:jc w:val="both"/>
              <w:rPr>
                <w:sz w:val="28"/>
                <w:szCs w:val="28"/>
                <w:lang w:eastAsia="ru-RU"/>
              </w:rPr>
            </w:pPr>
            <w:r>
              <w:rPr>
                <w:sz w:val="28"/>
                <w:szCs w:val="28"/>
                <w:lang w:eastAsia="ru-RU"/>
              </w:rPr>
              <w:t>В</w:t>
            </w:r>
            <w:r w:rsidR="00043211" w:rsidRPr="00043211">
              <w:rPr>
                <w:sz w:val="28"/>
                <w:szCs w:val="28"/>
                <w:lang w:eastAsia="ru-RU"/>
              </w:rPr>
              <w:t>ідсутні.</w:t>
            </w:r>
          </w:p>
          <w:p w:rsidR="00043211" w:rsidRPr="00043211" w:rsidRDefault="00043211" w:rsidP="00043211">
            <w:pPr>
              <w:jc w:val="both"/>
              <w:rPr>
                <w:sz w:val="28"/>
                <w:szCs w:val="28"/>
                <w:highlight w:val="yellow"/>
                <w:lang w:eastAsia="ru-RU"/>
              </w:rPr>
            </w:pPr>
            <w:r w:rsidRPr="00043211">
              <w:rPr>
                <w:sz w:val="28"/>
                <w:szCs w:val="28"/>
                <w:lang w:eastAsia="ru-RU"/>
              </w:rPr>
              <w:lastRenderedPageBreak/>
              <w:t>У разі неприйняття проекту акта значна частка суб’єктів господарювання, які мають ризики несплати податків,</w:t>
            </w:r>
            <w:r w:rsidRPr="00043211">
              <w:rPr>
                <w:sz w:val="28"/>
                <w:szCs w:val="28"/>
              </w:rPr>
              <w:t xml:space="preserve"> зборів, внесків,</w:t>
            </w:r>
            <w:r w:rsidRPr="00043211">
              <w:rPr>
                <w:sz w:val="28"/>
                <w:szCs w:val="28"/>
                <w:lang w:eastAsia="ru-RU"/>
              </w:rPr>
              <w:t xml:space="preserve"> залишаться неперевіреними</w:t>
            </w:r>
          </w:p>
        </w:tc>
      </w:tr>
      <w:tr w:rsidR="00A82121" w:rsidRPr="00332B1B" w:rsidTr="007D3FE7">
        <w:tc>
          <w:tcPr>
            <w:tcW w:w="2119" w:type="dxa"/>
            <w:tcBorders>
              <w:top w:val="single" w:sz="6" w:space="0" w:color="000000"/>
              <w:left w:val="single" w:sz="6" w:space="0" w:color="000000"/>
              <w:bottom w:val="single" w:sz="6" w:space="0" w:color="000000"/>
              <w:right w:val="single" w:sz="6" w:space="0" w:color="000000"/>
            </w:tcBorders>
          </w:tcPr>
          <w:p w:rsidR="00A82121" w:rsidRPr="00332B1B" w:rsidRDefault="00A82121" w:rsidP="00A82121">
            <w:pPr>
              <w:pBdr>
                <w:top w:val="nil"/>
                <w:left w:val="nil"/>
                <w:bottom w:val="nil"/>
                <w:right w:val="nil"/>
                <w:between w:val="nil"/>
              </w:pBdr>
              <w:jc w:val="center"/>
              <w:rPr>
                <w:sz w:val="28"/>
                <w:szCs w:val="24"/>
              </w:rPr>
            </w:pPr>
            <w:r w:rsidRPr="00332B1B">
              <w:rPr>
                <w:sz w:val="28"/>
                <w:szCs w:val="24"/>
              </w:rPr>
              <w:lastRenderedPageBreak/>
              <w:t>Альтернатива 2</w:t>
            </w:r>
          </w:p>
        </w:tc>
        <w:tc>
          <w:tcPr>
            <w:tcW w:w="3795" w:type="dxa"/>
            <w:tcBorders>
              <w:top w:val="single" w:sz="6" w:space="0" w:color="000000"/>
              <w:left w:val="single" w:sz="6" w:space="0" w:color="000000"/>
              <w:bottom w:val="single" w:sz="6" w:space="0" w:color="000000"/>
              <w:right w:val="single" w:sz="6" w:space="0" w:color="000000"/>
            </w:tcBorders>
          </w:tcPr>
          <w:p w:rsidR="00A82121" w:rsidRPr="00A82121" w:rsidRDefault="00A82121" w:rsidP="00A82121">
            <w:pPr>
              <w:jc w:val="both"/>
              <w:rPr>
                <w:sz w:val="28"/>
                <w:szCs w:val="28"/>
                <w:lang w:eastAsia="ru-RU"/>
              </w:rPr>
            </w:pPr>
            <w:r w:rsidRPr="00A82121">
              <w:rPr>
                <w:sz w:val="28"/>
                <w:szCs w:val="28"/>
                <w:lang w:eastAsia="ru-RU"/>
              </w:rPr>
              <w:t xml:space="preserve">Прийняття </w:t>
            </w:r>
            <w:r>
              <w:rPr>
                <w:sz w:val="28"/>
                <w:szCs w:val="28"/>
                <w:lang w:eastAsia="ru-RU"/>
              </w:rPr>
              <w:t>законо</w:t>
            </w:r>
            <w:r w:rsidRPr="00A82121">
              <w:rPr>
                <w:sz w:val="28"/>
                <w:szCs w:val="28"/>
                <w:lang w:eastAsia="ru-RU"/>
              </w:rPr>
              <w:t>проекту надасть можливість суб’єктам господарювання після проведення перевірки:</w:t>
            </w:r>
          </w:p>
          <w:p w:rsidR="00A82121" w:rsidRPr="00A82121" w:rsidRDefault="00A82121" w:rsidP="00A82121">
            <w:pPr>
              <w:jc w:val="both"/>
              <w:rPr>
                <w:sz w:val="28"/>
                <w:szCs w:val="28"/>
                <w:lang w:eastAsia="ru-RU"/>
              </w:rPr>
            </w:pPr>
            <w:r>
              <w:rPr>
                <w:sz w:val="28"/>
                <w:szCs w:val="28"/>
                <w:lang w:eastAsia="ru-RU"/>
              </w:rPr>
              <w:t xml:space="preserve">- </w:t>
            </w:r>
            <w:r w:rsidRPr="00A82121">
              <w:rPr>
                <w:sz w:val="28"/>
                <w:szCs w:val="28"/>
                <w:lang w:eastAsia="ru-RU"/>
              </w:rPr>
              <w:t>підтвердити повноту і достовірність задекларованих показників податкової звітності;</w:t>
            </w:r>
          </w:p>
          <w:p w:rsidR="00A82121" w:rsidRPr="00A82121" w:rsidRDefault="00A82121" w:rsidP="00A82121">
            <w:pPr>
              <w:jc w:val="both"/>
              <w:rPr>
                <w:sz w:val="28"/>
                <w:szCs w:val="28"/>
                <w:lang w:eastAsia="ru-RU"/>
              </w:rPr>
            </w:pPr>
            <w:r>
              <w:rPr>
                <w:sz w:val="28"/>
                <w:szCs w:val="28"/>
                <w:lang w:eastAsia="ru-RU"/>
              </w:rPr>
              <w:t xml:space="preserve">- </w:t>
            </w:r>
            <w:r w:rsidRPr="00A82121">
              <w:rPr>
                <w:sz w:val="28"/>
                <w:szCs w:val="28"/>
                <w:lang w:eastAsia="ru-RU"/>
              </w:rPr>
              <w:t>здійснити заходи щодо передачі документів, пов’язаних з предметом перевірки, для архівного зберігання або знищення;</w:t>
            </w:r>
          </w:p>
          <w:p w:rsidR="00A82121" w:rsidRPr="00A82121" w:rsidRDefault="00A82121" w:rsidP="00A82121">
            <w:pPr>
              <w:jc w:val="both"/>
              <w:rPr>
                <w:sz w:val="28"/>
                <w:szCs w:val="28"/>
                <w:lang w:eastAsia="ru-RU"/>
              </w:rPr>
            </w:pPr>
            <w:r>
              <w:rPr>
                <w:sz w:val="28"/>
                <w:szCs w:val="28"/>
                <w:lang w:eastAsia="ru-RU"/>
              </w:rPr>
              <w:t xml:space="preserve">- </w:t>
            </w:r>
            <w:r w:rsidRPr="00A82121">
              <w:rPr>
                <w:sz w:val="28"/>
                <w:szCs w:val="28"/>
                <w:lang w:eastAsia="ru-RU"/>
              </w:rPr>
              <w:t>привести свою діяльність у відповідність до вимог чинного законодавства;</w:t>
            </w:r>
          </w:p>
          <w:p w:rsidR="00A82121" w:rsidRPr="00A82121" w:rsidRDefault="00A82121" w:rsidP="00A82121">
            <w:pPr>
              <w:jc w:val="both"/>
              <w:rPr>
                <w:sz w:val="28"/>
                <w:szCs w:val="28"/>
                <w:lang w:eastAsia="ru-RU"/>
              </w:rPr>
            </w:pPr>
            <w:r>
              <w:rPr>
                <w:sz w:val="28"/>
                <w:szCs w:val="28"/>
                <w:lang w:eastAsia="ru-RU"/>
              </w:rPr>
              <w:t xml:space="preserve">- </w:t>
            </w:r>
            <w:r w:rsidRPr="00A82121">
              <w:rPr>
                <w:sz w:val="28"/>
                <w:szCs w:val="28"/>
                <w:lang w:eastAsia="ru-RU"/>
              </w:rPr>
              <w:t>врахува</w:t>
            </w:r>
            <w:r>
              <w:rPr>
                <w:sz w:val="28"/>
                <w:szCs w:val="28"/>
                <w:lang w:eastAsia="ru-RU"/>
              </w:rPr>
              <w:t>ти</w:t>
            </w:r>
            <w:r w:rsidRPr="00A82121">
              <w:rPr>
                <w:sz w:val="28"/>
                <w:szCs w:val="28"/>
                <w:lang w:eastAsia="ru-RU"/>
              </w:rPr>
              <w:t xml:space="preserve"> встановлен</w:t>
            </w:r>
            <w:r>
              <w:rPr>
                <w:sz w:val="28"/>
                <w:szCs w:val="28"/>
                <w:lang w:eastAsia="ru-RU"/>
              </w:rPr>
              <w:t>і</w:t>
            </w:r>
            <w:r w:rsidRPr="00A82121">
              <w:rPr>
                <w:sz w:val="28"/>
                <w:szCs w:val="28"/>
                <w:lang w:eastAsia="ru-RU"/>
              </w:rPr>
              <w:t xml:space="preserve"> перевіркою помил</w:t>
            </w:r>
            <w:r>
              <w:rPr>
                <w:sz w:val="28"/>
                <w:szCs w:val="28"/>
                <w:lang w:eastAsia="ru-RU"/>
              </w:rPr>
              <w:t>ки</w:t>
            </w:r>
            <w:r w:rsidRPr="00A82121">
              <w:rPr>
                <w:sz w:val="28"/>
                <w:szCs w:val="28"/>
                <w:lang w:eastAsia="ru-RU"/>
              </w:rPr>
              <w:t xml:space="preserve"> у подальшій діяльності та декларуванні доходів.</w:t>
            </w:r>
          </w:p>
        </w:tc>
        <w:tc>
          <w:tcPr>
            <w:tcW w:w="3717" w:type="dxa"/>
            <w:tcBorders>
              <w:top w:val="single" w:sz="6" w:space="0" w:color="000000"/>
              <w:left w:val="single" w:sz="6" w:space="0" w:color="000000"/>
              <w:bottom w:val="single" w:sz="6" w:space="0" w:color="000000"/>
              <w:right w:val="single" w:sz="6" w:space="0" w:color="000000"/>
            </w:tcBorders>
          </w:tcPr>
          <w:p w:rsidR="00A82121" w:rsidRPr="00A82121" w:rsidRDefault="00A82121" w:rsidP="00A82121">
            <w:pPr>
              <w:jc w:val="both"/>
              <w:rPr>
                <w:sz w:val="28"/>
                <w:szCs w:val="28"/>
                <w:lang w:eastAsia="ru-RU"/>
              </w:rPr>
            </w:pPr>
            <w:r w:rsidRPr="00A82121">
              <w:rPr>
                <w:sz w:val="28"/>
                <w:szCs w:val="28"/>
                <w:lang w:eastAsia="ru-RU"/>
              </w:rPr>
              <w:t xml:space="preserve">Витрати суб’єктів господарювання виникнуть лише у випадку встановлення контролюючими органами </w:t>
            </w:r>
            <w:r>
              <w:rPr>
                <w:sz w:val="28"/>
                <w:szCs w:val="28"/>
                <w:lang w:eastAsia="ru-RU"/>
              </w:rPr>
              <w:t xml:space="preserve">факту </w:t>
            </w:r>
            <w:r w:rsidRPr="00A82121">
              <w:rPr>
                <w:sz w:val="28"/>
                <w:szCs w:val="28"/>
                <w:lang w:eastAsia="ru-RU"/>
              </w:rPr>
              <w:t>недотримання вимог пода</w:t>
            </w:r>
            <w:r>
              <w:rPr>
                <w:sz w:val="28"/>
                <w:szCs w:val="28"/>
                <w:lang w:eastAsia="ru-RU"/>
              </w:rPr>
              <w:t>ткового та іншого законодавства, контроль за дотриманням якого покладено на контролюючі органи.</w:t>
            </w:r>
          </w:p>
        </w:tc>
      </w:tr>
    </w:tbl>
    <w:p w:rsidR="005E58D1" w:rsidRDefault="005E58D1" w:rsidP="005E58D1">
      <w:pPr>
        <w:rPr>
          <w:b/>
          <w:sz w:val="28"/>
          <w:szCs w:val="28"/>
        </w:rPr>
      </w:pPr>
    </w:p>
    <w:p w:rsidR="007D47E1" w:rsidRDefault="007D47E1" w:rsidP="007D47E1">
      <w:pPr>
        <w:jc w:val="center"/>
        <w:rPr>
          <w:b/>
          <w:sz w:val="28"/>
          <w:szCs w:val="28"/>
        </w:rPr>
      </w:pPr>
      <w:r w:rsidRPr="00332B1B">
        <w:rPr>
          <w:b/>
          <w:sz w:val="28"/>
          <w:szCs w:val="28"/>
        </w:rPr>
        <w:t>Витрати на одного суб’єкта господарювання, які виникають внаслідок дії регуляторного акта</w:t>
      </w:r>
      <w:r w:rsidR="00672055" w:rsidRPr="009D5600">
        <w:rPr>
          <w:sz w:val="28"/>
          <w:szCs w:val="28"/>
          <w:lang w:val="ru-RU"/>
        </w:rPr>
        <w:t>*</w:t>
      </w:r>
    </w:p>
    <w:p w:rsidR="00B9026E" w:rsidRDefault="00B9026E" w:rsidP="007D47E1">
      <w:pPr>
        <w:jc w:val="center"/>
        <w:rPr>
          <w:b/>
          <w:sz w:val="28"/>
          <w:szCs w:val="28"/>
        </w:rPr>
      </w:pPr>
    </w:p>
    <w:tbl>
      <w:tblPr>
        <w:tblStyle w:val="afc"/>
        <w:tblW w:w="9631" w:type="dxa"/>
        <w:tblLook w:val="04A0" w:firstRow="1" w:lastRow="0" w:firstColumn="1" w:lastColumn="0" w:noHBand="0" w:noVBand="1"/>
      </w:tblPr>
      <w:tblGrid>
        <w:gridCol w:w="1574"/>
        <w:gridCol w:w="4947"/>
        <w:gridCol w:w="1554"/>
        <w:gridCol w:w="1556"/>
      </w:tblGrid>
      <w:tr w:rsidR="00B9026E" w:rsidTr="00672055">
        <w:tc>
          <w:tcPr>
            <w:tcW w:w="1574" w:type="dxa"/>
          </w:tcPr>
          <w:p w:rsidR="00B9026E" w:rsidRPr="00FC2B15" w:rsidRDefault="00B9026E" w:rsidP="00672055">
            <w:pPr>
              <w:pStyle w:val="afa"/>
              <w:spacing w:before="0" w:beforeAutospacing="0" w:after="0" w:afterAutospacing="0"/>
              <w:jc w:val="center"/>
              <w:rPr>
                <w:rFonts w:ascii="Times New Roman" w:hAnsi="Times New Roman"/>
                <w:sz w:val="28"/>
                <w:szCs w:val="28"/>
                <w:lang w:val="uk-UA"/>
              </w:rPr>
            </w:pPr>
            <w:r w:rsidRPr="00672055">
              <w:rPr>
                <w:rFonts w:ascii="Times New Roman" w:hAnsi="Times New Roman"/>
                <w:sz w:val="26"/>
                <w:szCs w:val="26"/>
                <w:lang w:val="uk-UA"/>
              </w:rPr>
              <w:t>Порядковий номер</w:t>
            </w:r>
          </w:p>
        </w:tc>
        <w:tc>
          <w:tcPr>
            <w:tcW w:w="4947" w:type="dxa"/>
          </w:tcPr>
          <w:p w:rsidR="00B9026E" w:rsidRPr="00FC2B15" w:rsidRDefault="00B9026E" w:rsidP="00672055">
            <w:pPr>
              <w:pStyle w:val="afa"/>
              <w:spacing w:before="0" w:beforeAutospacing="0" w:after="0" w:afterAutospacing="0"/>
              <w:jc w:val="center"/>
              <w:rPr>
                <w:rFonts w:ascii="Times New Roman" w:hAnsi="Times New Roman"/>
                <w:sz w:val="28"/>
                <w:szCs w:val="28"/>
                <w:lang w:val="uk-UA"/>
              </w:rPr>
            </w:pPr>
            <w:r w:rsidRPr="00FC2B15">
              <w:rPr>
                <w:rFonts w:ascii="Times New Roman" w:hAnsi="Times New Roman"/>
                <w:sz w:val="28"/>
                <w:szCs w:val="28"/>
                <w:lang w:val="uk-UA"/>
              </w:rPr>
              <w:t>Витрати</w:t>
            </w:r>
          </w:p>
        </w:tc>
        <w:tc>
          <w:tcPr>
            <w:tcW w:w="1554" w:type="dxa"/>
          </w:tcPr>
          <w:p w:rsidR="00B9026E" w:rsidRPr="00FC2B15" w:rsidRDefault="00B9026E" w:rsidP="00672055">
            <w:pPr>
              <w:pStyle w:val="afa"/>
              <w:spacing w:before="0" w:beforeAutospacing="0" w:after="0" w:afterAutospacing="0"/>
              <w:jc w:val="center"/>
              <w:rPr>
                <w:rFonts w:ascii="Times New Roman" w:hAnsi="Times New Roman"/>
                <w:sz w:val="28"/>
                <w:szCs w:val="28"/>
                <w:lang w:val="uk-UA"/>
              </w:rPr>
            </w:pPr>
            <w:r w:rsidRPr="00FC2B15">
              <w:rPr>
                <w:rFonts w:ascii="Times New Roman" w:hAnsi="Times New Roman"/>
                <w:sz w:val="28"/>
                <w:szCs w:val="28"/>
                <w:lang w:val="uk-UA"/>
              </w:rPr>
              <w:t>За перший рік</w:t>
            </w:r>
          </w:p>
        </w:tc>
        <w:tc>
          <w:tcPr>
            <w:tcW w:w="1556" w:type="dxa"/>
          </w:tcPr>
          <w:p w:rsidR="00B9026E" w:rsidRPr="00FC2B15" w:rsidRDefault="00B9026E" w:rsidP="00672055">
            <w:pPr>
              <w:pStyle w:val="afa"/>
              <w:spacing w:before="0" w:beforeAutospacing="0" w:after="0" w:afterAutospacing="0"/>
              <w:jc w:val="center"/>
              <w:rPr>
                <w:rFonts w:ascii="Times New Roman" w:hAnsi="Times New Roman"/>
                <w:sz w:val="28"/>
                <w:szCs w:val="28"/>
                <w:lang w:val="uk-UA"/>
              </w:rPr>
            </w:pPr>
            <w:r w:rsidRPr="00FC2B15">
              <w:rPr>
                <w:rFonts w:ascii="Times New Roman" w:hAnsi="Times New Roman"/>
                <w:sz w:val="28"/>
                <w:szCs w:val="28"/>
                <w:lang w:val="uk-UA"/>
              </w:rPr>
              <w:t>За п’ять років</w:t>
            </w:r>
          </w:p>
        </w:tc>
      </w:tr>
      <w:tr w:rsidR="00B9026E" w:rsidTr="00672055">
        <w:tc>
          <w:tcPr>
            <w:tcW w:w="1574" w:type="dxa"/>
          </w:tcPr>
          <w:p w:rsidR="00B9026E" w:rsidRPr="00FC2B15" w:rsidRDefault="00FC2B15" w:rsidP="00672055">
            <w:pPr>
              <w:pStyle w:val="afa"/>
              <w:spacing w:before="0" w:beforeAutospacing="0" w:after="0" w:afterAutospacing="0"/>
              <w:jc w:val="center"/>
              <w:rPr>
                <w:rFonts w:ascii="Times New Roman" w:hAnsi="Times New Roman"/>
                <w:sz w:val="28"/>
                <w:szCs w:val="28"/>
                <w:lang w:val="uk-UA"/>
              </w:rPr>
            </w:pPr>
            <w:r w:rsidRPr="00FC2B15">
              <w:rPr>
                <w:rFonts w:ascii="Times New Roman" w:hAnsi="Times New Roman"/>
                <w:sz w:val="28"/>
                <w:szCs w:val="28"/>
                <w:lang w:val="uk-UA"/>
              </w:rPr>
              <w:t>1</w:t>
            </w:r>
          </w:p>
        </w:tc>
        <w:tc>
          <w:tcPr>
            <w:tcW w:w="4947" w:type="dxa"/>
          </w:tcPr>
          <w:p w:rsidR="00B9026E" w:rsidRPr="00FC2B15" w:rsidRDefault="00B9026E" w:rsidP="00672055">
            <w:pPr>
              <w:pStyle w:val="afa"/>
              <w:spacing w:before="0" w:beforeAutospacing="0" w:after="0" w:afterAutospacing="0"/>
              <w:rPr>
                <w:rFonts w:ascii="Times New Roman" w:hAnsi="Times New Roman"/>
                <w:sz w:val="28"/>
                <w:szCs w:val="28"/>
                <w:lang w:val="en-US"/>
              </w:rPr>
            </w:pPr>
            <w:r w:rsidRPr="00FC2B15">
              <w:rPr>
                <w:rFonts w:ascii="Times New Roman" w:hAnsi="Times New Roman"/>
                <w:sz w:val="28"/>
                <w:szCs w:val="28"/>
                <w:lang w:val="uk-UA"/>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554" w:type="dxa"/>
          </w:tcPr>
          <w:p w:rsidR="00B9026E" w:rsidRPr="00FC2B15" w:rsidRDefault="00672055" w:rsidP="00672055">
            <w:pPr>
              <w:pStyle w:val="afa"/>
              <w:spacing w:before="0" w:beforeAutospacing="0" w:after="0" w:afterAutospacing="0"/>
              <w:jc w:val="center"/>
              <w:rPr>
                <w:rFonts w:ascii="Times New Roman" w:hAnsi="Times New Roman"/>
                <w:sz w:val="28"/>
                <w:szCs w:val="28"/>
                <w:lang w:val="uk-UA"/>
              </w:rPr>
            </w:pPr>
            <w:r>
              <w:rPr>
                <w:rFonts w:ascii="Times New Roman" w:hAnsi="Times New Roman"/>
                <w:sz w:val="28"/>
                <w:szCs w:val="28"/>
                <w:lang w:val="uk-UA"/>
              </w:rPr>
              <w:t>331,8</w:t>
            </w:r>
          </w:p>
        </w:tc>
        <w:tc>
          <w:tcPr>
            <w:tcW w:w="1556" w:type="dxa"/>
          </w:tcPr>
          <w:p w:rsidR="00B9026E" w:rsidRPr="00FC2B15" w:rsidRDefault="00672055" w:rsidP="00672055">
            <w:pPr>
              <w:pStyle w:val="afa"/>
              <w:spacing w:before="0" w:beforeAutospacing="0" w:after="0" w:afterAutospacing="0"/>
              <w:jc w:val="center"/>
              <w:rPr>
                <w:rFonts w:ascii="Times New Roman" w:hAnsi="Times New Roman"/>
                <w:sz w:val="28"/>
                <w:szCs w:val="28"/>
                <w:lang w:val="uk-UA"/>
              </w:rPr>
            </w:pPr>
            <w:r>
              <w:rPr>
                <w:rFonts w:ascii="Times New Roman" w:hAnsi="Times New Roman"/>
                <w:sz w:val="28"/>
                <w:szCs w:val="28"/>
                <w:lang w:val="uk-UA"/>
              </w:rPr>
              <w:t>-</w:t>
            </w:r>
          </w:p>
        </w:tc>
      </w:tr>
      <w:tr w:rsidR="00FC2B15" w:rsidTr="00672055">
        <w:tc>
          <w:tcPr>
            <w:tcW w:w="1574" w:type="dxa"/>
          </w:tcPr>
          <w:p w:rsidR="00FC2B15" w:rsidRPr="00FC2B15" w:rsidRDefault="00FC2B15" w:rsidP="00672055">
            <w:pPr>
              <w:pStyle w:val="afa"/>
              <w:spacing w:before="0" w:beforeAutospacing="0" w:after="0" w:afterAutospacing="0"/>
              <w:jc w:val="center"/>
              <w:rPr>
                <w:rFonts w:ascii="Times New Roman" w:hAnsi="Times New Roman"/>
                <w:sz w:val="28"/>
                <w:szCs w:val="28"/>
                <w:lang w:val="uk-UA"/>
              </w:rPr>
            </w:pPr>
            <w:r w:rsidRPr="00FC2B15">
              <w:rPr>
                <w:rFonts w:ascii="Times New Roman" w:hAnsi="Times New Roman"/>
                <w:sz w:val="28"/>
                <w:szCs w:val="28"/>
                <w:lang w:val="uk-UA"/>
              </w:rPr>
              <w:t>2</w:t>
            </w:r>
          </w:p>
        </w:tc>
        <w:tc>
          <w:tcPr>
            <w:tcW w:w="4947" w:type="dxa"/>
          </w:tcPr>
          <w:p w:rsidR="00FC2B15" w:rsidRPr="00FC2B15" w:rsidRDefault="00FC2B15" w:rsidP="00FC2B15">
            <w:pPr>
              <w:pStyle w:val="afa"/>
              <w:spacing w:before="0" w:beforeAutospacing="0" w:after="0" w:afterAutospacing="0"/>
              <w:rPr>
                <w:rFonts w:ascii="Times New Roman" w:hAnsi="Times New Roman"/>
                <w:sz w:val="28"/>
                <w:szCs w:val="28"/>
                <w:lang w:val="uk-UA"/>
              </w:rPr>
            </w:pPr>
            <w:r w:rsidRPr="00FC2B15">
              <w:rPr>
                <w:rFonts w:ascii="Times New Roman" w:hAnsi="Times New Roman"/>
                <w:sz w:val="28"/>
                <w:szCs w:val="28"/>
                <w:lang w:val="uk-UA"/>
              </w:rPr>
              <w:t>Кількість суб’єктів господарювання великого та середнього підприємництва, на яких буде поширено регулювання, одиниць</w:t>
            </w:r>
          </w:p>
        </w:tc>
        <w:tc>
          <w:tcPr>
            <w:tcW w:w="1554" w:type="dxa"/>
          </w:tcPr>
          <w:p w:rsidR="00FC2B15" w:rsidRPr="00FC2B15" w:rsidRDefault="00672055" w:rsidP="00672055">
            <w:pPr>
              <w:pStyle w:val="afa"/>
              <w:spacing w:before="0" w:beforeAutospacing="0" w:after="0" w:afterAutospacing="0"/>
              <w:jc w:val="center"/>
              <w:rPr>
                <w:rFonts w:ascii="Times New Roman" w:hAnsi="Times New Roman"/>
                <w:sz w:val="28"/>
                <w:szCs w:val="28"/>
                <w:lang w:val="uk-UA"/>
              </w:rPr>
            </w:pPr>
            <w:r>
              <w:rPr>
                <w:rFonts w:ascii="Times New Roman" w:hAnsi="Times New Roman"/>
                <w:sz w:val="28"/>
                <w:szCs w:val="28"/>
                <w:lang w:val="uk-UA"/>
              </w:rPr>
              <w:t>6 500</w:t>
            </w:r>
          </w:p>
        </w:tc>
        <w:tc>
          <w:tcPr>
            <w:tcW w:w="1556" w:type="dxa"/>
          </w:tcPr>
          <w:p w:rsidR="00FC2B15" w:rsidRPr="00FC2B15" w:rsidRDefault="00672055" w:rsidP="00672055">
            <w:pPr>
              <w:pStyle w:val="afa"/>
              <w:spacing w:before="0" w:beforeAutospacing="0" w:after="0" w:afterAutospacing="0"/>
              <w:jc w:val="center"/>
              <w:rPr>
                <w:rFonts w:ascii="Times New Roman" w:hAnsi="Times New Roman"/>
                <w:sz w:val="28"/>
                <w:szCs w:val="28"/>
                <w:lang w:val="uk-UA"/>
              </w:rPr>
            </w:pPr>
            <w:r>
              <w:rPr>
                <w:rFonts w:ascii="Times New Roman" w:hAnsi="Times New Roman"/>
                <w:sz w:val="28"/>
                <w:szCs w:val="28"/>
                <w:lang w:val="uk-UA"/>
              </w:rPr>
              <w:t>32 500</w:t>
            </w:r>
          </w:p>
        </w:tc>
      </w:tr>
      <w:tr w:rsidR="00FC2B15" w:rsidTr="00672055">
        <w:tc>
          <w:tcPr>
            <w:tcW w:w="1574" w:type="dxa"/>
          </w:tcPr>
          <w:p w:rsidR="00FC2B15" w:rsidRPr="00FC2B15" w:rsidRDefault="00FC2B15" w:rsidP="00672055">
            <w:pPr>
              <w:pStyle w:val="afa"/>
              <w:spacing w:before="0" w:beforeAutospacing="0" w:after="0" w:afterAutospacing="0"/>
              <w:jc w:val="center"/>
              <w:rPr>
                <w:rFonts w:ascii="Times New Roman" w:hAnsi="Times New Roman"/>
                <w:sz w:val="28"/>
                <w:szCs w:val="28"/>
                <w:lang w:val="uk-UA"/>
              </w:rPr>
            </w:pPr>
            <w:r w:rsidRPr="00FC2B15">
              <w:rPr>
                <w:rFonts w:ascii="Times New Roman" w:hAnsi="Times New Roman"/>
                <w:sz w:val="28"/>
                <w:szCs w:val="28"/>
                <w:lang w:val="uk-UA"/>
              </w:rPr>
              <w:t>3</w:t>
            </w:r>
          </w:p>
          <w:p w:rsidR="00FC2B15" w:rsidRPr="00FC2B15" w:rsidRDefault="00FC2B15" w:rsidP="00672055">
            <w:pPr>
              <w:pStyle w:val="afa"/>
              <w:spacing w:before="0" w:beforeAutospacing="0" w:after="0" w:afterAutospacing="0"/>
              <w:jc w:val="center"/>
              <w:rPr>
                <w:rFonts w:ascii="Times New Roman" w:hAnsi="Times New Roman"/>
                <w:sz w:val="28"/>
                <w:szCs w:val="28"/>
                <w:lang w:val="uk-UA"/>
              </w:rPr>
            </w:pPr>
          </w:p>
        </w:tc>
        <w:tc>
          <w:tcPr>
            <w:tcW w:w="4947" w:type="dxa"/>
          </w:tcPr>
          <w:p w:rsidR="00FC2B15" w:rsidRPr="00FC2B15" w:rsidRDefault="00FC2B15" w:rsidP="00FC2B15">
            <w:pPr>
              <w:pStyle w:val="afa"/>
              <w:spacing w:before="0" w:beforeAutospacing="0" w:after="0" w:afterAutospacing="0"/>
              <w:rPr>
                <w:rFonts w:ascii="Times New Roman" w:hAnsi="Times New Roman"/>
                <w:sz w:val="28"/>
                <w:szCs w:val="28"/>
                <w:lang w:val="uk-UA"/>
              </w:rPr>
            </w:pPr>
            <w:r w:rsidRPr="00FC2B15">
              <w:rPr>
                <w:rFonts w:ascii="Times New Roman" w:hAnsi="Times New Roman"/>
                <w:sz w:val="28"/>
                <w:szCs w:val="28"/>
                <w:lang w:val="uk-UA"/>
              </w:rPr>
              <w:t xml:space="preserve">Сумарні витрати суб’єктів господарювання великого та </w:t>
            </w:r>
            <w:r w:rsidRPr="00FC2B15">
              <w:rPr>
                <w:rFonts w:ascii="Times New Roman" w:hAnsi="Times New Roman"/>
                <w:sz w:val="28"/>
                <w:szCs w:val="28"/>
                <w:lang w:val="uk-UA"/>
              </w:rPr>
              <w:lastRenderedPageBreak/>
              <w:t>середнього підприємництва, на виконання регулювання (вартість регулювання), гривень</w:t>
            </w:r>
          </w:p>
        </w:tc>
        <w:tc>
          <w:tcPr>
            <w:tcW w:w="1554" w:type="dxa"/>
          </w:tcPr>
          <w:p w:rsidR="00FC2B15" w:rsidRPr="00672055" w:rsidRDefault="00672055" w:rsidP="00672055">
            <w:pPr>
              <w:pStyle w:val="afa"/>
              <w:spacing w:before="0" w:beforeAutospacing="0" w:after="0" w:afterAutospacing="0"/>
              <w:jc w:val="center"/>
              <w:rPr>
                <w:rFonts w:ascii="Times New Roman" w:hAnsi="Times New Roman"/>
                <w:sz w:val="26"/>
                <w:szCs w:val="26"/>
                <w:lang w:val="uk-UA"/>
              </w:rPr>
            </w:pPr>
            <w:r w:rsidRPr="00672055">
              <w:rPr>
                <w:rFonts w:ascii="Times New Roman" w:hAnsi="Times New Roman"/>
                <w:sz w:val="26"/>
                <w:szCs w:val="26"/>
                <w:lang w:val="uk-UA"/>
              </w:rPr>
              <w:lastRenderedPageBreak/>
              <w:t>2 156 700</w:t>
            </w:r>
          </w:p>
        </w:tc>
        <w:tc>
          <w:tcPr>
            <w:tcW w:w="1556" w:type="dxa"/>
          </w:tcPr>
          <w:p w:rsidR="00FC2B15" w:rsidRPr="00672055" w:rsidRDefault="00672055" w:rsidP="00672055">
            <w:pPr>
              <w:pStyle w:val="afa"/>
              <w:spacing w:before="0" w:beforeAutospacing="0" w:after="0" w:afterAutospacing="0"/>
              <w:jc w:val="center"/>
              <w:rPr>
                <w:rFonts w:ascii="Times New Roman" w:hAnsi="Times New Roman"/>
                <w:sz w:val="26"/>
                <w:szCs w:val="26"/>
                <w:lang w:val="uk-UA"/>
              </w:rPr>
            </w:pPr>
            <w:r>
              <w:rPr>
                <w:rFonts w:ascii="Times New Roman" w:hAnsi="Times New Roman"/>
                <w:sz w:val="26"/>
                <w:szCs w:val="26"/>
                <w:lang w:val="uk-UA"/>
              </w:rPr>
              <w:t>10 783 500</w:t>
            </w:r>
          </w:p>
        </w:tc>
      </w:tr>
    </w:tbl>
    <w:p w:rsidR="00FC2B15" w:rsidRPr="00FC2B15" w:rsidRDefault="00FC2B15" w:rsidP="00FC2B15">
      <w:pPr>
        <w:pBdr>
          <w:top w:val="nil"/>
          <w:left w:val="nil"/>
          <w:bottom w:val="nil"/>
          <w:right w:val="nil"/>
          <w:between w:val="nil"/>
        </w:pBdr>
        <w:jc w:val="both"/>
        <w:rPr>
          <w:i/>
          <w:sz w:val="24"/>
          <w:szCs w:val="24"/>
        </w:rPr>
      </w:pPr>
      <w:r w:rsidRPr="007D3FE7">
        <w:rPr>
          <w:i/>
          <w:sz w:val="24"/>
          <w:szCs w:val="24"/>
        </w:rPr>
        <w:t xml:space="preserve">* </w:t>
      </w:r>
      <w:r w:rsidRPr="00FC2B15">
        <w:rPr>
          <w:i/>
          <w:sz w:val="24"/>
          <w:szCs w:val="24"/>
        </w:rPr>
        <w:t>Витрати суб’єктів господарювання пов’язані з підготовкою документів до перевірки, формування цих документів в паперовій формі за період, що перевіряється. Для формування документів до перевірки виникають додаткові витрати часу та коштів на доставку таких документів.</w:t>
      </w:r>
      <w:r w:rsidRPr="009D5600">
        <w:rPr>
          <w:i/>
          <w:sz w:val="24"/>
          <w:szCs w:val="24"/>
          <w:lang w:val="ru-RU"/>
        </w:rPr>
        <w:t xml:space="preserve"> </w:t>
      </w:r>
      <w:r w:rsidRPr="00FC2B15">
        <w:rPr>
          <w:i/>
          <w:sz w:val="24"/>
          <w:szCs w:val="24"/>
        </w:rPr>
        <w:t>Враховуючи, що формування документів в розрізі певних періодів, контрагентів, видів операцій, за необхідності створення паперових копій і те, що підготовка таких документів не потребує додатково їх формування, не вимагає часу для обрахунку суми податку, що підлягає сплаті в бюджет, а також  вибірковий та ризикорієнтований характер перевірки наявного обсягу докум</w:t>
      </w:r>
      <w:r>
        <w:rPr>
          <w:i/>
          <w:sz w:val="24"/>
          <w:szCs w:val="24"/>
        </w:rPr>
        <w:t>ентів суб’єктів господарювання</w:t>
      </w:r>
      <w:r w:rsidRPr="00FC2B15">
        <w:rPr>
          <w:i/>
          <w:sz w:val="24"/>
          <w:szCs w:val="24"/>
        </w:rPr>
        <w:t xml:space="preserve"> час на підготовку документів до перевірки на одного СГ – юридичної особи у середньому мож</w:t>
      </w:r>
      <w:r>
        <w:rPr>
          <w:i/>
          <w:sz w:val="24"/>
          <w:szCs w:val="24"/>
        </w:rPr>
        <w:t>е становити до 32,8 години/року</w:t>
      </w:r>
      <w:r w:rsidRPr="00FC2B15">
        <w:rPr>
          <w:i/>
          <w:sz w:val="24"/>
          <w:szCs w:val="24"/>
        </w:rPr>
        <w:t>.</w:t>
      </w:r>
    </w:p>
    <w:p w:rsidR="00FC2B15" w:rsidRPr="00FC2B15" w:rsidRDefault="00FC2B15" w:rsidP="00FC2B15">
      <w:pPr>
        <w:pBdr>
          <w:top w:val="nil"/>
          <w:left w:val="nil"/>
          <w:bottom w:val="nil"/>
          <w:right w:val="nil"/>
          <w:between w:val="nil"/>
        </w:pBdr>
        <w:jc w:val="both"/>
        <w:rPr>
          <w:i/>
          <w:sz w:val="24"/>
          <w:szCs w:val="24"/>
        </w:rPr>
      </w:pPr>
      <w:r w:rsidRPr="00FC2B15">
        <w:rPr>
          <w:i/>
          <w:sz w:val="24"/>
          <w:szCs w:val="24"/>
        </w:rPr>
        <w:t xml:space="preserve">При проведенні документальної перевірки кількість періодів, що охоплені перевіркою, становить зазвичай </w:t>
      </w:r>
      <w:r w:rsidRPr="009D5600">
        <w:rPr>
          <w:i/>
          <w:sz w:val="24"/>
          <w:szCs w:val="24"/>
          <w:lang w:val="ru-RU"/>
        </w:rPr>
        <w:t>3</w:t>
      </w:r>
      <w:r w:rsidRPr="00FC2B15">
        <w:rPr>
          <w:i/>
          <w:sz w:val="24"/>
          <w:szCs w:val="24"/>
        </w:rPr>
        <w:t xml:space="preserve"> місяці. </w:t>
      </w:r>
    </w:p>
    <w:p w:rsidR="00FC2B15" w:rsidRPr="00FC2B15" w:rsidRDefault="00FC2B15" w:rsidP="00FC2B15">
      <w:pPr>
        <w:pBdr>
          <w:top w:val="nil"/>
          <w:left w:val="nil"/>
          <w:bottom w:val="nil"/>
          <w:right w:val="nil"/>
          <w:between w:val="nil"/>
        </w:pBdr>
        <w:jc w:val="both"/>
        <w:rPr>
          <w:i/>
          <w:sz w:val="24"/>
          <w:szCs w:val="24"/>
        </w:rPr>
      </w:pPr>
      <w:r w:rsidRPr="00FC2B15">
        <w:rPr>
          <w:i/>
          <w:sz w:val="24"/>
          <w:szCs w:val="24"/>
        </w:rPr>
        <w:t xml:space="preserve">32,8 (години/року)/12 місяців року * 3 (місяці) =  8,2 години (або 1,025 робочого дня 8,2/8). </w:t>
      </w:r>
    </w:p>
    <w:p w:rsidR="00FC2B15" w:rsidRPr="00FC2B15" w:rsidRDefault="00FC2B15" w:rsidP="00FC2B15">
      <w:pPr>
        <w:pBdr>
          <w:top w:val="nil"/>
          <w:left w:val="nil"/>
          <w:bottom w:val="nil"/>
          <w:right w:val="nil"/>
          <w:between w:val="nil"/>
        </w:pBdr>
        <w:jc w:val="both"/>
        <w:rPr>
          <w:i/>
          <w:sz w:val="24"/>
          <w:szCs w:val="24"/>
        </w:rPr>
      </w:pPr>
      <w:r w:rsidRPr="00FC2B15">
        <w:rPr>
          <w:i/>
          <w:sz w:val="24"/>
          <w:szCs w:val="24"/>
        </w:rPr>
        <w:t xml:space="preserve">У вартісному еквіваленті з розрахунку мінімальної погодинної оплати праці – </w:t>
      </w:r>
      <w:r w:rsidRPr="009D5600">
        <w:rPr>
          <w:i/>
          <w:sz w:val="24"/>
          <w:szCs w:val="24"/>
          <w:lang w:val="ru-RU"/>
        </w:rPr>
        <w:t>40,46</w:t>
      </w:r>
      <w:r w:rsidRPr="00FC2B15">
        <w:rPr>
          <w:i/>
          <w:sz w:val="24"/>
          <w:szCs w:val="24"/>
        </w:rPr>
        <w:t xml:space="preserve"> грн/год. (відповідно до Закону України «Про Державний бюджет України на 202</w:t>
      </w:r>
      <w:r w:rsidRPr="009D5600">
        <w:rPr>
          <w:i/>
          <w:sz w:val="24"/>
          <w:szCs w:val="24"/>
          <w:lang w:val="ru-RU"/>
        </w:rPr>
        <w:t>3</w:t>
      </w:r>
      <w:r w:rsidRPr="00FC2B15">
        <w:rPr>
          <w:i/>
          <w:sz w:val="24"/>
          <w:szCs w:val="24"/>
        </w:rPr>
        <w:t xml:space="preserve"> рік») витрати становлять: </w:t>
      </w:r>
    </w:p>
    <w:p w:rsidR="00FC2B15" w:rsidRPr="00FC2B15" w:rsidRDefault="00FC2B15" w:rsidP="00FC2B15">
      <w:pPr>
        <w:pBdr>
          <w:top w:val="nil"/>
          <w:left w:val="nil"/>
          <w:bottom w:val="nil"/>
          <w:right w:val="nil"/>
          <w:between w:val="nil"/>
        </w:pBdr>
        <w:jc w:val="both"/>
        <w:rPr>
          <w:i/>
          <w:sz w:val="24"/>
          <w:szCs w:val="24"/>
        </w:rPr>
      </w:pPr>
      <w:r w:rsidRPr="00FC2B15">
        <w:rPr>
          <w:i/>
          <w:sz w:val="24"/>
          <w:szCs w:val="24"/>
        </w:rPr>
        <w:t xml:space="preserve">8,2 (години) * </w:t>
      </w:r>
      <w:r w:rsidRPr="009D5600">
        <w:rPr>
          <w:i/>
          <w:sz w:val="24"/>
          <w:szCs w:val="24"/>
          <w:lang w:val="ru-RU"/>
        </w:rPr>
        <w:t>40</w:t>
      </w:r>
      <w:r>
        <w:rPr>
          <w:i/>
          <w:sz w:val="24"/>
          <w:szCs w:val="24"/>
        </w:rPr>
        <w:t>,46</w:t>
      </w:r>
      <w:r w:rsidRPr="00FC2B15">
        <w:rPr>
          <w:i/>
          <w:sz w:val="24"/>
          <w:szCs w:val="24"/>
        </w:rPr>
        <w:t xml:space="preserve"> грн/год. = </w:t>
      </w:r>
      <w:r>
        <w:rPr>
          <w:i/>
          <w:sz w:val="24"/>
          <w:szCs w:val="24"/>
        </w:rPr>
        <w:t>331,8</w:t>
      </w:r>
      <w:r w:rsidRPr="00FC2B15">
        <w:rPr>
          <w:i/>
          <w:sz w:val="24"/>
          <w:szCs w:val="24"/>
        </w:rPr>
        <w:t xml:space="preserve"> грн (на одного СГ);</w:t>
      </w:r>
    </w:p>
    <w:p w:rsidR="00FC2B15" w:rsidRPr="00FC2B15" w:rsidRDefault="00FC2B15" w:rsidP="00FC2B15">
      <w:pPr>
        <w:pBdr>
          <w:top w:val="nil"/>
          <w:left w:val="nil"/>
          <w:bottom w:val="nil"/>
          <w:right w:val="nil"/>
          <w:between w:val="nil"/>
        </w:pBdr>
        <w:jc w:val="both"/>
        <w:rPr>
          <w:i/>
          <w:sz w:val="24"/>
          <w:szCs w:val="24"/>
        </w:rPr>
      </w:pPr>
      <w:r>
        <w:rPr>
          <w:i/>
          <w:sz w:val="24"/>
          <w:szCs w:val="24"/>
        </w:rPr>
        <w:t>331,8</w:t>
      </w:r>
      <w:r w:rsidRPr="00FC2B15">
        <w:rPr>
          <w:i/>
          <w:sz w:val="24"/>
          <w:szCs w:val="24"/>
        </w:rPr>
        <w:t xml:space="preserve"> * </w:t>
      </w:r>
      <w:r>
        <w:rPr>
          <w:i/>
          <w:sz w:val="24"/>
          <w:szCs w:val="24"/>
        </w:rPr>
        <w:t>6500</w:t>
      </w:r>
      <w:r w:rsidRPr="00FC2B15">
        <w:rPr>
          <w:i/>
          <w:sz w:val="24"/>
          <w:szCs w:val="24"/>
        </w:rPr>
        <w:t xml:space="preserve"> загальна к-сть СГ = </w:t>
      </w:r>
      <w:r w:rsidR="00672055">
        <w:rPr>
          <w:i/>
          <w:sz w:val="24"/>
          <w:szCs w:val="24"/>
        </w:rPr>
        <w:t>2 156 700</w:t>
      </w:r>
      <w:r w:rsidRPr="00FC2B15">
        <w:rPr>
          <w:i/>
          <w:sz w:val="24"/>
          <w:szCs w:val="24"/>
        </w:rPr>
        <w:t xml:space="preserve"> грн (на всіх СГ).</w:t>
      </w:r>
    </w:p>
    <w:p w:rsidR="00B9026E" w:rsidRPr="00FC2B15" w:rsidRDefault="00B9026E" w:rsidP="00672055">
      <w:pPr>
        <w:pBdr>
          <w:top w:val="nil"/>
          <w:left w:val="nil"/>
          <w:bottom w:val="nil"/>
          <w:right w:val="nil"/>
          <w:between w:val="nil"/>
        </w:pBdr>
        <w:jc w:val="both"/>
        <w:rPr>
          <w:sz w:val="28"/>
          <w:szCs w:val="28"/>
        </w:rPr>
      </w:pPr>
    </w:p>
    <w:p w:rsidR="007D47E1" w:rsidRPr="00332B1B" w:rsidRDefault="007D47E1" w:rsidP="007D47E1">
      <w:pPr>
        <w:widowControl w:val="0"/>
        <w:spacing w:after="120"/>
        <w:ind w:firstLine="459"/>
        <w:jc w:val="center"/>
        <w:rPr>
          <w:sz w:val="28"/>
          <w:szCs w:val="28"/>
        </w:rPr>
      </w:pPr>
      <w:r w:rsidRPr="00332B1B">
        <w:rPr>
          <w:b/>
          <w:sz w:val="28"/>
          <w:szCs w:val="28"/>
        </w:rPr>
        <w:t>Проведення оцінки впливу кількісних витрат на сферу інтересів суб’єктів господарювання, які виникатимуть унаслідок дії регуляторного акта</w:t>
      </w:r>
    </w:p>
    <w:p w:rsidR="007D47E1" w:rsidRPr="00332B1B" w:rsidRDefault="007D47E1" w:rsidP="007D47E1">
      <w:pPr>
        <w:pBdr>
          <w:top w:val="nil"/>
          <w:left w:val="nil"/>
          <w:bottom w:val="nil"/>
          <w:right w:val="nil"/>
          <w:between w:val="nil"/>
        </w:pBdr>
        <w:ind w:firstLine="567"/>
        <w:jc w:val="both"/>
        <w:rPr>
          <w:sz w:val="28"/>
          <w:szCs w:val="28"/>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4"/>
        <w:gridCol w:w="6237"/>
      </w:tblGrid>
      <w:tr w:rsidR="007D47E1" w:rsidRPr="00332B1B" w:rsidTr="00296A22">
        <w:tc>
          <w:tcPr>
            <w:tcW w:w="1665" w:type="pct"/>
            <w:shd w:val="clear" w:color="auto" w:fill="FFFFFF"/>
            <w:tcMar>
              <w:left w:w="57" w:type="dxa"/>
              <w:right w:w="57" w:type="dxa"/>
            </w:tcMar>
            <w:hideMark/>
          </w:tcPr>
          <w:p w:rsidR="007D47E1" w:rsidRPr="00332B1B" w:rsidRDefault="007D47E1" w:rsidP="00296A22">
            <w:pPr>
              <w:spacing w:before="150" w:after="150"/>
              <w:jc w:val="center"/>
              <w:rPr>
                <w:sz w:val="28"/>
                <w:szCs w:val="28"/>
                <w:lang w:eastAsia="ru-RU"/>
              </w:rPr>
            </w:pPr>
            <w:r w:rsidRPr="00332B1B">
              <w:rPr>
                <w:sz w:val="28"/>
                <w:szCs w:val="28"/>
                <w:lang w:eastAsia="ru-RU"/>
              </w:rPr>
              <w:t>Сумарні витрати за альтернативами (грн)</w:t>
            </w:r>
          </w:p>
        </w:tc>
        <w:tc>
          <w:tcPr>
            <w:tcW w:w="3335" w:type="pct"/>
            <w:shd w:val="clear" w:color="auto" w:fill="FFFFFF"/>
            <w:tcMar>
              <w:left w:w="57" w:type="dxa"/>
              <w:right w:w="57" w:type="dxa"/>
            </w:tcMar>
            <w:hideMark/>
          </w:tcPr>
          <w:p w:rsidR="007D47E1" w:rsidRPr="00332B1B" w:rsidRDefault="007D47E1" w:rsidP="00296A22">
            <w:pPr>
              <w:spacing w:before="150" w:after="150"/>
              <w:jc w:val="center"/>
              <w:rPr>
                <w:sz w:val="28"/>
                <w:szCs w:val="28"/>
                <w:lang w:eastAsia="ru-RU"/>
              </w:rPr>
            </w:pPr>
            <w:r w:rsidRPr="00332B1B">
              <w:rPr>
                <w:sz w:val="28"/>
                <w:szCs w:val="28"/>
                <w:lang w:eastAsia="ru-RU"/>
              </w:rPr>
              <w:t>Сума витрат, гривень</w:t>
            </w:r>
          </w:p>
        </w:tc>
      </w:tr>
      <w:tr w:rsidR="007D47E1" w:rsidRPr="00332B1B" w:rsidTr="00296A22">
        <w:tc>
          <w:tcPr>
            <w:tcW w:w="1665" w:type="pct"/>
            <w:shd w:val="clear" w:color="auto" w:fill="FFFFFF"/>
            <w:tcMar>
              <w:left w:w="57" w:type="dxa"/>
              <w:right w:w="57" w:type="dxa"/>
            </w:tcMar>
          </w:tcPr>
          <w:p w:rsidR="007D47E1" w:rsidRPr="00332B1B" w:rsidRDefault="007D47E1" w:rsidP="00296A22">
            <w:pPr>
              <w:spacing w:before="150" w:after="150"/>
              <w:rPr>
                <w:sz w:val="28"/>
                <w:szCs w:val="28"/>
                <w:lang w:eastAsia="ru-RU"/>
              </w:rPr>
            </w:pPr>
            <w:r w:rsidRPr="00332B1B">
              <w:rPr>
                <w:sz w:val="28"/>
                <w:szCs w:val="28"/>
                <w:lang w:eastAsia="ru-RU"/>
              </w:rPr>
              <w:t>Альтернатива 1</w:t>
            </w:r>
          </w:p>
        </w:tc>
        <w:tc>
          <w:tcPr>
            <w:tcW w:w="3335" w:type="pct"/>
            <w:shd w:val="clear" w:color="auto" w:fill="FFFFFF"/>
            <w:tcMar>
              <w:left w:w="57" w:type="dxa"/>
              <w:right w:w="57" w:type="dxa"/>
            </w:tcMar>
          </w:tcPr>
          <w:p w:rsidR="007D47E1" w:rsidRPr="00332B1B" w:rsidRDefault="007D47E1" w:rsidP="00296A22">
            <w:pPr>
              <w:spacing w:before="150" w:after="150"/>
              <w:jc w:val="center"/>
              <w:rPr>
                <w:sz w:val="28"/>
                <w:szCs w:val="28"/>
                <w:lang w:eastAsia="ru-RU"/>
              </w:rPr>
            </w:pPr>
            <w:r w:rsidRPr="00332B1B">
              <w:rPr>
                <w:sz w:val="28"/>
                <w:szCs w:val="28"/>
                <w:lang w:eastAsia="ru-RU"/>
              </w:rPr>
              <w:t>0</w:t>
            </w:r>
          </w:p>
        </w:tc>
      </w:tr>
      <w:tr w:rsidR="007D47E1" w:rsidRPr="00332B1B" w:rsidTr="00BA416A">
        <w:trPr>
          <w:trHeight w:val="971"/>
        </w:trPr>
        <w:tc>
          <w:tcPr>
            <w:tcW w:w="1665" w:type="pct"/>
            <w:shd w:val="clear" w:color="auto" w:fill="FFFFFF"/>
            <w:tcMar>
              <w:left w:w="57" w:type="dxa"/>
              <w:right w:w="57" w:type="dxa"/>
            </w:tcMar>
          </w:tcPr>
          <w:p w:rsidR="007D47E1" w:rsidRPr="00332B1B" w:rsidRDefault="007D47E1" w:rsidP="00296A22">
            <w:pPr>
              <w:spacing w:before="150" w:after="150"/>
              <w:rPr>
                <w:sz w:val="28"/>
                <w:szCs w:val="28"/>
                <w:lang w:eastAsia="ru-RU"/>
              </w:rPr>
            </w:pPr>
            <w:r w:rsidRPr="00332B1B">
              <w:rPr>
                <w:sz w:val="28"/>
                <w:szCs w:val="28"/>
                <w:lang w:eastAsia="ru-RU"/>
              </w:rPr>
              <w:t>Альтернатива 2</w:t>
            </w:r>
          </w:p>
        </w:tc>
        <w:tc>
          <w:tcPr>
            <w:tcW w:w="3335" w:type="pct"/>
            <w:shd w:val="clear" w:color="auto" w:fill="FFFFFF"/>
            <w:tcMar>
              <w:left w:w="57" w:type="dxa"/>
              <w:right w:w="57" w:type="dxa"/>
            </w:tcMar>
          </w:tcPr>
          <w:p w:rsidR="007D47E1" w:rsidRPr="00BA416A" w:rsidRDefault="00672055" w:rsidP="00672055">
            <w:pPr>
              <w:ind w:right="125"/>
              <w:jc w:val="center"/>
              <w:rPr>
                <w:color w:val="FF0000"/>
                <w:sz w:val="28"/>
                <w:szCs w:val="28"/>
                <w:lang w:eastAsia="ru-RU"/>
              </w:rPr>
            </w:pPr>
            <w:r w:rsidRPr="00672055">
              <w:rPr>
                <w:sz w:val="26"/>
                <w:szCs w:val="26"/>
              </w:rPr>
              <w:t>2 156</w:t>
            </w:r>
            <w:r>
              <w:rPr>
                <w:sz w:val="26"/>
                <w:szCs w:val="26"/>
              </w:rPr>
              <w:t> </w:t>
            </w:r>
            <w:r w:rsidRPr="00672055">
              <w:rPr>
                <w:sz w:val="26"/>
                <w:szCs w:val="26"/>
              </w:rPr>
              <w:t>700</w:t>
            </w:r>
            <w:r>
              <w:rPr>
                <w:sz w:val="26"/>
                <w:szCs w:val="26"/>
              </w:rPr>
              <w:t>*</w:t>
            </w:r>
          </w:p>
        </w:tc>
      </w:tr>
    </w:tbl>
    <w:p w:rsidR="00672055" w:rsidRPr="00672055" w:rsidRDefault="00672055" w:rsidP="00672055">
      <w:pPr>
        <w:pBdr>
          <w:top w:val="nil"/>
          <w:left w:val="nil"/>
          <w:bottom w:val="nil"/>
          <w:right w:val="nil"/>
          <w:between w:val="nil"/>
        </w:pBdr>
        <w:jc w:val="both"/>
        <w:rPr>
          <w:i/>
          <w:sz w:val="24"/>
          <w:szCs w:val="24"/>
        </w:rPr>
      </w:pPr>
      <w:r>
        <w:rPr>
          <w:i/>
          <w:sz w:val="24"/>
          <w:szCs w:val="24"/>
        </w:rPr>
        <w:t>*</w:t>
      </w:r>
      <w:r w:rsidRPr="00FC2B15">
        <w:rPr>
          <w:i/>
          <w:sz w:val="24"/>
          <w:szCs w:val="24"/>
        </w:rPr>
        <w:t xml:space="preserve">Загальний розрахунок </w:t>
      </w:r>
      <w:r w:rsidRPr="00672055">
        <w:rPr>
          <w:i/>
          <w:sz w:val="24"/>
          <w:szCs w:val="24"/>
        </w:rPr>
        <w:t>витрат здійснюється по 6</w:t>
      </w:r>
      <w:r>
        <w:rPr>
          <w:i/>
          <w:sz w:val="24"/>
          <w:szCs w:val="24"/>
        </w:rPr>
        <w:t xml:space="preserve"> </w:t>
      </w:r>
      <w:r w:rsidRPr="00672055">
        <w:rPr>
          <w:i/>
          <w:sz w:val="24"/>
          <w:szCs w:val="24"/>
        </w:rPr>
        <w:t>500 СГ – юридичних особах, що повинні бути перевірені, у зв’язку з наявністю ризиків несплати податків.</w:t>
      </w:r>
    </w:p>
    <w:p w:rsidR="007D47E1" w:rsidRDefault="007D47E1" w:rsidP="00BA416A">
      <w:pPr>
        <w:pBdr>
          <w:top w:val="nil"/>
          <w:left w:val="nil"/>
          <w:bottom w:val="nil"/>
          <w:right w:val="nil"/>
          <w:between w:val="nil"/>
        </w:pBdr>
        <w:ind w:firstLine="567"/>
        <w:jc w:val="both"/>
        <w:rPr>
          <w:sz w:val="28"/>
          <w:szCs w:val="28"/>
        </w:rPr>
      </w:pPr>
    </w:p>
    <w:p w:rsidR="00907DCD" w:rsidRPr="00332B1B" w:rsidRDefault="00907DCD" w:rsidP="00907DCD">
      <w:pPr>
        <w:ind w:firstLine="567"/>
        <w:jc w:val="both"/>
        <w:rPr>
          <w:b/>
          <w:i/>
          <w:sz w:val="28"/>
          <w:szCs w:val="28"/>
        </w:rPr>
      </w:pPr>
      <w:r w:rsidRPr="00332B1B">
        <w:rPr>
          <w:b/>
          <w:i/>
          <w:sz w:val="28"/>
          <w:szCs w:val="28"/>
        </w:rPr>
        <w:t>В частині відновлення застосування штрафних санкцій за порушення порядку використання РРО</w:t>
      </w:r>
      <w:r w:rsidR="00BA416A">
        <w:rPr>
          <w:b/>
          <w:i/>
          <w:sz w:val="28"/>
          <w:szCs w:val="28"/>
        </w:rPr>
        <w:t>/ПРРО</w:t>
      </w:r>
    </w:p>
    <w:p w:rsidR="00907DCD" w:rsidRPr="00332B1B" w:rsidRDefault="00907DCD" w:rsidP="00907DCD">
      <w:pPr>
        <w:ind w:firstLine="567"/>
        <w:jc w:val="both"/>
        <w:rPr>
          <w:b/>
          <w:i/>
          <w:sz w:val="28"/>
          <w:szCs w:val="28"/>
        </w:rPr>
      </w:pPr>
    </w:p>
    <w:p w:rsidR="00907DCD" w:rsidRPr="00332B1B" w:rsidRDefault="00907DCD" w:rsidP="00907DCD">
      <w:pPr>
        <w:widowControl w:val="0"/>
        <w:spacing w:after="120"/>
        <w:ind w:firstLine="567"/>
        <w:jc w:val="both"/>
        <w:rPr>
          <w:sz w:val="28"/>
          <w:szCs w:val="28"/>
        </w:rPr>
      </w:pPr>
      <w:r w:rsidRPr="00332B1B">
        <w:rPr>
          <w:sz w:val="28"/>
          <w:szCs w:val="28"/>
        </w:rPr>
        <w:t>Інформація про кількість суб’єктів господарювання, якими зареєстровано РРО, ПРРО та книги обліку розрахункових операцій</w:t>
      </w:r>
    </w:p>
    <w:tbl>
      <w:tblPr>
        <w:tblW w:w="96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94"/>
        <w:gridCol w:w="1293"/>
        <w:gridCol w:w="1259"/>
        <w:gridCol w:w="1136"/>
        <w:gridCol w:w="1234"/>
        <w:gridCol w:w="1294"/>
      </w:tblGrid>
      <w:tr w:rsidR="00907DCD" w:rsidRPr="00332B1B" w:rsidTr="00296A22">
        <w:tc>
          <w:tcPr>
            <w:tcW w:w="3394"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Показник</w:t>
            </w:r>
          </w:p>
        </w:tc>
        <w:tc>
          <w:tcPr>
            <w:tcW w:w="1293"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Великі</w:t>
            </w:r>
          </w:p>
        </w:tc>
        <w:tc>
          <w:tcPr>
            <w:tcW w:w="1259"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Середні</w:t>
            </w:r>
          </w:p>
        </w:tc>
        <w:tc>
          <w:tcPr>
            <w:tcW w:w="1136"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Малі</w:t>
            </w:r>
          </w:p>
        </w:tc>
        <w:tc>
          <w:tcPr>
            <w:tcW w:w="1234"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Мікро</w:t>
            </w:r>
          </w:p>
        </w:tc>
        <w:tc>
          <w:tcPr>
            <w:tcW w:w="1294"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Разом</w:t>
            </w:r>
          </w:p>
        </w:tc>
      </w:tr>
      <w:tr w:rsidR="00907DCD" w:rsidRPr="00332B1B" w:rsidTr="00296A22">
        <w:tc>
          <w:tcPr>
            <w:tcW w:w="3394"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 xml:space="preserve">Кількість суб’єктів господарювання, що </w:t>
            </w:r>
            <w:r w:rsidRPr="00332B1B">
              <w:rPr>
                <w:sz w:val="28"/>
                <w:szCs w:val="28"/>
              </w:rPr>
              <w:lastRenderedPageBreak/>
              <w:t>підпадають під дію регулювання, одиниць*</w:t>
            </w:r>
          </w:p>
        </w:tc>
        <w:tc>
          <w:tcPr>
            <w:tcW w:w="1293" w:type="dxa"/>
            <w:vAlign w:val="center"/>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lastRenderedPageBreak/>
              <w:t>277</w:t>
            </w:r>
          </w:p>
        </w:tc>
        <w:tc>
          <w:tcPr>
            <w:tcW w:w="1259" w:type="dxa"/>
            <w:vAlign w:val="center"/>
          </w:tcPr>
          <w:p w:rsidR="00907DCD" w:rsidRPr="00332B1B" w:rsidRDefault="00907DCD" w:rsidP="00296A22">
            <w:pPr>
              <w:widowControl w:val="0"/>
              <w:jc w:val="both"/>
              <w:rPr>
                <w:sz w:val="28"/>
                <w:szCs w:val="28"/>
              </w:rPr>
            </w:pPr>
            <w:r w:rsidRPr="00332B1B">
              <w:rPr>
                <w:sz w:val="28"/>
                <w:szCs w:val="28"/>
              </w:rPr>
              <w:t>24</w:t>
            </w:r>
            <w:r w:rsidR="00BA416A">
              <w:rPr>
                <w:sz w:val="28"/>
                <w:szCs w:val="28"/>
              </w:rPr>
              <w:t xml:space="preserve"> </w:t>
            </w:r>
            <w:r w:rsidRPr="00332B1B">
              <w:rPr>
                <w:sz w:val="28"/>
                <w:szCs w:val="28"/>
              </w:rPr>
              <w:t>719</w:t>
            </w:r>
          </w:p>
        </w:tc>
        <w:tc>
          <w:tcPr>
            <w:tcW w:w="1136" w:type="dxa"/>
            <w:vAlign w:val="center"/>
          </w:tcPr>
          <w:p w:rsidR="00907DCD" w:rsidRPr="00332B1B" w:rsidRDefault="00907DCD" w:rsidP="00296A22">
            <w:pPr>
              <w:widowControl w:val="0"/>
              <w:jc w:val="both"/>
              <w:rPr>
                <w:sz w:val="28"/>
                <w:szCs w:val="28"/>
              </w:rPr>
            </w:pPr>
            <w:r w:rsidRPr="00332B1B">
              <w:rPr>
                <w:sz w:val="28"/>
                <w:szCs w:val="28"/>
              </w:rPr>
              <w:t>513</w:t>
            </w:r>
          </w:p>
        </w:tc>
        <w:tc>
          <w:tcPr>
            <w:tcW w:w="1234" w:type="dxa"/>
            <w:vAlign w:val="center"/>
          </w:tcPr>
          <w:p w:rsidR="00907DCD" w:rsidRPr="00332B1B" w:rsidRDefault="00907DCD" w:rsidP="00296A22">
            <w:pPr>
              <w:widowControl w:val="0"/>
              <w:jc w:val="both"/>
              <w:rPr>
                <w:sz w:val="28"/>
                <w:szCs w:val="28"/>
              </w:rPr>
            </w:pPr>
            <w:r w:rsidRPr="00332B1B">
              <w:rPr>
                <w:sz w:val="28"/>
                <w:szCs w:val="28"/>
              </w:rPr>
              <w:t>248 007</w:t>
            </w:r>
          </w:p>
        </w:tc>
        <w:tc>
          <w:tcPr>
            <w:tcW w:w="1294" w:type="dxa"/>
            <w:vAlign w:val="center"/>
          </w:tcPr>
          <w:p w:rsidR="00907DCD" w:rsidRPr="00332B1B" w:rsidRDefault="00907DCD" w:rsidP="00296A22">
            <w:pPr>
              <w:widowControl w:val="0"/>
              <w:jc w:val="both"/>
              <w:rPr>
                <w:sz w:val="28"/>
                <w:szCs w:val="28"/>
              </w:rPr>
            </w:pPr>
            <w:r w:rsidRPr="00332B1B">
              <w:rPr>
                <w:sz w:val="28"/>
                <w:szCs w:val="28"/>
              </w:rPr>
              <w:t>273 516</w:t>
            </w:r>
          </w:p>
        </w:tc>
      </w:tr>
      <w:tr w:rsidR="00907DCD" w:rsidRPr="00332B1B" w:rsidTr="00296A22">
        <w:tc>
          <w:tcPr>
            <w:tcW w:w="3394" w:type="dxa"/>
          </w:tcPr>
          <w:p w:rsidR="00907DCD" w:rsidRPr="00332B1B" w:rsidRDefault="00907DCD" w:rsidP="00296A22">
            <w:pPr>
              <w:widowControl w:val="0"/>
              <w:pBdr>
                <w:top w:val="nil"/>
                <w:left w:val="nil"/>
                <w:bottom w:val="nil"/>
                <w:right w:val="nil"/>
                <w:between w:val="nil"/>
              </w:pBdr>
              <w:jc w:val="both"/>
              <w:rPr>
                <w:sz w:val="28"/>
                <w:szCs w:val="28"/>
              </w:rPr>
            </w:pPr>
            <w:r w:rsidRPr="00332B1B">
              <w:rPr>
                <w:sz w:val="28"/>
                <w:szCs w:val="28"/>
              </w:rPr>
              <w:t>Питома вага групи у загальній кількості, відсотків</w:t>
            </w:r>
          </w:p>
        </w:tc>
        <w:tc>
          <w:tcPr>
            <w:tcW w:w="1293" w:type="dxa"/>
            <w:vAlign w:val="center"/>
          </w:tcPr>
          <w:p w:rsidR="00907DCD" w:rsidRPr="00332B1B" w:rsidRDefault="00907DCD" w:rsidP="00296A22">
            <w:pPr>
              <w:widowControl w:val="0"/>
              <w:jc w:val="both"/>
              <w:rPr>
                <w:sz w:val="28"/>
                <w:szCs w:val="28"/>
              </w:rPr>
            </w:pPr>
            <w:r w:rsidRPr="00332B1B">
              <w:rPr>
                <w:sz w:val="28"/>
                <w:szCs w:val="28"/>
              </w:rPr>
              <w:t>0,1</w:t>
            </w:r>
          </w:p>
        </w:tc>
        <w:tc>
          <w:tcPr>
            <w:tcW w:w="1259" w:type="dxa"/>
            <w:vAlign w:val="center"/>
          </w:tcPr>
          <w:p w:rsidR="00907DCD" w:rsidRPr="00332B1B" w:rsidRDefault="00907DCD" w:rsidP="00296A22">
            <w:pPr>
              <w:widowControl w:val="0"/>
              <w:jc w:val="both"/>
              <w:rPr>
                <w:sz w:val="28"/>
                <w:szCs w:val="28"/>
              </w:rPr>
            </w:pPr>
            <w:r w:rsidRPr="00332B1B">
              <w:rPr>
                <w:sz w:val="28"/>
                <w:szCs w:val="28"/>
              </w:rPr>
              <w:t>9,04</w:t>
            </w:r>
          </w:p>
        </w:tc>
        <w:tc>
          <w:tcPr>
            <w:tcW w:w="1136" w:type="dxa"/>
            <w:vAlign w:val="center"/>
          </w:tcPr>
          <w:p w:rsidR="00907DCD" w:rsidRPr="00332B1B" w:rsidRDefault="00907DCD" w:rsidP="00296A22">
            <w:pPr>
              <w:widowControl w:val="0"/>
              <w:jc w:val="both"/>
              <w:rPr>
                <w:sz w:val="28"/>
                <w:szCs w:val="28"/>
              </w:rPr>
            </w:pPr>
            <w:r w:rsidRPr="00332B1B">
              <w:rPr>
                <w:sz w:val="28"/>
                <w:szCs w:val="28"/>
              </w:rPr>
              <w:t>0,19</w:t>
            </w:r>
          </w:p>
        </w:tc>
        <w:tc>
          <w:tcPr>
            <w:tcW w:w="1234" w:type="dxa"/>
            <w:vAlign w:val="center"/>
          </w:tcPr>
          <w:p w:rsidR="00907DCD" w:rsidRPr="00332B1B" w:rsidRDefault="00907DCD" w:rsidP="00296A22">
            <w:pPr>
              <w:widowControl w:val="0"/>
              <w:jc w:val="both"/>
              <w:rPr>
                <w:sz w:val="28"/>
                <w:szCs w:val="28"/>
              </w:rPr>
            </w:pPr>
            <w:r w:rsidRPr="00332B1B">
              <w:rPr>
                <w:sz w:val="28"/>
                <w:szCs w:val="28"/>
              </w:rPr>
              <w:t>90,67</w:t>
            </w:r>
          </w:p>
        </w:tc>
        <w:tc>
          <w:tcPr>
            <w:tcW w:w="1294" w:type="dxa"/>
            <w:vAlign w:val="center"/>
          </w:tcPr>
          <w:p w:rsidR="00907DCD" w:rsidRPr="00332B1B" w:rsidRDefault="00907DCD" w:rsidP="00296A22">
            <w:pPr>
              <w:widowControl w:val="0"/>
              <w:jc w:val="both"/>
              <w:rPr>
                <w:sz w:val="28"/>
                <w:szCs w:val="28"/>
              </w:rPr>
            </w:pPr>
            <w:r w:rsidRPr="00332B1B">
              <w:rPr>
                <w:sz w:val="28"/>
                <w:szCs w:val="28"/>
              </w:rPr>
              <w:t>100</w:t>
            </w:r>
          </w:p>
        </w:tc>
      </w:tr>
    </w:tbl>
    <w:p w:rsidR="00907DCD" w:rsidRPr="007D3FE7" w:rsidRDefault="00907DCD" w:rsidP="007D3FE7">
      <w:pPr>
        <w:pBdr>
          <w:top w:val="nil"/>
          <w:left w:val="nil"/>
          <w:bottom w:val="nil"/>
          <w:right w:val="nil"/>
          <w:between w:val="nil"/>
        </w:pBdr>
        <w:spacing w:before="120"/>
        <w:jc w:val="both"/>
        <w:rPr>
          <w:i/>
          <w:sz w:val="24"/>
          <w:szCs w:val="24"/>
        </w:rPr>
      </w:pPr>
      <w:r w:rsidRPr="007D3FE7">
        <w:rPr>
          <w:i/>
          <w:sz w:val="24"/>
          <w:szCs w:val="24"/>
        </w:rPr>
        <w:t>* розрахунковий розподіл кількості суб’єктів господарювання на велике, середнє, мале та мікропідприємництво здійснено:</w:t>
      </w:r>
    </w:p>
    <w:p w:rsidR="00907DCD" w:rsidRPr="007D3FE7" w:rsidRDefault="007D3FE7" w:rsidP="007D3FE7">
      <w:pPr>
        <w:pBdr>
          <w:top w:val="nil"/>
          <w:left w:val="nil"/>
          <w:bottom w:val="nil"/>
          <w:right w:val="nil"/>
          <w:between w:val="nil"/>
        </w:pBdr>
        <w:ind w:left="284"/>
        <w:jc w:val="both"/>
        <w:rPr>
          <w:i/>
          <w:sz w:val="24"/>
          <w:szCs w:val="24"/>
        </w:rPr>
      </w:pPr>
      <w:r>
        <w:rPr>
          <w:i/>
          <w:sz w:val="24"/>
          <w:szCs w:val="24"/>
        </w:rPr>
        <w:t xml:space="preserve">- </w:t>
      </w:r>
      <w:r w:rsidR="00907DCD" w:rsidRPr="007D3FE7">
        <w:rPr>
          <w:i/>
          <w:sz w:val="24"/>
          <w:szCs w:val="24"/>
        </w:rPr>
        <w:t>на базі поданої фізичними особами-підприємцями та юридичними особами звітності за результатами діяльності 2021 року (з урахуванням норм чинного законодавства в умовах воєнного стану);</w:t>
      </w:r>
    </w:p>
    <w:p w:rsidR="00907DCD" w:rsidRPr="007D3FE7" w:rsidRDefault="007D3FE7" w:rsidP="007D3FE7">
      <w:pPr>
        <w:pBdr>
          <w:top w:val="nil"/>
          <w:left w:val="nil"/>
          <w:bottom w:val="nil"/>
          <w:right w:val="nil"/>
          <w:between w:val="nil"/>
        </w:pBdr>
        <w:ind w:left="284"/>
        <w:jc w:val="both"/>
        <w:rPr>
          <w:i/>
          <w:sz w:val="24"/>
          <w:szCs w:val="24"/>
        </w:rPr>
      </w:pPr>
      <w:r>
        <w:rPr>
          <w:i/>
          <w:sz w:val="24"/>
          <w:szCs w:val="24"/>
        </w:rPr>
        <w:t xml:space="preserve">- </w:t>
      </w:r>
      <w:r w:rsidR="00907DCD" w:rsidRPr="007D3FE7">
        <w:rPr>
          <w:i/>
          <w:sz w:val="24"/>
          <w:szCs w:val="24"/>
        </w:rPr>
        <w:t>з урахуванням критеріїв розподілу відповідно до пункту 3 статті 55 Господарського кодексу України.</w:t>
      </w:r>
    </w:p>
    <w:p w:rsidR="00907DCD" w:rsidRPr="00332B1B" w:rsidRDefault="00907DCD" w:rsidP="007D3FE7">
      <w:pPr>
        <w:pBdr>
          <w:top w:val="nil"/>
          <w:left w:val="nil"/>
          <w:bottom w:val="nil"/>
          <w:right w:val="nil"/>
          <w:between w:val="nil"/>
        </w:pBdr>
        <w:spacing w:before="240"/>
        <w:ind w:firstLine="567"/>
        <w:jc w:val="both"/>
        <w:rPr>
          <w:sz w:val="28"/>
          <w:szCs w:val="28"/>
        </w:rPr>
      </w:pPr>
      <w:r w:rsidRPr="00332B1B">
        <w:rPr>
          <w:spacing w:val="1"/>
          <w:sz w:val="28"/>
          <w:szCs w:val="28"/>
          <w:lang w:eastAsia="ru-RU"/>
        </w:rPr>
        <w:t xml:space="preserve">Суб’єкти не матимуть витрат (не нараховуватимуться штрафні санкції) у разі дотримання ними вимог </w:t>
      </w:r>
      <w:r w:rsidRPr="00332B1B">
        <w:rPr>
          <w:sz w:val="28"/>
          <w:szCs w:val="28"/>
        </w:rPr>
        <w:t>порядку використання РРО/ПРРО та книг обліку розрахункових операцій.</w:t>
      </w:r>
    </w:p>
    <w:p w:rsidR="007D47E1" w:rsidRDefault="007D47E1" w:rsidP="003F4E57">
      <w:pPr>
        <w:ind w:firstLine="567"/>
        <w:jc w:val="both"/>
        <w:rPr>
          <w:b/>
          <w:i/>
          <w:sz w:val="28"/>
          <w:szCs w:val="28"/>
        </w:rPr>
      </w:pPr>
    </w:p>
    <w:p w:rsidR="003F4E57" w:rsidRPr="00860CF0" w:rsidRDefault="003F4E57" w:rsidP="003F4E57">
      <w:pPr>
        <w:ind w:firstLine="567"/>
        <w:jc w:val="both"/>
        <w:rPr>
          <w:b/>
          <w:i/>
          <w:sz w:val="28"/>
          <w:szCs w:val="28"/>
        </w:rPr>
      </w:pPr>
      <w:r w:rsidRPr="00860CF0">
        <w:rPr>
          <w:b/>
          <w:i/>
          <w:sz w:val="28"/>
          <w:szCs w:val="28"/>
        </w:rPr>
        <w:t xml:space="preserve">В частині </w:t>
      </w:r>
      <w:r>
        <w:rPr>
          <w:b/>
          <w:i/>
          <w:sz w:val="28"/>
          <w:szCs w:val="28"/>
        </w:rPr>
        <w:t xml:space="preserve">скасування з </w:t>
      </w:r>
      <w:r w:rsidRPr="00860CF0">
        <w:rPr>
          <w:b/>
          <w:i/>
          <w:sz w:val="28"/>
          <w:szCs w:val="28"/>
        </w:rPr>
        <w:t xml:space="preserve">01 липня 2023 року дії норм </w:t>
      </w:r>
      <w:r>
        <w:rPr>
          <w:b/>
          <w:i/>
          <w:sz w:val="28"/>
          <w:szCs w:val="28"/>
        </w:rPr>
        <w:t>щодо</w:t>
      </w:r>
      <w:r w:rsidRPr="00860CF0">
        <w:rPr>
          <w:b/>
          <w:i/>
          <w:sz w:val="28"/>
          <w:szCs w:val="28"/>
        </w:rPr>
        <w:t>:</w:t>
      </w:r>
    </w:p>
    <w:p w:rsidR="003F4E57" w:rsidRPr="00860CF0" w:rsidRDefault="003F4E57" w:rsidP="003F4E57">
      <w:pPr>
        <w:ind w:firstLine="567"/>
        <w:jc w:val="both"/>
        <w:rPr>
          <w:b/>
          <w:i/>
          <w:sz w:val="28"/>
          <w:szCs w:val="28"/>
        </w:rPr>
      </w:pPr>
      <w:r>
        <w:rPr>
          <w:b/>
          <w:i/>
          <w:sz w:val="28"/>
          <w:szCs w:val="28"/>
        </w:rPr>
        <w:t>м</w:t>
      </w:r>
      <w:r w:rsidRPr="00860CF0">
        <w:rPr>
          <w:b/>
          <w:i/>
          <w:sz w:val="28"/>
          <w:szCs w:val="28"/>
        </w:rPr>
        <w:t>ожлив</w:t>
      </w:r>
      <w:r>
        <w:rPr>
          <w:b/>
          <w:i/>
          <w:sz w:val="28"/>
          <w:szCs w:val="28"/>
        </w:rPr>
        <w:t xml:space="preserve">ості </w:t>
      </w:r>
      <w:r w:rsidRPr="00860CF0">
        <w:rPr>
          <w:b/>
          <w:i/>
          <w:sz w:val="28"/>
          <w:szCs w:val="28"/>
        </w:rPr>
        <w:t xml:space="preserve">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p>
    <w:p w:rsidR="003F4E57" w:rsidRDefault="003F4E57" w:rsidP="003F4E57">
      <w:pPr>
        <w:ind w:firstLine="567"/>
        <w:jc w:val="both"/>
        <w:rPr>
          <w:b/>
          <w:i/>
          <w:sz w:val="28"/>
          <w:szCs w:val="28"/>
        </w:rPr>
      </w:pPr>
      <w:r w:rsidRPr="00860CF0">
        <w:rPr>
          <w:b/>
          <w:i/>
          <w:sz w:val="28"/>
          <w:szCs w:val="28"/>
        </w:rPr>
        <w:t>можлив</w:t>
      </w:r>
      <w:r>
        <w:rPr>
          <w:b/>
          <w:i/>
          <w:sz w:val="28"/>
          <w:szCs w:val="28"/>
        </w:rPr>
        <w:t>ості</w:t>
      </w:r>
      <w:r w:rsidRPr="00860CF0">
        <w:rPr>
          <w:b/>
          <w:i/>
          <w:sz w:val="28"/>
          <w:szCs w:val="28"/>
        </w:rPr>
        <w:t xml:space="preserve"> для фізичних осіб – підприємців платників єдиного податку І та ІІ груп не сплачувати єдиний податок;</w:t>
      </w:r>
    </w:p>
    <w:p w:rsidR="00860CF0" w:rsidRPr="000A5036" w:rsidRDefault="003F4E57" w:rsidP="003F4E57">
      <w:pPr>
        <w:ind w:firstLine="567"/>
        <w:jc w:val="both"/>
        <w:rPr>
          <w:b/>
          <w:i/>
          <w:sz w:val="28"/>
          <w:szCs w:val="28"/>
          <w:highlight w:val="cyan"/>
        </w:rPr>
      </w:pPr>
      <w:r>
        <w:rPr>
          <w:b/>
          <w:i/>
          <w:sz w:val="28"/>
          <w:szCs w:val="28"/>
        </w:rPr>
        <w:t>не</w:t>
      </w:r>
      <w:r w:rsidRPr="00860CF0">
        <w:rPr>
          <w:b/>
          <w:i/>
          <w:sz w:val="28"/>
          <w:szCs w:val="28"/>
        </w:rPr>
        <w:t xml:space="preserve">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p>
    <w:p w:rsidR="00860CF0" w:rsidRPr="000A5036" w:rsidRDefault="00860CF0" w:rsidP="005E58D1">
      <w:pPr>
        <w:rPr>
          <w:b/>
          <w:sz w:val="28"/>
          <w:szCs w:val="28"/>
          <w:highlight w:val="cyan"/>
        </w:rPr>
      </w:pPr>
    </w:p>
    <w:tbl>
      <w:tblPr>
        <w:tblW w:w="9771" w:type="dxa"/>
        <w:tblLook w:val="04A0" w:firstRow="1" w:lastRow="0" w:firstColumn="1" w:lastColumn="0" w:noHBand="0" w:noVBand="1"/>
      </w:tblPr>
      <w:tblGrid>
        <w:gridCol w:w="3099"/>
        <w:gridCol w:w="1355"/>
        <w:gridCol w:w="1229"/>
        <w:gridCol w:w="1253"/>
        <w:gridCol w:w="1418"/>
        <w:gridCol w:w="1417"/>
      </w:tblGrid>
      <w:tr w:rsidR="00860CF0" w:rsidRPr="00907DCD" w:rsidTr="008C5730">
        <w:trPr>
          <w:trHeight w:val="870"/>
        </w:trPr>
        <w:tc>
          <w:tcPr>
            <w:tcW w:w="309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60CF0" w:rsidRPr="00907DCD" w:rsidRDefault="00860CF0" w:rsidP="008C5730">
            <w:pPr>
              <w:jc w:val="center"/>
              <w:rPr>
                <w:bCs/>
                <w:color w:val="000000"/>
                <w:sz w:val="24"/>
                <w:szCs w:val="24"/>
              </w:rPr>
            </w:pPr>
            <w:r w:rsidRPr="00907DCD">
              <w:rPr>
                <w:bCs/>
                <w:color w:val="000000"/>
                <w:sz w:val="24"/>
                <w:szCs w:val="24"/>
              </w:rPr>
              <w:t>Показник*</w:t>
            </w:r>
          </w:p>
        </w:tc>
        <w:tc>
          <w:tcPr>
            <w:tcW w:w="1355" w:type="dxa"/>
            <w:tcBorders>
              <w:top w:val="single" w:sz="8" w:space="0" w:color="auto"/>
              <w:left w:val="nil"/>
              <w:bottom w:val="single" w:sz="8" w:space="0" w:color="auto"/>
              <w:right w:val="single" w:sz="4" w:space="0" w:color="auto"/>
            </w:tcBorders>
            <w:shd w:val="clear" w:color="auto" w:fill="auto"/>
            <w:vAlign w:val="center"/>
            <w:hideMark/>
          </w:tcPr>
          <w:p w:rsidR="00860CF0" w:rsidRPr="00907DCD" w:rsidRDefault="00860CF0" w:rsidP="008C5730">
            <w:pPr>
              <w:jc w:val="center"/>
              <w:rPr>
                <w:bCs/>
                <w:color w:val="000000"/>
                <w:sz w:val="24"/>
                <w:szCs w:val="24"/>
              </w:rPr>
            </w:pPr>
            <w:r w:rsidRPr="00907DCD">
              <w:rPr>
                <w:bCs/>
                <w:color w:val="000000"/>
                <w:sz w:val="24"/>
                <w:szCs w:val="24"/>
              </w:rPr>
              <w:t>Великі</w:t>
            </w:r>
          </w:p>
        </w:tc>
        <w:tc>
          <w:tcPr>
            <w:tcW w:w="1229" w:type="dxa"/>
            <w:tcBorders>
              <w:top w:val="single" w:sz="8" w:space="0" w:color="auto"/>
              <w:left w:val="nil"/>
              <w:bottom w:val="single" w:sz="8" w:space="0" w:color="auto"/>
              <w:right w:val="single" w:sz="4" w:space="0" w:color="auto"/>
            </w:tcBorders>
            <w:shd w:val="clear" w:color="auto" w:fill="auto"/>
            <w:vAlign w:val="center"/>
            <w:hideMark/>
          </w:tcPr>
          <w:p w:rsidR="00860CF0" w:rsidRPr="00907DCD" w:rsidRDefault="00860CF0" w:rsidP="008C5730">
            <w:pPr>
              <w:jc w:val="center"/>
              <w:rPr>
                <w:bCs/>
                <w:color w:val="000000"/>
                <w:sz w:val="24"/>
                <w:szCs w:val="24"/>
              </w:rPr>
            </w:pPr>
            <w:r w:rsidRPr="00907DCD">
              <w:rPr>
                <w:bCs/>
                <w:color w:val="000000"/>
                <w:sz w:val="24"/>
                <w:szCs w:val="24"/>
              </w:rPr>
              <w:t>Середні</w:t>
            </w:r>
          </w:p>
        </w:tc>
        <w:tc>
          <w:tcPr>
            <w:tcW w:w="1253" w:type="dxa"/>
            <w:tcBorders>
              <w:top w:val="single" w:sz="8" w:space="0" w:color="auto"/>
              <w:left w:val="nil"/>
              <w:bottom w:val="single" w:sz="8" w:space="0" w:color="auto"/>
              <w:right w:val="single" w:sz="4" w:space="0" w:color="auto"/>
            </w:tcBorders>
            <w:shd w:val="clear" w:color="auto" w:fill="auto"/>
            <w:vAlign w:val="center"/>
            <w:hideMark/>
          </w:tcPr>
          <w:p w:rsidR="00860CF0" w:rsidRPr="00907DCD" w:rsidRDefault="00860CF0" w:rsidP="008C5730">
            <w:pPr>
              <w:jc w:val="center"/>
              <w:rPr>
                <w:bCs/>
                <w:color w:val="000000"/>
                <w:sz w:val="24"/>
                <w:szCs w:val="24"/>
              </w:rPr>
            </w:pPr>
            <w:r w:rsidRPr="00907DCD">
              <w:rPr>
                <w:bCs/>
                <w:color w:val="000000"/>
                <w:sz w:val="24"/>
                <w:szCs w:val="24"/>
              </w:rPr>
              <w:t>Малі</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rsidR="00860CF0" w:rsidRPr="00907DCD" w:rsidRDefault="00860CF0" w:rsidP="008C5730">
            <w:pPr>
              <w:jc w:val="center"/>
              <w:rPr>
                <w:bCs/>
                <w:color w:val="000000"/>
                <w:sz w:val="24"/>
                <w:szCs w:val="24"/>
              </w:rPr>
            </w:pPr>
            <w:r w:rsidRPr="00907DCD">
              <w:rPr>
                <w:bCs/>
                <w:color w:val="000000"/>
                <w:sz w:val="24"/>
                <w:szCs w:val="24"/>
              </w:rPr>
              <w:t>Мікро</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860CF0" w:rsidRPr="00907DCD" w:rsidRDefault="00860CF0" w:rsidP="008C5730">
            <w:pPr>
              <w:jc w:val="center"/>
              <w:rPr>
                <w:bCs/>
                <w:color w:val="000000"/>
                <w:sz w:val="24"/>
                <w:szCs w:val="24"/>
              </w:rPr>
            </w:pPr>
            <w:r w:rsidRPr="00907DCD">
              <w:rPr>
                <w:bCs/>
                <w:color w:val="000000"/>
                <w:sz w:val="24"/>
                <w:szCs w:val="24"/>
              </w:rPr>
              <w:t>Разом</w:t>
            </w:r>
          </w:p>
        </w:tc>
      </w:tr>
      <w:tr w:rsidR="00860CF0" w:rsidRPr="00907DCD" w:rsidTr="008C5730">
        <w:trPr>
          <w:trHeight w:val="1575"/>
        </w:trPr>
        <w:tc>
          <w:tcPr>
            <w:tcW w:w="3099" w:type="dxa"/>
            <w:tcBorders>
              <w:top w:val="nil"/>
              <w:left w:val="single" w:sz="8" w:space="0" w:color="auto"/>
              <w:bottom w:val="nil"/>
              <w:right w:val="single" w:sz="4" w:space="0" w:color="auto"/>
            </w:tcBorders>
            <w:shd w:val="clear" w:color="auto" w:fill="auto"/>
            <w:vAlign w:val="center"/>
            <w:hideMark/>
          </w:tcPr>
          <w:p w:rsidR="00672055" w:rsidRPr="00907DCD" w:rsidRDefault="00860CF0" w:rsidP="00672055">
            <w:pPr>
              <w:jc w:val="center"/>
              <w:rPr>
                <w:color w:val="000000"/>
                <w:sz w:val="24"/>
                <w:szCs w:val="24"/>
              </w:rPr>
            </w:pPr>
            <w:r w:rsidRPr="00907DCD">
              <w:rPr>
                <w:color w:val="000000"/>
                <w:sz w:val="24"/>
                <w:szCs w:val="24"/>
              </w:rPr>
              <w:t xml:space="preserve">Кількість суб'єктів господарювання, що підпадають під дію регулювання, зокрема, щодо встановлення дії  норми до припинення або скасування воєнного, надзвичайного стану на території України, але не пізніше 01 липня 2023 року, а саме, можливості для фізичних осіб – підприємців та юридичних осіб бути платниками єдиного податку ІІІ групи із застосуванням ставки єдиного податку у розмірі 2 </w:t>
            </w:r>
            <w:r w:rsidRPr="00907DCD">
              <w:rPr>
                <w:color w:val="000000"/>
                <w:sz w:val="24"/>
                <w:szCs w:val="24"/>
              </w:rPr>
              <w:lastRenderedPageBreak/>
              <w:t>% від суми доходу одиниць, одиниць</w:t>
            </w:r>
          </w:p>
        </w:tc>
        <w:tc>
          <w:tcPr>
            <w:tcW w:w="1355" w:type="dxa"/>
            <w:tcBorders>
              <w:top w:val="nil"/>
              <w:left w:val="nil"/>
              <w:bottom w:val="nil"/>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lastRenderedPageBreak/>
              <w:t>18</w:t>
            </w:r>
          </w:p>
        </w:tc>
        <w:tc>
          <w:tcPr>
            <w:tcW w:w="1229" w:type="dxa"/>
            <w:tcBorders>
              <w:top w:val="nil"/>
              <w:left w:val="nil"/>
              <w:bottom w:val="nil"/>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2 522</w:t>
            </w:r>
          </w:p>
        </w:tc>
        <w:tc>
          <w:tcPr>
            <w:tcW w:w="1253" w:type="dxa"/>
            <w:tcBorders>
              <w:top w:val="nil"/>
              <w:left w:val="nil"/>
              <w:bottom w:val="nil"/>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96</w:t>
            </w:r>
          </w:p>
        </w:tc>
        <w:tc>
          <w:tcPr>
            <w:tcW w:w="1418" w:type="dxa"/>
            <w:tcBorders>
              <w:top w:val="nil"/>
              <w:left w:val="nil"/>
              <w:bottom w:val="nil"/>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19 693</w:t>
            </w:r>
          </w:p>
        </w:tc>
        <w:tc>
          <w:tcPr>
            <w:tcW w:w="1417" w:type="dxa"/>
            <w:tcBorders>
              <w:top w:val="nil"/>
              <w:left w:val="nil"/>
              <w:bottom w:val="nil"/>
              <w:right w:val="single" w:sz="8"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22 511</w:t>
            </w:r>
          </w:p>
        </w:tc>
      </w:tr>
      <w:tr w:rsidR="00860CF0" w:rsidRPr="00907DCD" w:rsidTr="00672055">
        <w:trPr>
          <w:trHeight w:val="290"/>
        </w:trPr>
        <w:tc>
          <w:tcPr>
            <w:tcW w:w="9771" w:type="dxa"/>
            <w:gridSpan w:val="6"/>
            <w:tcBorders>
              <w:top w:val="double" w:sz="6" w:space="0" w:color="auto"/>
              <w:left w:val="single" w:sz="8" w:space="0" w:color="auto"/>
              <w:bottom w:val="single" w:sz="4" w:space="0" w:color="auto"/>
              <w:right w:val="single" w:sz="8" w:space="0" w:color="000000"/>
            </w:tcBorders>
            <w:shd w:val="clear" w:color="auto" w:fill="auto"/>
            <w:vAlign w:val="center"/>
            <w:hideMark/>
          </w:tcPr>
          <w:p w:rsidR="00860CF0" w:rsidRPr="00907DCD" w:rsidRDefault="00860CF0" w:rsidP="008C5730">
            <w:pPr>
              <w:rPr>
                <w:bCs/>
                <w:iCs/>
                <w:color w:val="000000"/>
                <w:sz w:val="24"/>
                <w:szCs w:val="24"/>
              </w:rPr>
            </w:pPr>
            <w:r w:rsidRPr="00907DCD">
              <w:rPr>
                <w:b/>
                <w:bCs/>
                <w:i/>
                <w:iCs/>
                <w:color w:val="000000"/>
                <w:sz w:val="24"/>
                <w:szCs w:val="24"/>
              </w:rPr>
              <w:t xml:space="preserve">     </w:t>
            </w:r>
            <w:r w:rsidRPr="00907DCD">
              <w:rPr>
                <w:bCs/>
                <w:iCs/>
                <w:color w:val="000000"/>
                <w:sz w:val="24"/>
                <w:szCs w:val="24"/>
              </w:rPr>
              <w:t>у т.ч.:</w:t>
            </w:r>
          </w:p>
        </w:tc>
      </w:tr>
      <w:tr w:rsidR="00860CF0" w:rsidRPr="00907DCD" w:rsidTr="00672055">
        <w:trPr>
          <w:trHeight w:val="415"/>
        </w:trPr>
        <w:tc>
          <w:tcPr>
            <w:tcW w:w="3099" w:type="dxa"/>
            <w:tcBorders>
              <w:top w:val="nil"/>
              <w:left w:val="single" w:sz="8" w:space="0" w:color="auto"/>
              <w:bottom w:val="single" w:sz="4" w:space="0" w:color="auto"/>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ФОП</w:t>
            </w:r>
          </w:p>
        </w:tc>
        <w:tc>
          <w:tcPr>
            <w:tcW w:w="1355"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w:t>
            </w:r>
          </w:p>
        </w:tc>
        <w:tc>
          <w:tcPr>
            <w:tcW w:w="1229"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w:t>
            </w:r>
          </w:p>
        </w:tc>
        <w:tc>
          <w:tcPr>
            <w:tcW w:w="1253"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10 292</w:t>
            </w:r>
          </w:p>
        </w:tc>
        <w:tc>
          <w:tcPr>
            <w:tcW w:w="1417" w:type="dxa"/>
            <w:tcBorders>
              <w:top w:val="nil"/>
              <w:left w:val="nil"/>
              <w:bottom w:val="single" w:sz="4" w:space="0" w:color="auto"/>
              <w:right w:val="single" w:sz="8"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10 292</w:t>
            </w:r>
          </w:p>
        </w:tc>
      </w:tr>
      <w:tr w:rsidR="00860CF0" w:rsidRPr="00907DCD" w:rsidTr="00672055">
        <w:trPr>
          <w:trHeight w:val="359"/>
        </w:trPr>
        <w:tc>
          <w:tcPr>
            <w:tcW w:w="3099" w:type="dxa"/>
            <w:tcBorders>
              <w:top w:val="nil"/>
              <w:left w:val="single" w:sz="8" w:space="0" w:color="auto"/>
              <w:bottom w:val="double" w:sz="6" w:space="0" w:color="auto"/>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юридичні особи</w:t>
            </w:r>
          </w:p>
        </w:tc>
        <w:tc>
          <w:tcPr>
            <w:tcW w:w="1355"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18</w:t>
            </w:r>
          </w:p>
        </w:tc>
        <w:tc>
          <w:tcPr>
            <w:tcW w:w="1229"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2 522</w:t>
            </w:r>
          </w:p>
        </w:tc>
        <w:tc>
          <w:tcPr>
            <w:tcW w:w="1253"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96</w:t>
            </w:r>
          </w:p>
        </w:tc>
        <w:tc>
          <w:tcPr>
            <w:tcW w:w="1418"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9 401</w:t>
            </w:r>
          </w:p>
        </w:tc>
        <w:tc>
          <w:tcPr>
            <w:tcW w:w="1417" w:type="dxa"/>
            <w:tcBorders>
              <w:top w:val="nil"/>
              <w:left w:val="nil"/>
              <w:bottom w:val="double" w:sz="6" w:space="0" w:color="auto"/>
              <w:right w:val="single" w:sz="8"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12 219</w:t>
            </w:r>
          </w:p>
        </w:tc>
      </w:tr>
      <w:tr w:rsidR="00860CF0" w:rsidRPr="00907DCD" w:rsidTr="00672055">
        <w:trPr>
          <w:trHeight w:val="526"/>
        </w:trPr>
        <w:tc>
          <w:tcPr>
            <w:tcW w:w="3099" w:type="dxa"/>
            <w:tcBorders>
              <w:top w:val="nil"/>
              <w:left w:val="single" w:sz="8" w:space="0" w:color="auto"/>
              <w:bottom w:val="single" w:sz="8" w:space="0" w:color="auto"/>
              <w:right w:val="single" w:sz="4" w:space="0" w:color="auto"/>
            </w:tcBorders>
            <w:shd w:val="clear" w:color="auto" w:fill="auto"/>
            <w:vAlign w:val="center"/>
            <w:hideMark/>
          </w:tcPr>
          <w:p w:rsidR="00860CF0" w:rsidRPr="00907DCD" w:rsidRDefault="00860CF0" w:rsidP="00672055">
            <w:pPr>
              <w:jc w:val="center"/>
              <w:rPr>
                <w:color w:val="000000"/>
                <w:sz w:val="24"/>
                <w:szCs w:val="24"/>
              </w:rPr>
            </w:pPr>
            <w:r w:rsidRPr="00907DCD">
              <w:rPr>
                <w:color w:val="000000"/>
                <w:sz w:val="24"/>
                <w:szCs w:val="24"/>
              </w:rPr>
              <w:t xml:space="preserve">Питома вага групи у загальній кількості, </w:t>
            </w:r>
            <w:r w:rsidR="00672055">
              <w:rPr>
                <w:color w:val="000000"/>
                <w:sz w:val="24"/>
                <w:szCs w:val="24"/>
              </w:rPr>
              <w:t>%</w:t>
            </w:r>
          </w:p>
        </w:tc>
        <w:tc>
          <w:tcPr>
            <w:tcW w:w="1355"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0,1</w:t>
            </w:r>
          </w:p>
        </w:tc>
        <w:tc>
          <w:tcPr>
            <w:tcW w:w="1229"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11,2</w:t>
            </w:r>
          </w:p>
        </w:tc>
        <w:tc>
          <w:tcPr>
            <w:tcW w:w="1253"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0,4</w:t>
            </w:r>
          </w:p>
        </w:tc>
        <w:tc>
          <w:tcPr>
            <w:tcW w:w="1418"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87,5</w:t>
            </w:r>
          </w:p>
        </w:tc>
        <w:tc>
          <w:tcPr>
            <w:tcW w:w="1417" w:type="dxa"/>
            <w:tcBorders>
              <w:top w:val="nil"/>
              <w:left w:val="nil"/>
              <w:bottom w:val="single" w:sz="8" w:space="0" w:color="auto"/>
              <w:right w:val="single" w:sz="8"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100</w:t>
            </w:r>
          </w:p>
        </w:tc>
      </w:tr>
      <w:tr w:rsidR="00860CF0" w:rsidRPr="00907DCD" w:rsidTr="00672055">
        <w:trPr>
          <w:trHeight w:val="2958"/>
        </w:trPr>
        <w:tc>
          <w:tcPr>
            <w:tcW w:w="3099" w:type="dxa"/>
            <w:tcBorders>
              <w:top w:val="nil"/>
              <w:left w:val="single" w:sz="8" w:space="0" w:color="auto"/>
              <w:bottom w:val="nil"/>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Кількість суб'єктів господарювання, на яких розповсюджується норма щодо незастосування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p>
        </w:tc>
        <w:tc>
          <w:tcPr>
            <w:tcW w:w="1355" w:type="dxa"/>
            <w:tcBorders>
              <w:top w:val="nil"/>
              <w:left w:val="nil"/>
              <w:bottom w:val="nil"/>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166</w:t>
            </w:r>
          </w:p>
        </w:tc>
        <w:tc>
          <w:tcPr>
            <w:tcW w:w="1229" w:type="dxa"/>
            <w:tcBorders>
              <w:top w:val="nil"/>
              <w:left w:val="nil"/>
              <w:bottom w:val="nil"/>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9 979</w:t>
            </w:r>
          </w:p>
        </w:tc>
        <w:tc>
          <w:tcPr>
            <w:tcW w:w="1253" w:type="dxa"/>
            <w:tcBorders>
              <w:top w:val="nil"/>
              <w:left w:val="nil"/>
              <w:bottom w:val="nil"/>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809</w:t>
            </w:r>
          </w:p>
        </w:tc>
        <w:tc>
          <w:tcPr>
            <w:tcW w:w="1418" w:type="dxa"/>
            <w:tcBorders>
              <w:top w:val="nil"/>
              <w:left w:val="nil"/>
              <w:bottom w:val="nil"/>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1 146 004</w:t>
            </w:r>
          </w:p>
        </w:tc>
        <w:tc>
          <w:tcPr>
            <w:tcW w:w="1417" w:type="dxa"/>
            <w:tcBorders>
              <w:top w:val="nil"/>
              <w:left w:val="nil"/>
              <w:bottom w:val="nil"/>
              <w:right w:val="single" w:sz="8"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1 156 958</w:t>
            </w:r>
          </w:p>
        </w:tc>
      </w:tr>
      <w:tr w:rsidR="00860CF0" w:rsidRPr="00907DCD" w:rsidTr="00672055">
        <w:trPr>
          <w:trHeight w:val="156"/>
        </w:trPr>
        <w:tc>
          <w:tcPr>
            <w:tcW w:w="9771" w:type="dxa"/>
            <w:gridSpan w:val="6"/>
            <w:tcBorders>
              <w:top w:val="double" w:sz="6" w:space="0" w:color="auto"/>
              <w:left w:val="single" w:sz="8" w:space="0" w:color="auto"/>
              <w:bottom w:val="single" w:sz="4" w:space="0" w:color="auto"/>
              <w:right w:val="single" w:sz="8" w:space="0" w:color="000000"/>
            </w:tcBorders>
            <w:shd w:val="clear" w:color="auto" w:fill="auto"/>
            <w:vAlign w:val="center"/>
            <w:hideMark/>
          </w:tcPr>
          <w:p w:rsidR="00860CF0" w:rsidRPr="00907DCD" w:rsidRDefault="00860CF0" w:rsidP="008C5730">
            <w:pPr>
              <w:rPr>
                <w:bCs/>
                <w:iCs/>
                <w:color w:val="000000"/>
                <w:sz w:val="24"/>
                <w:szCs w:val="24"/>
              </w:rPr>
            </w:pPr>
            <w:r w:rsidRPr="00907DCD">
              <w:rPr>
                <w:bCs/>
                <w:iCs/>
                <w:color w:val="000000"/>
                <w:sz w:val="24"/>
                <w:szCs w:val="24"/>
              </w:rPr>
              <w:t xml:space="preserve">     у т.ч.:</w:t>
            </w:r>
          </w:p>
        </w:tc>
      </w:tr>
      <w:tr w:rsidR="00860CF0" w:rsidRPr="00907DCD" w:rsidTr="00672055">
        <w:trPr>
          <w:trHeight w:val="295"/>
        </w:trPr>
        <w:tc>
          <w:tcPr>
            <w:tcW w:w="3099" w:type="dxa"/>
            <w:tcBorders>
              <w:top w:val="nil"/>
              <w:left w:val="single" w:sz="8" w:space="0" w:color="auto"/>
              <w:bottom w:val="single" w:sz="4" w:space="0" w:color="auto"/>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ФОП</w:t>
            </w:r>
          </w:p>
        </w:tc>
        <w:tc>
          <w:tcPr>
            <w:tcW w:w="1355"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w:t>
            </w:r>
          </w:p>
        </w:tc>
        <w:tc>
          <w:tcPr>
            <w:tcW w:w="1229"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w:t>
            </w:r>
          </w:p>
        </w:tc>
        <w:tc>
          <w:tcPr>
            <w:tcW w:w="1253"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w:t>
            </w:r>
          </w:p>
        </w:tc>
        <w:tc>
          <w:tcPr>
            <w:tcW w:w="1418" w:type="dxa"/>
            <w:tcBorders>
              <w:top w:val="nil"/>
              <w:left w:val="nil"/>
              <w:bottom w:val="single" w:sz="4"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1 072 336</w:t>
            </w:r>
          </w:p>
        </w:tc>
        <w:tc>
          <w:tcPr>
            <w:tcW w:w="1417" w:type="dxa"/>
            <w:tcBorders>
              <w:top w:val="nil"/>
              <w:left w:val="nil"/>
              <w:bottom w:val="single" w:sz="4" w:space="0" w:color="auto"/>
              <w:right w:val="single" w:sz="8"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1 072 336</w:t>
            </w:r>
          </w:p>
        </w:tc>
      </w:tr>
      <w:tr w:rsidR="00860CF0" w:rsidRPr="00907DCD" w:rsidTr="00672055">
        <w:trPr>
          <w:trHeight w:val="285"/>
        </w:trPr>
        <w:tc>
          <w:tcPr>
            <w:tcW w:w="3099" w:type="dxa"/>
            <w:tcBorders>
              <w:top w:val="nil"/>
              <w:left w:val="single" w:sz="8" w:space="0" w:color="auto"/>
              <w:bottom w:val="double" w:sz="6" w:space="0" w:color="auto"/>
              <w:right w:val="single" w:sz="4" w:space="0" w:color="auto"/>
            </w:tcBorders>
            <w:shd w:val="clear" w:color="auto" w:fill="auto"/>
            <w:vAlign w:val="center"/>
            <w:hideMark/>
          </w:tcPr>
          <w:p w:rsidR="00860CF0" w:rsidRPr="00907DCD" w:rsidRDefault="00860CF0" w:rsidP="008C5730">
            <w:pPr>
              <w:jc w:val="center"/>
              <w:rPr>
                <w:color w:val="000000"/>
                <w:sz w:val="24"/>
                <w:szCs w:val="24"/>
              </w:rPr>
            </w:pPr>
            <w:r w:rsidRPr="00907DCD">
              <w:rPr>
                <w:color w:val="000000"/>
                <w:sz w:val="24"/>
                <w:szCs w:val="24"/>
              </w:rPr>
              <w:t>юридичні особи</w:t>
            </w:r>
          </w:p>
        </w:tc>
        <w:tc>
          <w:tcPr>
            <w:tcW w:w="1355"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166</w:t>
            </w:r>
          </w:p>
        </w:tc>
        <w:tc>
          <w:tcPr>
            <w:tcW w:w="1229"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9 979</w:t>
            </w:r>
          </w:p>
        </w:tc>
        <w:tc>
          <w:tcPr>
            <w:tcW w:w="1253"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809</w:t>
            </w:r>
          </w:p>
        </w:tc>
        <w:tc>
          <w:tcPr>
            <w:tcW w:w="1418" w:type="dxa"/>
            <w:tcBorders>
              <w:top w:val="nil"/>
              <w:left w:val="nil"/>
              <w:bottom w:val="double" w:sz="6"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73 668</w:t>
            </w:r>
          </w:p>
        </w:tc>
        <w:tc>
          <w:tcPr>
            <w:tcW w:w="1417" w:type="dxa"/>
            <w:tcBorders>
              <w:top w:val="nil"/>
              <w:left w:val="nil"/>
              <w:bottom w:val="double" w:sz="6" w:space="0" w:color="auto"/>
              <w:right w:val="single" w:sz="8"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84 622</w:t>
            </w:r>
          </w:p>
        </w:tc>
      </w:tr>
      <w:tr w:rsidR="00860CF0" w:rsidRPr="00883266" w:rsidTr="00672055">
        <w:trPr>
          <w:trHeight w:val="510"/>
        </w:trPr>
        <w:tc>
          <w:tcPr>
            <w:tcW w:w="3099" w:type="dxa"/>
            <w:tcBorders>
              <w:top w:val="nil"/>
              <w:left w:val="single" w:sz="8" w:space="0" w:color="auto"/>
              <w:bottom w:val="single" w:sz="8" w:space="0" w:color="auto"/>
              <w:right w:val="single" w:sz="4" w:space="0" w:color="auto"/>
            </w:tcBorders>
            <w:shd w:val="clear" w:color="auto" w:fill="auto"/>
            <w:vAlign w:val="center"/>
            <w:hideMark/>
          </w:tcPr>
          <w:p w:rsidR="00860CF0" w:rsidRPr="00907DCD" w:rsidRDefault="00860CF0" w:rsidP="00672055">
            <w:pPr>
              <w:jc w:val="center"/>
              <w:rPr>
                <w:color w:val="000000"/>
                <w:sz w:val="24"/>
                <w:szCs w:val="24"/>
              </w:rPr>
            </w:pPr>
            <w:r w:rsidRPr="00907DCD">
              <w:rPr>
                <w:color w:val="000000"/>
                <w:sz w:val="24"/>
                <w:szCs w:val="24"/>
              </w:rPr>
              <w:t xml:space="preserve">Питома вага групи у загальній кількості, </w:t>
            </w:r>
            <w:r w:rsidR="00672055">
              <w:rPr>
                <w:color w:val="000000"/>
                <w:sz w:val="24"/>
                <w:szCs w:val="24"/>
              </w:rPr>
              <w:t>%</w:t>
            </w:r>
          </w:p>
        </w:tc>
        <w:tc>
          <w:tcPr>
            <w:tcW w:w="1355"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0,0</w:t>
            </w:r>
          </w:p>
        </w:tc>
        <w:tc>
          <w:tcPr>
            <w:tcW w:w="1229"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0,9</w:t>
            </w:r>
          </w:p>
        </w:tc>
        <w:tc>
          <w:tcPr>
            <w:tcW w:w="1253"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0,1</w:t>
            </w:r>
          </w:p>
        </w:tc>
        <w:tc>
          <w:tcPr>
            <w:tcW w:w="1418" w:type="dxa"/>
            <w:tcBorders>
              <w:top w:val="nil"/>
              <w:left w:val="nil"/>
              <w:bottom w:val="single" w:sz="8" w:space="0" w:color="auto"/>
              <w:right w:val="single" w:sz="4"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99,1</w:t>
            </w:r>
          </w:p>
        </w:tc>
        <w:tc>
          <w:tcPr>
            <w:tcW w:w="1417" w:type="dxa"/>
            <w:tcBorders>
              <w:top w:val="nil"/>
              <w:left w:val="nil"/>
              <w:bottom w:val="single" w:sz="8" w:space="0" w:color="auto"/>
              <w:right w:val="single" w:sz="8" w:space="0" w:color="auto"/>
            </w:tcBorders>
            <w:shd w:val="clear" w:color="auto" w:fill="auto"/>
            <w:vAlign w:val="center"/>
            <w:hideMark/>
          </w:tcPr>
          <w:p w:rsidR="00860CF0" w:rsidRPr="00907DCD" w:rsidRDefault="00860CF0" w:rsidP="008C5730">
            <w:pPr>
              <w:rPr>
                <w:color w:val="000000"/>
                <w:sz w:val="24"/>
                <w:szCs w:val="24"/>
              </w:rPr>
            </w:pPr>
            <w:r w:rsidRPr="00907DCD">
              <w:rPr>
                <w:color w:val="000000"/>
                <w:sz w:val="24"/>
                <w:szCs w:val="24"/>
              </w:rPr>
              <w:t>100</w:t>
            </w:r>
          </w:p>
        </w:tc>
      </w:tr>
    </w:tbl>
    <w:p w:rsidR="00860CF0" w:rsidRPr="00672055" w:rsidRDefault="00860CF0" w:rsidP="00672055">
      <w:pPr>
        <w:jc w:val="both"/>
        <w:rPr>
          <w:i/>
          <w:sz w:val="24"/>
          <w:szCs w:val="24"/>
        </w:rPr>
      </w:pPr>
      <w:r w:rsidRPr="00672055">
        <w:rPr>
          <w:i/>
          <w:sz w:val="24"/>
          <w:szCs w:val="24"/>
        </w:rPr>
        <w:t>* - для розподілу використані критерії, визначені статтею 55 Господарського кодексу України, з використанням суми доходів, отриманих суб’єктами господарювання за 2021 рік, оскільки термін звітування за 2022 рік не настав.</w:t>
      </w:r>
    </w:p>
    <w:p w:rsidR="00860CF0" w:rsidRPr="00672055" w:rsidRDefault="00860CF0" w:rsidP="00672055">
      <w:pPr>
        <w:jc w:val="both"/>
        <w:rPr>
          <w:i/>
          <w:sz w:val="24"/>
          <w:szCs w:val="24"/>
        </w:rPr>
      </w:pPr>
      <w:r w:rsidRPr="00672055">
        <w:rPr>
          <w:i/>
          <w:sz w:val="24"/>
          <w:szCs w:val="24"/>
        </w:rPr>
        <w:t>Кількість суб’єктів господарювання, які перебували на загальній системі оподаткування та скористались правом застосовувати спрощеної системи за ставкою 2%. Для формування зазначених показників використано перелік суб’єктів господарювання, які впродовж квітня-листопада 2022 року застосовували або продовжують застосовувати спрощену систему з особливостями оподаткування. **</w:t>
      </w:r>
    </w:p>
    <w:p w:rsidR="00860CF0" w:rsidRPr="00332B1B" w:rsidRDefault="00860CF0" w:rsidP="005E58D1">
      <w:pPr>
        <w:rPr>
          <w:b/>
          <w:sz w:val="28"/>
          <w:szCs w:val="28"/>
        </w:rPr>
      </w:pPr>
    </w:p>
    <w:p w:rsidR="00AE0FB2" w:rsidRPr="00332B1B" w:rsidRDefault="00F93AED" w:rsidP="005E58D1">
      <w:pPr>
        <w:jc w:val="center"/>
        <w:rPr>
          <w:b/>
          <w:sz w:val="28"/>
          <w:szCs w:val="28"/>
        </w:rPr>
      </w:pPr>
      <w:r w:rsidRPr="00332B1B">
        <w:rPr>
          <w:b/>
          <w:sz w:val="28"/>
          <w:szCs w:val="28"/>
        </w:rPr>
        <w:t>Витрати на одного суб’єкта господарювання, які виникають внаслідок дії регуляторного акта</w:t>
      </w:r>
    </w:p>
    <w:p w:rsidR="00ED490A" w:rsidRPr="00332B1B" w:rsidRDefault="00ED490A" w:rsidP="00994193">
      <w:pPr>
        <w:pBdr>
          <w:top w:val="nil"/>
          <w:left w:val="nil"/>
          <w:bottom w:val="nil"/>
          <w:right w:val="nil"/>
          <w:between w:val="nil"/>
        </w:pBdr>
        <w:ind w:firstLine="567"/>
        <w:jc w:val="both"/>
        <w:rPr>
          <w:sz w:val="28"/>
          <w:szCs w:val="28"/>
        </w:rPr>
      </w:pPr>
    </w:p>
    <w:p w:rsidR="00E8321F" w:rsidRPr="00907DCD" w:rsidRDefault="00E8321F" w:rsidP="00E8321F">
      <w:pPr>
        <w:pBdr>
          <w:top w:val="nil"/>
          <w:left w:val="nil"/>
          <w:bottom w:val="nil"/>
          <w:right w:val="nil"/>
          <w:between w:val="nil"/>
        </w:pBdr>
        <w:ind w:firstLine="567"/>
        <w:jc w:val="both"/>
        <w:rPr>
          <w:sz w:val="28"/>
          <w:szCs w:val="28"/>
        </w:rPr>
      </w:pPr>
      <w:r w:rsidRPr="00907DCD">
        <w:rPr>
          <w:sz w:val="28"/>
          <w:szCs w:val="28"/>
        </w:rPr>
        <w:t>В частині скасування з 01 липня 2023 року дії норм щодо:</w:t>
      </w:r>
    </w:p>
    <w:p w:rsidR="00E8321F" w:rsidRPr="00907DCD" w:rsidRDefault="00E8321F" w:rsidP="00E8321F">
      <w:pPr>
        <w:pBdr>
          <w:top w:val="nil"/>
          <w:left w:val="nil"/>
          <w:bottom w:val="nil"/>
          <w:right w:val="nil"/>
          <w:between w:val="nil"/>
        </w:pBdr>
        <w:ind w:firstLine="567"/>
        <w:jc w:val="both"/>
        <w:rPr>
          <w:sz w:val="28"/>
          <w:szCs w:val="28"/>
        </w:rPr>
      </w:pPr>
      <w:r w:rsidRPr="00907DCD">
        <w:rPr>
          <w:sz w:val="28"/>
          <w:szCs w:val="28"/>
        </w:rPr>
        <w:t>можливості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p>
    <w:p w:rsidR="00E8321F" w:rsidRPr="00907DCD" w:rsidRDefault="00E8321F" w:rsidP="00E8321F">
      <w:pPr>
        <w:pBdr>
          <w:top w:val="nil"/>
          <w:left w:val="nil"/>
          <w:bottom w:val="nil"/>
          <w:right w:val="nil"/>
          <w:between w:val="nil"/>
        </w:pBdr>
        <w:ind w:firstLine="567"/>
        <w:jc w:val="both"/>
        <w:rPr>
          <w:sz w:val="28"/>
          <w:szCs w:val="28"/>
        </w:rPr>
      </w:pPr>
      <w:r w:rsidRPr="00907DCD">
        <w:rPr>
          <w:sz w:val="28"/>
          <w:szCs w:val="28"/>
        </w:rPr>
        <w:t>можливості для фізичних осіб – підприємців платників єдиного податку І та ІІ груп не сплачувати єдиний податок****;</w:t>
      </w:r>
    </w:p>
    <w:p w:rsidR="008C5730" w:rsidRPr="00907DCD" w:rsidRDefault="00E8321F" w:rsidP="00E8321F">
      <w:pPr>
        <w:pBdr>
          <w:top w:val="nil"/>
          <w:left w:val="nil"/>
          <w:bottom w:val="nil"/>
          <w:right w:val="nil"/>
          <w:between w:val="nil"/>
        </w:pBdr>
        <w:ind w:firstLine="567"/>
        <w:jc w:val="both"/>
        <w:rPr>
          <w:sz w:val="28"/>
          <w:szCs w:val="28"/>
        </w:rPr>
      </w:pPr>
      <w:r w:rsidRPr="00907DCD">
        <w:rPr>
          <w:sz w:val="28"/>
          <w:szCs w:val="28"/>
        </w:rPr>
        <w:lastRenderedPageBreak/>
        <w:t>не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r w:rsidR="008C5730" w:rsidRPr="00907DCD">
        <w:rPr>
          <w:sz w:val="28"/>
          <w:szCs w:val="28"/>
        </w:rPr>
        <w:t>.</w:t>
      </w:r>
    </w:p>
    <w:p w:rsidR="008C5730" w:rsidRPr="00907DCD" w:rsidRDefault="008C5730" w:rsidP="008C5730">
      <w:pPr>
        <w:pBdr>
          <w:top w:val="nil"/>
          <w:left w:val="nil"/>
          <w:bottom w:val="nil"/>
          <w:right w:val="nil"/>
          <w:between w:val="nil"/>
        </w:pBdr>
        <w:ind w:firstLine="567"/>
        <w:jc w:val="both"/>
        <w:rPr>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83"/>
        <w:gridCol w:w="5052"/>
        <w:gridCol w:w="1403"/>
        <w:gridCol w:w="1796"/>
      </w:tblGrid>
      <w:tr w:rsidR="00860CF0" w:rsidRPr="00907DCD" w:rsidTr="008C5730">
        <w:tc>
          <w:tcPr>
            <w:tcW w:w="718" w:type="pct"/>
            <w:shd w:val="clear" w:color="auto" w:fill="FFFFFF"/>
            <w:hideMark/>
          </w:tcPr>
          <w:p w:rsidR="00860CF0" w:rsidRPr="00B9026E" w:rsidRDefault="00860CF0" w:rsidP="008C5730">
            <w:pPr>
              <w:spacing w:before="150" w:after="150"/>
              <w:jc w:val="center"/>
              <w:rPr>
                <w:sz w:val="28"/>
                <w:szCs w:val="28"/>
                <w:lang w:val="en-US" w:eastAsia="ru-RU"/>
              </w:rPr>
            </w:pPr>
            <w:r w:rsidRPr="00907DCD">
              <w:rPr>
                <w:sz w:val="28"/>
                <w:szCs w:val="28"/>
                <w:lang w:eastAsia="ru-RU"/>
              </w:rPr>
              <w:t>Порядковий номер</w:t>
            </w:r>
          </w:p>
        </w:tc>
        <w:tc>
          <w:tcPr>
            <w:tcW w:w="2622" w:type="pct"/>
            <w:shd w:val="clear" w:color="auto" w:fill="FFFFFF"/>
            <w:hideMark/>
          </w:tcPr>
          <w:p w:rsidR="00860CF0" w:rsidRPr="00907DCD" w:rsidRDefault="00860CF0" w:rsidP="008C5730">
            <w:pPr>
              <w:spacing w:before="150" w:after="150"/>
              <w:jc w:val="center"/>
              <w:rPr>
                <w:sz w:val="28"/>
                <w:szCs w:val="28"/>
                <w:lang w:eastAsia="ru-RU"/>
              </w:rPr>
            </w:pPr>
            <w:r w:rsidRPr="00907DCD">
              <w:rPr>
                <w:sz w:val="28"/>
                <w:szCs w:val="28"/>
                <w:lang w:eastAsia="ru-RU"/>
              </w:rPr>
              <w:t>Витрати</w:t>
            </w:r>
          </w:p>
        </w:tc>
        <w:tc>
          <w:tcPr>
            <w:tcW w:w="728" w:type="pct"/>
            <w:shd w:val="clear" w:color="auto" w:fill="FFFFFF"/>
            <w:hideMark/>
          </w:tcPr>
          <w:p w:rsidR="00860CF0" w:rsidRPr="00907DCD" w:rsidRDefault="00860CF0" w:rsidP="008C5730">
            <w:pPr>
              <w:spacing w:before="150" w:after="150"/>
              <w:jc w:val="center"/>
              <w:rPr>
                <w:sz w:val="28"/>
                <w:szCs w:val="28"/>
                <w:lang w:eastAsia="ru-RU"/>
              </w:rPr>
            </w:pPr>
            <w:r w:rsidRPr="00907DCD">
              <w:rPr>
                <w:sz w:val="28"/>
                <w:szCs w:val="28"/>
                <w:lang w:eastAsia="ru-RU"/>
              </w:rPr>
              <w:t>За перший рік</w:t>
            </w:r>
          </w:p>
        </w:tc>
        <w:tc>
          <w:tcPr>
            <w:tcW w:w="932" w:type="pct"/>
            <w:shd w:val="clear" w:color="auto" w:fill="FFFFFF"/>
            <w:hideMark/>
          </w:tcPr>
          <w:p w:rsidR="00860CF0" w:rsidRPr="00907DCD" w:rsidRDefault="00860CF0" w:rsidP="008C5730">
            <w:pPr>
              <w:spacing w:before="150" w:after="150"/>
              <w:jc w:val="center"/>
              <w:rPr>
                <w:sz w:val="28"/>
                <w:szCs w:val="28"/>
                <w:lang w:eastAsia="ru-RU"/>
              </w:rPr>
            </w:pPr>
            <w:r w:rsidRPr="00907DCD">
              <w:rPr>
                <w:sz w:val="28"/>
                <w:szCs w:val="28"/>
                <w:lang w:eastAsia="ru-RU"/>
              </w:rPr>
              <w:t>За п’ять років</w:t>
            </w:r>
          </w:p>
        </w:tc>
      </w:tr>
      <w:tr w:rsidR="00860CF0" w:rsidRPr="00907DCD" w:rsidTr="00672055">
        <w:tc>
          <w:tcPr>
            <w:tcW w:w="718" w:type="pct"/>
            <w:shd w:val="clear" w:color="auto" w:fill="FFFFFF"/>
            <w:hideMark/>
          </w:tcPr>
          <w:p w:rsidR="00860CF0" w:rsidRPr="00907DCD" w:rsidRDefault="00860CF0" w:rsidP="008C5730">
            <w:pPr>
              <w:spacing w:before="150" w:after="150"/>
              <w:jc w:val="center"/>
              <w:rPr>
                <w:sz w:val="28"/>
                <w:szCs w:val="28"/>
                <w:lang w:eastAsia="ru-RU"/>
              </w:rPr>
            </w:pPr>
            <w:r w:rsidRPr="00907DCD">
              <w:rPr>
                <w:sz w:val="28"/>
                <w:szCs w:val="28"/>
                <w:lang w:eastAsia="ru-RU"/>
              </w:rPr>
              <w:t>1</w:t>
            </w:r>
          </w:p>
        </w:tc>
        <w:tc>
          <w:tcPr>
            <w:tcW w:w="2622" w:type="pct"/>
            <w:shd w:val="clear" w:color="auto" w:fill="FFFFFF"/>
            <w:hideMark/>
          </w:tcPr>
          <w:p w:rsidR="00860CF0" w:rsidRPr="00907DCD" w:rsidRDefault="00860CF0" w:rsidP="008C5730">
            <w:pPr>
              <w:spacing w:before="150" w:after="150"/>
              <w:rPr>
                <w:sz w:val="28"/>
                <w:szCs w:val="28"/>
                <w:lang w:eastAsia="ru-RU"/>
              </w:rPr>
            </w:pPr>
            <w:r w:rsidRPr="00907DCD">
              <w:rPr>
                <w:sz w:val="28"/>
                <w:szCs w:val="28"/>
                <w:lang w:eastAsia="ru-RU"/>
              </w:rPr>
              <w:t>Податки та збори (зміна розміру податків/зборів, виникнення необхідності у сплаті податків/зборів), гривень</w:t>
            </w:r>
          </w:p>
        </w:tc>
        <w:tc>
          <w:tcPr>
            <w:tcW w:w="728" w:type="pct"/>
            <w:shd w:val="clear" w:color="auto" w:fill="FFFFFF"/>
            <w:hideMark/>
          </w:tcPr>
          <w:p w:rsidR="00860CF0" w:rsidRPr="00907DCD" w:rsidRDefault="00860CF0" w:rsidP="00672055">
            <w:pPr>
              <w:spacing w:before="120" w:after="150"/>
              <w:rPr>
                <w:sz w:val="28"/>
                <w:szCs w:val="28"/>
                <w:lang w:eastAsia="ru-RU"/>
              </w:rPr>
            </w:pPr>
            <w:r w:rsidRPr="00907DCD">
              <w:rPr>
                <w:sz w:val="28"/>
                <w:szCs w:val="28"/>
                <w:lang w:eastAsia="ru-RU"/>
              </w:rPr>
              <w:t>9 810,0*</w:t>
            </w:r>
          </w:p>
        </w:tc>
        <w:tc>
          <w:tcPr>
            <w:tcW w:w="932" w:type="pct"/>
            <w:shd w:val="clear" w:color="auto" w:fill="FFFFFF"/>
            <w:hideMark/>
          </w:tcPr>
          <w:p w:rsidR="00860CF0" w:rsidRPr="00907DCD" w:rsidRDefault="00860CF0" w:rsidP="00672055">
            <w:pPr>
              <w:spacing w:before="120"/>
              <w:rPr>
                <w:sz w:val="28"/>
                <w:szCs w:val="28"/>
                <w:lang w:eastAsia="ru-RU"/>
              </w:rPr>
            </w:pPr>
            <w:r w:rsidRPr="00907DCD">
              <w:rPr>
                <w:sz w:val="28"/>
                <w:szCs w:val="28"/>
                <w:lang w:eastAsia="ru-RU"/>
              </w:rPr>
              <w:t>49 050</w:t>
            </w:r>
          </w:p>
        </w:tc>
      </w:tr>
      <w:tr w:rsidR="00860CF0" w:rsidRPr="00907DCD" w:rsidTr="00672055">
        <w:tc>
          <w:tcPr>
            <w:tcW w:w="718" w:type="pct"/>
            <w:shd w:val="clear" w:color="auto" w:fill="FFFFFF"/>
          </w:tcPr>
          <w:p w:rsidR="00860CF0" w:rsidRPr="00907DCD" w:rsidRDefault="00860CF0" w:rsidP="008C5730">
            <w:pPr>
              <w:spacing w:before="150" w:after="150"/>
              <w:jc w:val="center"/>
              <w:rPr>
                <w:sz w:val="28"/>
                <w:szCs w:val="28"/>
                <w:lang w:eastAsia="ru-RU"/>
              </w:rPr>
            </w:pPr>
            <w:r w:rsidRPr="00907DCD">
              <w:rPr>
                <w:sz w:val="28"/>
                <w:szCs w:val="28"/>
                <w:lang w:eastAsia="ru-RU"/>
              </w:rPr>
              <w:t>2.</w:t>
            </w:r>
          </w:p>
        </w:tc>
        <w:tc>
          <w:tcPr>
            <w:tcW w:w="2622" w:type="pct"/>
            <w:shd w:val="clear" w:color="auto" w:fill="FFFFFF"/>
          </w:tcPr>
          <w:p w:rsidR="00860CF0" w:rsidRPr="00907DCD" w:rsidRDefault="00860CF0" w:rsidP="008C5730">
            <w:pPr>
              <w:spacing w:before="150" w:after="150"/>
              <w:rPr>
                <w:sz w:val="28"/>
                <w:szCs w:val="28"/>
                <w:lang w:eastAsia="ru-RU"/>
              </w:rPr>
            </w:pPr>
            <w:r w:rsidRPr="00907DCD">
              <w:rPr>
                <w:sz w:val="28"/>
                <w:szCs w:val="28"/>
                <w:lang w:eastAsia="ru-RU"/>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728" w:type="pct"/>
            <w:shd w:val="clear" w:color="auto" w:fill="FFFFFF"/>
          </w:tcPr>
          <w:p w:rsidR="00860CF0" w:rsidRPr="00907DCD" w:rsidRDefault="00860CF0" w:rsidP="00672055">
            <w:pPr>
              <w:spacing w:before="120" w:after="150"/>
              <w:ind w:left="46" w:hanging="46"/>
              <w:rPr>
                <w:sz w:val="28"/>
                <w:szCs w:val="28"/>
                <w:lang w:eastAsia="ru-RU"/>
              </w:rPr>
            </w:pPr>
            <w:r w:rsidRPr="00907DCD">
              <w:rPr>
                <w:sz w:val="28"/>
                <w:szCs w:val="28"/>
                <w:lang w:eastAsia="ru-RU"/>
              </w:rPr>
              <w:t>286**</w:t>
            </w:r>
          </w:p>
        </w:tc>
        <w:tc>
          <w:tcPr>
            <w:tcW w:w="932" w:type="pct"/>
            <w:shd w:val="clear" w:color="auto" w:fill="FFFFFF"/>
          </w:tcPr>
          <w:p w:rsidR="00860CF0" w:rsidRPr="00907DCD" w:rsidRDefault="00860CF0" w:rsidP="00672055">
            <w:pPr>
              <w:spacing w:before="120"/>
              <w:rPr>
                <w:sz w:val="28"/>
                <w:szCs w:val="28"/>
                <w:lang w:eastAsia="ru-RU"/>
              </w:rPr>
            </w:pPr>
            <w:r w:rsidRPr="00907DCD">
              <w:rPr>
                <w:sz w:val="28"/>
                <w:szCs w:val="28"/>
                <w:lang w:eastAsia="ru-RU"/>
              </w:rPr>
              <w:t>1430</w:t>
            </w:r>
          </w:p>
        </w:tc>
      </w:tr>
      <w:tr w:rsidR="00860CF0" w:rsidRPr="00907DCD" w:rsidTr="00672055">
        <w:trPr>
          <w:trHeight w:val="1064"/>
        </w:trPr>
        <w:tc>
          <w:tcPr>
            <w:tcW w:w="718" w:type="pct"/>
            <w:shd w:val="clear" w:color="auto" w:fill="FFFFFF"/>
          </w:tcPr>
          <w:p w:rsidR="00860CF0" w:rsidRPr="00907DCD" w:rsidRDefault="00860CF0" w:rsidP="008C5730">
            <w:pPr>
              <w:spacing w:before="150" w:after="150"/>
              <w:jc w:val="center"/>
              <w:rPr>
                <w:sz w:val="28"/>
                <w:szCs w:val="28"/>
                <w:lang w:eastAsia="ru-RU"/>
              </w:rPr>
            </w:pPr>
            <w:r w:rsidRPr="00907DCD">
              <w:rPr>
                <w:sz w:val="28"/>
                <w:szCs w:val="28"/>
                <w:lang w:eastAsia="ru-RU"/>
              </w:rPr>
              <w:t>3.</w:t>
            </w:r>
          </w:p>
        </w:tc>
        <w:tc>
          <w:tcPr>
            <w:tcW w:w="2622" w:type="pct"/>
            <w:shd w:val="clear" w:color="auto" w:fill="FFFFFF"/>
          </w:tcPr>
          <w:tbl>
            <w:tblPr>
              <w:tblW w:w="5649"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08"/>
              <w:gridCol w:w="2291"/>
              <w:gridCol w:w="50"/>
            </w:tblGrid>
            <w:tr w:rsidR="00860CF0" w:rsidRPr="00907DCD" w:rsidTr="008C5730">
              <w:trPr>
                <w:trHeight w:val="350"/>
              </w:trPr>
              <w:tc>
                <w:tcPr>
                  <w:tcW w:w="2934" w:type="pct"/>
                  <w:tcBorders>
                    <w:top w:val="nil"/>
                    <w:left w:val="nil"/>
                    <w:bottom w:val="nil"/>
                    <w:right w:val="nil"/>
                  </w:tcBorders>
                  <w:shd w:val="clear" w:color="auto" w:fill="FFFFFF"/>
                  <w:hideMark/>
                </w:tcPr>
                <w:p w:rsidR="00860CF0" w:rsidRPr="00907DCD" w:rsidRDefault="00860CF0" w:rsidP="008C5730">
                  <w:pPr>
                    <w:spacing w:before="150" w:after="150"/>
                    <w:rPr>
                      <w:sz w:val="28"/>
                      <w:szCs w:val="28"/>
                      <w:lang w:eastAsia="ru-RU"/>
                    </w:rPr>
                  </w:pPr>
                  <w:r w:rsidRPr="00907DCD">
                    <w:rPr>
                      <w:sz w:val="28"/>
                      <w:szCs w:val="28"/>
                      <w:lang w:eastAsia="ru-RU"/>
                    </w:rPr>
                    <w:t xml:space="preserve">Витрати, пов’язані із веденням обліку, підготовкою та поданням звітності державним органам, гривень </w:t>
                  </w:r>
                </w:p>
              </w:tc>
              <w:tc>
                <w:tcPr>
                  <w:tcW w:w="2034" w:type="pct"/>
                  <w:tcBorders>
                    <w:top w:val="nil"/>
                    <w:left w:val="nil"/>
                    <w:bottom w:val="nil"/>
                    <w:right w:val="nil"/>
                  </w:tcBorders>
                  <w:shd w:val="clear" w:color="auto" w:fill="FFFFFF"/>
                  <w:hideMark/>
                </w:tcPr>
                <w:p w:rsidR="00860CF0" w:rsidRPr="00907DCD" w:rsidRDefault="00860CF0" w:rsidP="008C5730">
                  <w:pPr>
                    <w:spacing w:before="150" w:after="150"/>
                    <w:rPr>
                      <w:sz w:val="28"/>
                      <w:szCs w:val="28"/>
                      <w:lang w:eastAsia="ru-RU"/>
                    </w:rPr>
                  </w:pPr>
                </w:p>
              </w:tc>
              <w:tc>
                <w:tcPr>
                  <w:tcW w:w="32" w:type="pct"/>
                  <w:tcBorders>
                    <w:top w:val="nil"/>
                    <w:left w:val="nil"/>
                    <w:bottom w:val="nil"/>
                    <w:right w:val="nil"/>
                  </w:tcBorders>
                  <w:shd w:val="clear" w:color="auto" w:fill="FFFFFF"/>
                  <w:hideMark/>
                </w:tcPr>
                <w:p w:rsidR="00860CF0" w:rsidRPr="00907DCD" w:rsidRDefault="00860CF0" w:rsidP="008C5730">
                  <w:pPr>
                    <w:spacing w:before="150" w:after="150"/>
                    <w:rPr>
                      <w:sz w:val="28"/>
                      <w:szCs w:val="28"/>
                      <w:lang w:eastAsia="ru-RU"/>
                    </w:rPr>
                  </w:pPr>
                </w:p>
              </w:tc>
            </w:tr>
            <w:tr w:rsidR="00860CF0" w:rsidRPr="00907DCD" w:rsidTr="008C5730">
              <w:trPr>
                <w:trHeight w:val="359"/>
              </w:trPr>
              <w:tc>
                <w:tcPr>
                  <w:tcW w:w="2934" w:type="pct"/>
                  <w:tcBorders>
                    <w:top w:val="nil"/>
                    <w:left w:val="nil"/>
                    <w:bottom w:val="nil"/>
                    <w:right w:val="nil"/>
                  </w:tcBorders>
                  <w:shd w:val="clear" w:color="auto" w:fill="FFFFFF"/>
                </w:tcPr>
                <w:p w:rsidR="00860CF0" w:rsidRPr="00907DCD" w:rsidRDefault="00860CF0" w:rsidP="008C5730">
                  <w:pPr>
                    <w:spacing w:before="150" w:after="150"/>
                    <w:rPr>
                      <w:sz w:val="28"/>
                      <w:szCs w:val="28"/>
                      <w:lang w:eastAsia="ru-RU"/>
                    </w:rPr>
                  </w:pPr>
                </w:p>
              </w:tc>
              <w:tc>
                <w:tcPr>
                  <w:tcW w:w="2034" w:type="pct"/>
                  <w:tcBorders>
                    <w:top w:val="nil"/>
                    <w:left w:val="nil"/>
                    <w:bottom w:val="nil"/>
                    <w:right w:val="nil"/>
                  </w:tcBorders>
                  <w:shd w:val="clear" w:color="auto" w:fill="FFFFFF"/>
                </w:tcPr>
                <w:p w:rsidR="00860CF0" w:rsidRPr="00907DCD" w:rsidRDefault="00860CF0" w:rsidP="008C5730">
                  <w:pPr>
                    <w:spacing w:before="150" w:after="150"/>
                    <w:rPr>
                      <w:sz w:val="28"/>
                      <w:szCs w:val="28"/>
                      <w:lang w:eastAsia="ru-RU"/>
                    </w:rPr>
                  </w:pPr>
                </w:p>
              </w:tc>
              <w:tc>
                <w:tcPr>
                  <w:tcW w:w="36" w:type="dxa"/>
                  <w:shd w:val="clear" w:color="auto" w:fill="FFFFFF"/>
                  <w:vAlign w:val="center"/>
                  <w:hideMark/>
                </w:tcPr>
                <w:p w:rsidR="00860CF0" w:rsidRPr="00907DCD" w:rsidRDefault="00860CF0" w:rsidP="008C5730">
                  <w:pPr>
                    <w:jc w:val="center"/>
                    <w:rPr>
                      <w:sz w:val="28"/>
                      <w:szCs w:val="28"/>
                      <w:lang w:eastAsia="ru-RU"/>
                    </w:rPr>
                  </w:pPr>
                </w:p>
              </w:tc>
            </w:tr>
          </w:tbl>
          <w:p w:rsidR="00860CF0" w:rsidRPr="00907DCD" w:rsidRDefault="00860CF0" w:rsidP="008C5730">
            <w:pPr>
              <w:spacing w:before="150" w:after="150"/>
              <w:rPr>
                <w:sz w:val="28"/>
                <w:szCs w:val="28"/>
                <w:lang w:eastAsia="ru-RU"/>
              </w:rPr>
            </w:pPr>
          </w:p>
        </w:tc>
        <w:tc>
          <w:tcPr>
            <w:tcW w:w="728" w:type="pct"/>
            <w:shd w:val="clear" w:color="auto" w:fill="FFFFFF"/>
          </w:tcPr>
          <w:p w:rsidR="00860CF0" w:rsidRPr="00907DCD" w:rsidRDefault="00860CF0" w:rsidP="00672055">
            <w:pPr>
              <w:spacing w:before="120" w:after="150"/>
              <w:rPr>
                <w:sz w:val="28"/>
                <w:szCs w:val="28"/>
                <w:lang w:eastAsia="ru-RU"/>
              </w:rPr>
            </w:pPr>
            <w:r w:rsidRPr="00907DCD">
              <w:rPr>
                <w:sz w:val="28"/>
                <w:szCs w:val="28"/>
                <w:lang w:eastAsia="ru-RU"/>
              </w:rPr>
              <w:t>647,4***</w:t>
            </w:r>
          </w:p>
        </w:tc>
        <w:tc>
          <w:tcPr>
            <w:tcW w:w="932" w:type="pct"/>
            <w:shd w:val="clear" w:color="auto" w:fill="FFFFFF"/>
          </w:tcPr>
          <w:p w:rsidR="00860CF0" w:rsidRPr="00907DCD" w:rsidRDefault="00860CF0" w:rsidP="00672055">
            <w:pPr>
              <w:spacing w:before="120"/>
              <w:rPr>
                <w:sz w:val="28"/>
                <w:szCs w:val="28"/>
                <w:lang w:eastAsia="ru-RU"/>
              </w:rPr>
            </w:pPr>
            <w:r w:rsidRPr="00907DCD">
              <w:rPr>
                <w:sz w:val="28"/>
                <w:szCs w:val="28"/>
                <w:lang w:eastAsia="ru-RU"/>
              </w:rPr>
              <w:t>3 237</w:t>
            </w:r>
          </w:p>
        </w:tc>
      </w:tr>
      <w:tr w:rsidR="00860CF0" w:rsidRPr="00907DCD" w:rsidTr="00672055">
        <w:tc>
          <w:tcPr>
            <w:tcW w:w="718" w:type="pct"/>
            <w:shd w:val="clear" w:color="auto" w:fill="FFFFFF"/>
          </w:tcPr>
          <w:p w:rsidR="00860CF0" w:rsidRPr="00907DCD" w:rsidRDefault="00860CF0" w:rsidP="008C5730">
            <w:pPr>
              <w:spacing w:before="150" w:after="150"/>
              <w:jc w:val="center"/>
              <w:rPr>
                <w:sz w:val="28"/>
                <w:szCs w:val="28"/>
                <w:lang w:eastAsia="ru-RU"/>
              </w:rPr>
            </w:pPr>
            <w:r w:rsidRPr="00907DCD">
              <w:rPr>
                <w:sz w:val="28"/>
                <w:szCs w:val="28"/>
                <w:lang w:eastAsia="ru-RU"/>
              </w:rPr>
              <w:t>4.</w:t>
            </w:r>
          </w:p>
        </w:tc>
        <w:tc>
          <w:tcPr>
            <w:tcW w:w="2622" w:type="pct"/>
            <w:shd w:val="clear" w:color="auto" w:fill="FFFFFF"/>
          </w:tcPr>
          <w:p w:rsidR="00860CF0" w:rsidRPr="00907DCD" w:rsidRDefault="00860CF0" w:rsidP="008C5730">
            <w:pPr>
              <w:spacing w:before="150" w:after="150"/>
              <w:rPr>
                <w:sz w:val="28"/>
                <w:szCs w:val="28"/>
                <w:lang w:eastAsia="ru-RU"/>
              </w:rPr>
            </w:pPr>
            <w:r w:rsidRPr="00907DCD">
              <w:rPr>
                <w:sz w:val="28"/>
                <w:szCs w:val="28"/>
                <w:lang w:eastAsia="ru-RU"/>
              </w:rPr>
              <w:t>РАЗОМ, гривень</w:t>
            </w:r>
          </w:p>
        </w:tc>
        <w:tc>
          <w:tcPr>
            <w:tcW w:w="728" w:type="pct"/>
            <w:shd w:val="clear" w:color="auto" w:fill="FFFFFF"/>
          </w:tcPr>
          <w:p w:rsidR="00860CF0" w:rsidRPr="00907DCD" w:rsidRDefault="00860CF0" w:rsidP="00672055">
            <w:pPr>
              <w:spacing w:before="120" w:after="150"/>
              <w:rPr>
                <w:sz w:val="28"/>
                <w:szCs w:val="28"/>
                <w:lang w:eastAsia="ru-RU"/>
              </w:rPr>
            </w:pPr>
            <w:r w:rsidRPr="00907DCD">
              <w:rPr>
                <w:sz w:val="28"/>
                <w:szCs w:val="28"/>
                <w:lang w:eastAsia="ru-RU"/>
              </w:rPr>
              <w:t>10 743,4</w:t>
            </w:r>
          </w:p>
        </w:tc>
        <w:tc>
          <w:tcPr>
            <w:tcW w:w="932" w:type="pct"/>
            <w:shd w:val="clear" w:color="auto" w:fill="FFFFFF"/>
          </w:tcPr>
          <w:p w:rsidR="00860CF0" w:rsidRPr="00907DCD" w:rsidRDefault="00860CF0" w:rsidP="00672055">
            <w:pPr>
              <w:spacing w:before="120"/>
              <w:rPr>
                <w:sz w:val="28"/>
                <w:szCs w:val="28"/>
                <w:lang w:eastAsia="ru-RU"/>
              </w:rPr>
            </w:pPr>
            <w:r w:rsidRPr="00907DCD">
              <w:rPr>
                <w:sz w:val="28"/>
                <w:szCs w:val="28"/>
                <w:lang w:eastAsia="ru-RU"/>
              </w:rPr>
              <w:t>53 717</w:t>
            </w:r>
          </w:p>
        </w:tc>
      </w:tr>
      <w:tr w:rsidR="00860CF0" w:rsidRPr="00907DCD" w:rsidTr="00672055">
        <w:tc>
          <w:tcPr>
            <w:tcW w:w="718" w:type="pct"/>
            <w:shd w:val="clear" w:color="auto" w:fill="FFFFFF"/>
          </w:tcPr>
          <w:p w:rsidR="00860CF0" w:rsidRPr="00907DCD" w:rsidRDefault="00860CF0" w:rsidP="008C5730">
            <w:pPr>
              <w:spacing w:before="150" w:after="150"/>
              <w:jc w:val="center"/>
              <w:rPr>
                <w:sz w:val="28"/>
                <w:szCs w:val="28"/>
                <w:lang w:eastAsia="ru-RU"/>
              </w:rPr>
            </w:pPr>
            <w:r w:rsidRPr="00907DCD">
              <w:rPr>
                <w:sz w:val="28"/>
                <w:szCs w:val="28"/>
                <w:lang w:eastAsia="ru-RU"/>
              </w:rPr>
              <w:t>5.</w:t>
            </w:r>
          </w:p>
        </w:tc>
        <w:tc>
          <w:tcPr>
            <w:tcW w:w="2622" w:type="pct"/>
            <w:shd w:val="clear" w:color="auto" w:fill="FFFFFF"/>
          </w:tcPr>
          <w:p w:rsidR="00860CF0" w:rsidRPr="00907DCD" w:rsidRDefault="00860CF0" w:rsidP="008C5730">
            <w:pPr>
              <w:spacing w:before="150" w:after="150"/>
              <w:rPr>
                <w:sz w:val="28"/>
                <w:szCs w:val="28"/>
                <w:lang w:eastAsia="ru-RU"/>
              </w:rPr>
            </w:pPr>
            <w:r w:rsidRPr="00907DCD">
              <w:rPr>
                <w:sz w:val="28"/>
                <w:szCs w:val="28"/>
                <w:lang w:eastAsia="ru-RU"/>
              </w:rPr>
              <w:t>Кількість суб’єктів господарювання великого та середнього підприємництва, на яких буде поширено регулювання, одиниць</w:t>
            </w:r>
          </w:p>
        </w:tc>
        <w:tc>
          <w:tcPr>
            <w:tcW w:w="728" w:type="pct"/>
            <w:shd w:val="clear" w:color="auto" w:fill="FFFFFF"/>
          </w:tcPr>
          <w:p w:rsidR="00860CF0" w:rsidRPr="00907DCD" w:rsidRDefault="00860CF0" w:rsidP="00672055">
            <w:pPr>
              <w:spacing w:before="120" w:after="150"/>
              <w:rPr>
                <w:sz w:val="28"/>
                <w:szCs w:val="28"/>
                <w:lang w:eastAsia="ru-RU"/>
              </w:rPr>
            </w:pPr>
            <w:r w:rsidRPr="00907DCD">
              <w:rPr>
                <w:sz w:val="28"/>
                <w:szCs w:val="28"/>
                <w:lang w:eastAsia="ru-RU"/>
              </w:rPr>
              <w:t>2 540</w:t>
            </w:r>
          </w:p>
        </w:tc>
        <w:tc>
          <w:tcPr>
            <w:tcW w:w="932" w:type="pct"/>
            <w:shd w:val="clear" w:color="auto" w:fill="FFFFFF"/>
          </w:tcPr>
          <w:p w:rsidR="00860CF0" w:rsidRPr="00907DCD" w:rsidRDefault="00860CF0" w:rsidP="00672055">
            <w:pPr>
              <w:spacing w:before="120"/>
              <w:rPr>
                <w:sz w:val="28"/>
                <w:szCs w:val="28"/>
                <w:lang w:eastAsia="ru-RU"/>
              </w:rPr>
            </w:pPr>
            <w:r w:rsidRPr="00907DCD">
              <w:rPr>
                <w:sz w:val="28"/>
                <w:szCs w:val="28"/>
                <w:lang w:eastAsia="ru-RU"/>
              </w:rPr>
              <w:t>2 540</w:t>
            </w:r>
          </w:p>
        </w:tc>
      </w:tr>
      <w:tr w:rsidR="00860CF0" w:rsidRPr="00907DCD" w:rsidTr="00672055">
        <w:tc>
          <w:tcPr>
            <w:tcW w:w="718" w:type="pct"/>
            <w:shd w:val="clear" w:color="auto" w:fill="FFFFFF"/>
          </w:tcPr>
          <w:p w:rsidR="00860CF0" w:rsidRPr="00907DCD" w:rsidRDefault="00860CF0" w:rsidP="008C5730">
            <w:pPr>
              <w:spacing w:before="150" w:after="150"/>
              <w:jc w:val="center"/>
              <w:rPr>
                <w:sz w:val="28"/>
                <w:szCs w:val="28"/>
                <w:lang w:eastAsia="ru-RU"/>
              </w:rPr>
            </w:pPr>
            <w:r w:rsidRPr="00907DCD">
              <w:rPr>
                <w:sz w:val="28"/>
                <w:szCs w:val="28"/>
                <w:lang w:eastAsia="ru-RU"/>
              </w:rPr>
              <w:t>6.</w:t>
            </w:r>
          </w:p>
        </w:tc>
        <w:tc>
          <w:tcPr>
            <w:tcW w:w="2622" w:type="pct"/>
            <w:shd w:val="clear" w:color="auto" w:fill="FFFFFF"/>
          </w:tcPr>
          <w:p w:rsidR="00860CF0" w:rsidRPr="00907DCD" w:rsidRDefault="00860CF0" w:rsidP="008C5730">
            <w:pPr>
              <w:spacing w:before="150" w:after="150"/>
              <w:rPr>
                <w:sz w:val="28"/>
                <w:szCs w:val="28"/>
                <w:lang w:eastAsia="ru-RU"/>
              </w:rPr>
            </w:pPr>
            <w:r w:rsidRPr="00907DCD">
              <w:rPr>
                <w:sz w:val="28"/>
                <w:szCs w:val="28"/>
                <w:lang w:eastAsia="ru-RU"/>
              </w:rPr>
              <w:t>Сумарні витрати суб’єктів господарювання великого та середнього підприємництва, на виконання регулювання (вартість регулювання), гривень</w:t>
            </w:r>
          </w:p>
        </w:tc>
        <w:tc>
          <w:tcPr>
            <w:tcW w:w="728" w:type="pct"/>
            <w:shd w:val="clear" w:color="auto" w:fill="FFFFFF"/>
          </w:tcPr>
          <w:p w:rsidR="00860CF0" w:rsidRPr="00907DCD" w:rsidRDefault="00860CF0" w:rsidP="00672055">
            <w:pPr>
              <w:spacing w:before="120" w:after="150"/>
              <w:rPr>
                <w:sz w:val="28"/>
                <w:szCs w:val="28"/>
                <w:lang w:eastAsia="ru-RU"/>
              </w:rPr>
            </w:pPr>
            <w:r w:rsidRPr="00907DCD">
              <w:rPr>
                <w:sz w:val="28"/>
                <w:szCs w:val="28"/>
                <w:lang w:eastAsia="ru-RU"/>
              </w:rPr>
              <w:t>1 644 396</w:t>
            </w:r>
          </w:p>
        </w:tc>
        <w:tc>
          <w:tcPr>
            <w:tcW w:w="932" w:type="pct"/>
            <w:shd w:val="clear" w:color="auto" w:fill="FFFFFF"/>
          </w:tcPr>
          <w:p w:rsidR="00860CF0" w:rsidRPr="00907DCD" w:rsidRDefault="00860CF0" w:rsidP="00672055">
            <w:pPr>
              <w:spacing w:before="120"/>
              <w:rPr>
                <w:sz w:val="28"/>
                <w:szCs w:val="28"/>
                <w:lang w:eastAsia="ru-RU"/>
              </w:rPr>
            </w:pPr>
            <w:r w:rsidRPr="00907DCD">
              <w:rPr>
                <w:sz w:val="28"/>
                <w:szCs w:val="28"/>
                <w:lang w:eastAsia="ru-RU"/>
              </w:rPr>
              <w:t>8 221 980</w:t>
            </w:r>
          </w:p>
        </w:tc>
      </w:tr>
      <w:tr w:rsidR="00860CF0" w:rsidRPr="00907DCD" w:rsidTr="00672055">
        <w:tc>
          <w:tcPr>
            <w:tcW w:w="718" w:type="pct"/>
            <w:shd w:val="clear" w:color="auto" w:fill="FFFFFF"/>
          </w:tcPr>
          <w:p w:rsidR="00860CF0" w:rsidRPr="00907DCD" w:rsidRDefault="00860CF0" w:rsidP="008C5730">
            <w:pPr>
              <w:spacing w:before="150" w:after="150"/>
              <w:jc w:val="center"/>
              <w:rPr>
                <w:sz w:val="28"/>
                <w:szCs w:val="28"/>
                <w:lang w:eastAsia="ru-RU"/>
              </w:rPr>
            </w:pPr>
            <w:r w:rsidRPr="00907DCD">
              <w:rPr>
                <w:sz w:val="28"/>
                <w:szCs w:val="28"/>
                <w:lang w:eastAsia="ru-RU"/>
              </w:rPr>
              <w:t>7.</w:t>
            </w:r>
          </w:p>
        </w:tc>
        <w:tc>
          <w:tcPr>
            <w:tcW w:w="2622" w:type="pct"/>
            <w:shd w:val="clear" w:color="auto" w:fill="FFFFFF"/>
          </w:tcPr>
          <w:tbl>
            <w:tblPr>
              <w:tblW w:w="3986"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004"/>
            </w:tblGrid>
            <w:tr w:rsidR="00860CF0" w:rsidRPr="00907DCD" w:rsidTr="008C5730">
              <w:tc>
                <w:tcPr>
                  <w:tcW w:w="5000" w:type="pct"/>
                  <w:tcBorders>
                    <w:top w:val="nil"/>
                    <w:left w:val="nil"/>
                    <w:bottom w:val="nil"/>
                    <w:right w:val="nil"/>
                  </w:tcBorders>
                  <w:shd w:val="clear" w:color="auto" w:fill="FFFFFF"/>
                  <w:hideMark/>
                </w:tcPr>
                <w:p w:rsidR="00860CF0" w:rsidRPr="00907DCD" w:rsidRDefault="00860CF0" w:rsidP="008C5730">
                  <w:pPr>
                    <w:spacing w:before="150" w:after="150"/>
                    <w:rPr>
                      <w:sz w:val="28"/>
                      <w:szCs w:val="28"/>
                      <w:lang w:eastAsia="ru-RU"/>
                    </w:rPr>
                  </w:pPr>
                  <w:r w:rsidRPr="00907DCD">
                    <w:rPr>
                      <w:sz w:val="28"/>
                      <w:szCs w:val="28"/>
                      <w:lang w:eastAsia="ru-RU"/>
                    </w:rPr>
                    <w:t>РАЗОМ, гривень</w:t>
                  </w:r>
                </w:p>
              </w:tc>
            </w:tr>
          </w:tbl>
          <w:p w:rsidR="00860CF0" w:rsidRPr="00907DCD" w:rsidRDefault="00860CF0" w:rsidP="008C5730">
            <w:pPr>
              <w:spacing w:before="150" w:after="150"/>
              <w:rPr>
                <w:sz w:val="28"/>
                <w:szCs w:val="28"/>
                <w:lang w:eastAsia="ru-RU"/>
              </w:rPr>
            </w:pPr>
          </w:p>
        </w:tc>
        <w:tc>
          <w:tcPr>
            <w:tcW w:w="728" w:type="pct"/>
            <w:shd w:val="clear" w:color="auto" w:fill="FFFFFF"/>
          </w:tcPr>
          <w:p w:rsidR="00860CF0" w:rsidRPr="00907DCD" w:rsidRDefault="00860CF0" w:rsidP="00672055">
            <w:pPr>
              <w:spacing w:before="120" w:after="150"/>
              <w:rPr>
                <w:sz w:val="28"/>
                <w:szCs w:val="28"/>
                <w:lang w:eastAsia="ru-RU"/>
              </w:rPr>
            </w:pPr>
            <w:r w:rsidRPr="00907DCD">
              <w:rPr>
                <w:sz w:val="28"/>
                <w:szCs w:val="28"/>
                <w:lang w:eastAsia="ru-RU"/>
              </w:rPr>
              <w:t>1 644 396</w:t>
            </w:r>
          </w:p>
        </w:tc>
        <w:tc>
          <w:tcPr>
            <w:tcW w:w="932" w:type="pct"/>
            <w:shd w:val="clear" w:color="auto" w:fill="FFFFFF"/>
          </w:tcPr>
          <w:p w:rsidR="00860CF0" w:rsidRPr="00907DCD" w:rsidRDefault="00860CF0" w:rsidP="00672055">
            <w:pPr>
              <w:spacing w:before="120"/>
              <w:rPr>
                <w:sz w:val="28"/>
                <w:szCs w:val="28"/>
                <w:lang w:eastAsia="ru-RU"/>
              </w:rPr>
            </w:pPr>
            <w:r w:rsidRPr="00907DCD">
              <w:rPr>
                <w:sz w:val="28"/>
                <w:szCs w:val="28"/>
                <w:lang w:eastAsia="ru-RU"/>
              </w:rPr>
              <w:t>8 221 980</w:t>
            </w:r>
          </w:p>
        </w:tc>
      </w:tr>
    </w:tbl>
    <w:p w:rsidR="00860CF0" w:rsidRPr="00907DCD" w:rsidRDefault="00860CF0" w:rsidP="00860CF0">
      <w:pPr>
        <w:pBdr>
          <w:top w:val="nil"/>
          <w:left w:val="nil"/>
          <w:bottom w:val="nil"/>
          <w:right w:val="nil"/>
          <w:between w:val="nil"/>
        </w:pBdr>
        <w:ind w:firstLine="567"/>
        <w:jc w:val="both"/>
        <w:rPr>
          <w:szCs w:val="20"/>
        </w:rPr>
      </w:pPr>
      <w:r w:rsidRPr="00907DCD">
        <w:rPr>
          <w:szCs w:val="20"/>
        </w:rPr>
        <w:t>* -розрахунок умовних втрат надходжень єдиного податку за звітний  (податковий) місяць від суб’єкта господарювання у разі запровадження регуляторного акта здійснено на підставі задекларованих показників платниками єдиного податку третьої групи зі ставкою 2 відсотки, з урахуванням ймовірних втрат единого податку від застосування пониженої ставки (перехід від застосування ставки у  розмірі 3 або 5 відсотків на ставку 2 відсотки доходу)</w:t>
      </w:r>
    </w:p>
    <w:p w:rsidR="00860CF0" w:rsidRPr="00907DCD" w:rsidRDefault="00860CF0" w:rsidP="00860CF0">
      <w:pPr>
        <w:pBdr>
          <w:top w:val="nil"/>
          <w:left w:val="nil"/>
          <w:bottom w:val="nil"/>
          <w:right w:val="nil"/>
          <w:between w:val="nil"/>
        </w:pBdr>
        <w:ind w:firstLine="567"/>
        <w:jc w:val="both"/>
        <w:rPr>
          <w:szCs w:val="20"/>
        </w:rPr>
      </w:pPr>
    </w:p>
    <w:p w:rsidR="00860CF0" w:rsidRPr="00907DCD" w:rsidRDefault="00860CF0" w:rsidP="00860CF0">
      <w:pPr>
        <w:ind w:firstLine="567"/>
        <w:jc w:val="both"/>
        <w:rPr>
          <w:szCs w:val="20"/>
        </w:rPr>
      </w:pPr>
      <w:r w:rsidRPr="00907DCD">
        <w:rPr>
          <w:szCs w:val="20"/>
        </w:rPr>
        <w:lastRenderedPageBreak/>
        <w:t>** - для обрахунку втрат, пов’язаних з адмініструванням заходів державного нагляду у разі запровадження регуляторного акта, використано суму посадового окладу інспектора територіального органу ДПС у сумі 8200 гривень.</w:t>
      </w:r>
    </w:p>
    <w:p w:rsidR="00860CF0" w:rsidRPr="00907DCD" w:rsidRDefault="00860CF0" w:rsidP="00860CF0">
      <w:pPr>
        <w:ind w:firstLine="567"/>
        <w:jc w:val="both"/>
        <w:rPr>
          <w:szCs w:val="20"/>
        </w:rPr>
      </w:pPr>
    </w:p>
    <w:p w:rsidR="00860CF0" w:rsidRPr="00907DCD" w:rsidRDefault="00860CF0" w:rsidP="00860CF0">
      <w:pPr>
        <w:ind w:firstLine="567"/>
        <w:jc w:val="both"/>
        <w:rPr>
          <w:szCs w:val="20"/>
        </w:rPr>
      </w:pPr>
      <w:r w:rsidRPr="00907DCD">
        <w:rPr>
          <w:szCs w:val="20"/>
        </w:rPr>
        <w:t xml:space="preserve">*** - для обрахунку втрат, пов’язаних з веденням обліку у разі запровадження регуляторного акта, використано суму мінімальної погодинної заробітної плати на 2023 рік у сумі 40,46 гривень. </w:t>
      </w:r>
    </w:p>
    <w:p w:rsidR="00860CF0" w:rsidRPr="00907DCD" w:rsidRDefault="00860CF0" w:rsidP="00860CF0">
      <w:pPr>
        <w:ind w:firstLine="567"/>
        <w:jc w:val="both"/>
        <w:rPr>
          <w:szCs w:val="20"/>
        </w:rPr>
      </w:pPr>
    </w:p>
    <w:p w:rsidR="00860CF0" w:rsidRPr="00907DCD" w:rsidRDefault="00860CF0" w:rsidP="00860CF0">
      <w:pPr>
        <w:pBdr>
          <w:top w:val="nil"/>
          <w:left w:val="nil"/>
          <w:bottom w:val="nil"/>
          <w:right w:val="nil"/>
          <w:between w:val="nil"/>
        </w:pBdr>
        <w:ind w:firstLine="567"/>
        <w:jc w:val="both"/>
        <w:rPr>
          <w:szCs w:val="20"/>
        </w:rPr>
      </w:pPr>
      <w:r w:rsidRPr="00907DCD">
        <w:rPr>
          <w:szCs w:val="20"/>
        </w:rPr>
        <w:t xml:space="preserve">**** - щодо положень законопроекту в частині </w:t>
      </w:r>
      <w:r w:rsidR="00E8321F" w:rsidRPr="00907DCD">
        <w:rPr>
          <w:szCs w:val="20"/>
        </w:rPr>
        <w:t xml:space="preserve">скасування з </w:t>
      </w:r>
      <w:r w:rsidRPr="00907DCD">
        <w:rPr>
          <w:szCs w:val="20"/>
        </w:rPr>
        <w:t xml:space="preserve"> 01 липня 2023 року</w:t>
      </w:r>
      <w:r w:rsidR="00E8321F" w:rsidRPr="00907DCD">
        <w:rPr>
          <w:szCs w:val="20"/>
        </w:rPr>
        <w:t xml:space="preserve"> </w:t>
      </w:r>
      <w:r w:rsidRPr="00907DCD">
        <w:rPr>
          <w:szCs w:val="20"/>
        </w:rPr>
        <w:t>можливості для фізичних осіб – підприємців платників єдиного податку І та ІІ груп не сплачувати єдиний податок витрати не передбачаються, оскільки зазначена категорія платників єдиного податку може скористатися нормою підпункту 69.1 пункту 69 підрозділу 10 розділу XX Закону України від 12.05.2022№ 2260-IX «Про внесення змін до Податкового кодексу України та інших законів України щодо особливостей податкового адміністрування податків, зборів та єдиного внеску під час дії воєнного, надзвичайного стану» (далі – Закон №2260)  (норми застосовуються починаючи з 27 травня 2022 року) а саме, у разі відсутності у платника податків можливості своєчасно виконати свій податковий обов’язок щодо дотримання термінів сплати податків та зборів, подання звітності та/або документів (повідомлень), у тому числі передбачених статтями 39 і 392, пунктом 46.2 статті 46 цього Кодексу, реєстрації у відповідних реєстрах податкових або акцизних накладних, розрахунків коригування, подання електронних документів, що містять дані про фактичні залишки пального та обсяг обігу пального або спирту етилового тощо, платники податків звільняються від передбаченої цим Кодексом відповідальності з обов’язковим виконанням таких обов’язків протягом шести місяців після припинення або скасування воєнного стану в Україні.</w:t>
      </w:r>
    </w:p>
    <w:p w:rsidR="00860CF0" w:rsidRPr="00860CF0" w:rsidRDefault="00860CF0" w:rsidP="00994193">
      <w:pPr>
        <w:pBdr>
          <w:top w:val="nil"/>
          <w:left w:val="nil"/>
          <w:bottom w:val="nil"/>
          <w:right w:val="nil"/>
          <w:between w:val="nil"/>
        </w:pBdr>
        <w:ind w:firstLine="567"/>
        <w:jc w:val="both"/>
        <w:rPr>
          <w:sz w:val="28"/>
          <w:szCs w:val="28"/>
        </w:rPr>
      </w:pPr>
    </w:p>
    <w:p w:rsidR="00EF10DE" w:rsidRPr="00332B1B" w:rsidRDefault="00EF10DE" w:rsidP="00EF10DE">
      <w:pPr>
        <w:widowControl w:val="0"/>
        <w:spacing w:after="120"/>
        <w:ind w:firstLine="459"/>
        <w:jc w:val="center"/>
        <w:rPr>
          <w:sz w:val="28"/>
          <w:szCs w:val="28"/>
        </w:rPr>
      </w:pPr>
      <w:r w:rsidRPr="00332B1B">
        <w:rPr>
          <w:b/>
          <w:sz w:val="28"/>
          <w:szCs w:val="28"/>
        </w:rPr>
        <w:t>Проведення оцінки впливу кількісних витрат на сферу інтересів суб’єктів господарювання, які виникатимуть унаслідок дії регуляторного акта</w:t>
      </w:r>
    </w:p>
    <w:p w:rsidR="00E8321F" w:rsidRPr="00907DCD" w:rsidRDefault="00E8321F" w:rsidP="00E8321F">
      <w:pPr>
        <w:ind w:firstLine="567"/>
        <w:jc w:val="both"/>
        <w:rPr>
          <w:b/>
          <w:i/>
          <w:sz w:val="28"/>
          <w:szCs w:val="28"/>
        </w:rPr>
      </w:pPr>
      <w:r w:rsidRPr="00907DCD">
        <w:rPr>
          <w:b/>
          <w:i/>
          <w:sz w:val="28"/>
          <w:szCs w:val="28"/>
        </w:rPr>
        <w:t>В частині скасування з 01 липня 2023 року дії норм щодо:</w:t>
      </w:r>
    </w:p>
    <w:p w:rsidR="00E8321F" w:rsidRPr="00907DCD" w:rsidRDefault="00E8321F" w:rsidP="00E8321F">
      <w:pPr>
        <w:ind w:firstLine="567"/>
        <w:jc w:val="both"/>
        <w:rPr>
          <w:b/>
          <w:i/>
          <w:sz w:val="28"/>
          <w:szCs w:val="28"/>
        </w:rPr>
      </w:pPr>
      <w:r w:rsidRPr="00907DCD">
        <w:rPr>
          <w:b/>
          <w:i/>
          <w:sz w:val="28"/>
          <w:szCs w:val="28"/>
        </w:rPr>
        <w:t>можливості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p>
    <w:p w:rsidR="00E8321F" w:rsidRPr="00907DCD" w:rsidRDefault="00E8321F" w:rsidP="00E8321F">
      <w:pPr>
        <w:ind w:firstLine="567"/>
        <w:jc w:val="both"/>
        <w:rPr>
          <w:b/>
          <w:i/>
          <w:sz w:val="28"/>
          <w:szCs w:val="28"/>
        </w:rPr>
      </w:pPr>
      <w:r w:rsidRPr="00907DCD">
        <w:rPr>
          <w:b/>
          <w:i/>
          <w:sz w:val="28"/>
          <w:szCs w:val="28"/>
        </w:rPr>
        <w:t>можливості для фізичних осіб – підприємців платників єдиного податку І та ІІ груп не сплачувати єдиний податок;</w:t>
      </w:r>
    </w:p>
    <w:p w:rsidR="008C5730" w:rsidRPr="00907DCD" w:rsidRDefault="00E8321F" w:rsidP="00E8321F">
      <w:pPr>
        <w:ind w:firstLine="567"/>
        <w:jc w:val="both"/>
        <w:rPr>
          <w:b/>
          <w:i/>
          <w:sz w:val="28"/>
          <w:szCs w:val="28"/>
        </w:rPr>
      </w:pPr>
      <w:r w:rsidRPr="00907DCD">
        <w:rPr>
          <w:b/>
          <w:i/>
          <w:sz w:val="28"/>
          <w:szCs w:val="28"/>
        </w:rPr>
        <w:t>не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r w:rsidR="008C5730" w:rsidRPr="00907DCD">
        <w:rPr>
          <w:b/>
          <w:i/>
          <w:sz w:val="28"/>
          <w:szCs w:val="28"/>
        </w:rPr>
        <w:t xml:space="preserve"> </w:t>
      </w:r>
    </w:p>
    <w:p w:rsidR="009E19EB" w:rsidRPr="00907DCD" w:rsidRDefault="009E19EB" w:rsidP="00D33C90">
      <w:pPr>
        <w:widowControl w:val="0"/>
        <w:spacing w:after="120"/>
        <w:ind w:firstLine="567"/>
        <w:jc w:val="both"/>
        <w:rPr>
          <w:sz w:val="28"/>
          <w:szCs w:val="28"/>
        </w:rPr>
      </w:pPr>
    </w:p>
    <w:tbl>
      <w:tblPr>
        <w:tblStyle w:val="1f"/>
        <w:tblW w:w="97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5"/>
        <w:gridCol w:w="4950"/>
      </w:tblGrid>
      <w:tr w:rsidR="008C5730" w:rsidRPr="00907DCD" w:rsidTr="008C5730">
        <w:tc>
          <w:tcPr>
            <w:tcW w:w="4785" w:type="dxa"/>
          </w:tcPr>
          <w:p w:rsidR="008C5730" w:rsidRPr="00907DCD" w:rsidRDefault="008C5730" w:rsidP="008C5730">
            <w:pPr>
              <w:widowControl w:val="0"/>
              <w:spacing w:after="120"/>
              <w:jc w:val="both"/>
              <w:rPr>
                <w:sz w:val="28"/>
                <w:szCs w:val="28"/>
              </w:rPr>
            </w:pPr>
            <w:r w:rsidRPr="00907DCD">
              <w:rPr>
                <w:sz w:val="28"/>
                <w:szCs w:val="28"/>
              </w:rPr>
              <w:t>Сумарні витрати за альтернативами</w:t>
            </w:r>
          </w:p>
        </w:tc>
        <w:tc>
          <w:tcPr>
            <w:tcW w:w="4950" w:type="dxa"/>
          </w:tcPr>
          <w:p w:rsidR="008C5730" w:rsidRPr="00907DCD" w:rsidRDefault="008C5730" w:rsidP="008C5730">
            <w:pPr>
              <w:widowControl w:val="0"/>
              <w:spacing w:after="120"/>
              <w:ind w:firstLine="459"/>
              <w:jc w:val="both"/>
              <w:rPr>
                <w:sz w:val="28"/>
                <w:szCs w:val="28"/>
              </w:rPr>
            </w:pPr>
            <w:r w:rsidRPr="00907DCD">
              <w:rPr>
                <w:sz w:val="28"/>
                <w:szCs w:val="28"/>
              </w:rPr>
              <w:t>Сума витрат, гривень</w:t>
            </w:r>
          </w:p>
        </w:tc>
      </w:tr>
      <w:tr w:rsidR="008C5730" w:rsidRPr="00907DCD" w:rsidTr="008C5730">
        <w:tc>
          <w:tcPr>
            <w:tcW w:w="4785" w:type="dxa"/>
          </w:tcPr>
          <w:p w:rsidR="008C5730" w:rsidRPr="00907DCD" w:rsidRDefault="008C5730" w:rsidP="008C5730">
            <w:pPr>
              <w:widowControl w:val="0"/>
              <w:spacing w:after="120"/>
              <w:jc w:val="both"/>
              <w:rPr>
                <w:sz w:val="28"/>
                <w:szCs w:val="28"/>
              </w:rPr>
            </w:pPr>
            <w:r w:rsidRPr="00907DCD">
              <w:rPr>
                <w:sz w:val="28"/>
                <w:szCs w:val="28"/>
              </w:rPr>
              <w:t xml:space="preserve">Альтернатива 1 (залишення без змін існуючого акта). </w:t>
            </w:r>
          </w:p>
        </w:tc>
        <w:tc>
          <w:tcPr>
            <w:tcW w:w="4950" w:type="dxa"/>
          </w:tcPr>
          <w:p w:rsidR="008C5730" w:rsidRPr="00907DCD" w:rsidRDefault="008C5730" w:rsidP="008C5730">
            <w:pPr>
              <w:spacing w:after="120"/>
              <w:ind w:firstLine="459"/>
              <w:rPr>
                <w:sz w:val="28"/>
                <w:szCs w:val="28"/>
              </w:rPr>
            </w:pPr>
            <w:r w:rsidRPr="00907DCD">
              <w:rPr>
                <w:sz w:val="28"/>
                <w:szCs w:val="28"/>
              </w:rPr>
              <w:t>616 712*</w:t>
            </w:r>
          </w:p>
        </w:tc>
      </w:tr>
      <w:tr w:rsidR="008C5730" w:rsidRPr="00B22D31" w:rsidTr="008C5730">
        <w:tc>
          <w:tcPr>
            <w:tcW w:w="4785" w:type="dxa"/>
          </w:tcPr>
          <w:p w:rsidR="008C5730" w:rsidRPr="00907DCD" w:rsidRDefault="008C5730" w:rsidP="008C5730">
            <w:pPr>
              <w:widowControl w:val="0"/>
              <w:spacing w:after="120"/>
              <w:jc w:val="both"/>
              <w:rPr>
                <w:sz w:val="28"/>
                <w:szCs w:val="28"/>
              </w:rPr>
            </w:pPr>
            <w:r w:rsidRPr="00907DCD">
              <w:rPr>
                <w:sz w:val="28"/>
                <w:szCs w:val="28"/>
              </w:rPr>
              <w:t xml:space="preserve">Альтернатива 2 (прийняття проекту акта). </w:t>
            </w:r>
          </w:p>
        </w:tc>
        <w:tc>
          <w:tcPr>
            <w:tcW w:w="4950" w:type="dxa"/>
          </w:tcPr>
          <w:p w:rsidR="008C5730" w:rsidRPr="00907DCD" w:rsidRDefault="008C5730" w:rsidP="008C5730">
            <w:pPr>
              <w:spacing w:after="120"/>
              <w:ind w:firstLine="459"/>
              <w:rPr>
                <w:sz w:val="28"/>
                <w:szCs w:val="28"/>
              </w:rPr>
            </w:pPr>
            <w:r w:rsidRPr="00907DCD">
              <w:rPr>
                <w:sz w:val="28"/>
                <w:szCs w:val="28"/>
                <w:lang w:eastAsia="ru-RU"/>
              </w:rPr>
              <w:t>1 644 396</w:t>
            </w:r>
          </w:p>
        </w:tc>
      </w:tr>
    </w:tbl>
    <w:p w:rsidR="00D25A28" w:rsidRDefault="00F93AED" w:rsidP="007D47E1">
      <w:pPr>
        <w:pBdr>
          <w:top w:val="nil"/>
          <w:left w:val="nil"/>
          <w:bottom w:val="nil"/>
          <w:right w:val="nil"/>
          <w:between w:val="nil"/>
        </w:pBdr>
        <w:spacing w:before="240"/>
        <w:jc w:val="center"/>
        <w:rPr>
          <w:b/>
          <w:sz w:val="28"/>
          <w:szCs w:val="28"/>
        </w:rPr>
      </w:pPr>
      <w:r w:rsidRPr="00332B1B">
        <w:rPr>
          <w:b/>
          <w:sz w:val="28"/>
          <w:szCs w:val="28"/>
        </w:rPr>
        <w:t>IV. Вибір найбільш оптимального альтернативного способу досягнення цілей</w:t>
      </w:r>
    </w:p>
    <w:p w:rsidR="007D47E1" w:rsidRPr="007D47E1" w:rsidRDefault="007D47E1" w:rsidP="00EC7A55">
      <w:pPr>
        <w:spacing w:after="120"/>
        <w:ind w:firstLine="567"/>
        <w:jc w:val="both"/>
        <w:rPr>
          <w:b/>
          <w:i/>
          <w:sz w:val="28"/>
          <w:szCs w:val="28"/>
        </w:rPr>
      </w:pPr>
      <w:r w:rsidRPr="00332B1B">
        <w:rPr>
          <w:b/>
          <w:bCs/>
          <w:i/>
          <w:sz w:val="28"/>
          <w:szCs w:val="28"/>
          <w:shd w:val="clear" w:color="auto" w:fill="FFFFFF"/>
        </w:rPr>
        <w:t>В частині змін оподаткування податком на додану вартість</w:t>
      </w:r>
      <w:r w:rsidR="0070332F">
        <w:rPr>
          <w:b/>
          <w:bCs/>
          <w:i/>
          <w:sz w:val="28"/>
          <w:szCs w:val="28"/>
          <w:shd w:val="clear" w:color="auto" w:fill="FFFFFF"/>
        </w:rPr>
        <w:t>,</w:t>
      </w:r>
      <w:r>
        <w:rPr>
          <w:b/>
          <w:bCs/>
          <w:i/>
          <w:sz w:val="28"/>
          <w:szCs w:val="28"/>
          <w:shd w:val="clear" w:color="auto" w:fill="FFFFFF"/>
        </w:rPr>
        <w:t xml:space="preserve"> </w:t>
      </w:r>
      <w:r w:rsidRPr="00332B1B">
        <w:rPr>
          <w:b/>
          <w:i/>
          <w:sz w:val="28"/>
          <w:szCs w:val="28"/>
        </w:rPr>
        <w:t>відновлення з 1 липня 2023 року можливості проведення документальних перевірок та застосування штрафних санкцій за порушення порядку використання реєстраторів розрахункових операцій/програмних реєстраторів р</w:t>
      </w:r>
      <w:r>
        <w:rPr>
          <w:b/>
          <w:i/>
          <w:sz w:val="28"/>
          <w:szCs w:val="28"/>
        </w:rPr>
        <w:t>озрахункових операцій (РРО/ПРРО)</w:t>
      </w:r>
    </w:p>
    <w:tbl>
      <w:tblPr>
        <w:tblStyle w:val="1f1"/>
        <w:tblW w:w="0" w:type="auto"/>
        <w:tblLook w:val="04A0" w:firstRow="1" w:lastRow="0" w:firstColumn="1" w:lastColumn="0" w:noHBand="0" w:noVBand="1"/>
      </w:tblPr>
      <w:tblGrid>
        <w:gridCol w:w="2830"/>
        <w:gridCol w:w="2410"/>
        <w:gridCol w:w="4388"/>
      </w:tblGrid>
      <w:tr w:rsidR="00332B1B" w:rsidRPr="00332B1B" w:rsidTr="005A5603">
        <w:tc>
          <w:tcPr>
            <w:tcW w:w="2830"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widowControl w:val="0"/>
              <w:jc w:val="center"/>
              <w:rPr>
                <w:rFonts w:ascii="Times New Roman" w:hAnsi="Times New Roman"/>
                <w:sz w:val="28"/>
                <w:szCs w:val="28"/>
              </w:rPr>
            </w:pPr>
            <w:r w:rsidRPr="00332B1B">
              <w:rPr>
                <w:rFonts w:ascii="Times New Roman" w:hAnsi="Times New Roman"/>
                <w:sz w:val="28"/>
                <w:szCs w:val="28"/>
              </w:rPr>
              <w:lastRenderedPageBreak/>
              <w:t>Рейтинг результативності (досягнення цілей під час вирішення проблеми)</w:t>
            </w:r>
          </w:p>
        </w:tc>
        <w:tc>
          <w:tcPr>
            <w:tcW w:w="2410"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widowControl w:val="0"/>
              <w:jc w:val="center"/>
              <w:rPr>
                <w:rFonts w:ascii="Times New Roman" w:hAnsi="Times New Roman"/>
                <w:sz w:val="28"/>
                <w:szCs w:val="28"/>
              </w:rPr>
            </w:pPr>
            <w:r w:rsidRPr="00332B1B">
              <w:rPr>
                <w:rFonts w:ascii="Times New Roman" w:hAnsi="Times New Roman"/>
                <w:sz w:val="28"/>
                <w:szCs w:val="28"/>
              </w:rPr>
              <w:t xml:space="preserve">Бал результативності </w:t>
            </w:r>
            <w:r w:rsidRPr="00332B1B">
              <w:rPr>
                <w:rFonts w:ascii="Times New Roman" w:hAnsi="Times New Roman"/>
                <w:spacing w:val="-6"/>
                <w:sz w:val="28"/>
                <w:szCs w:val="28"/>
              </w:rPr>
              <w:t>(за чотирибальною системою оцінки)</w:t>
            </w:r>
          </w:p>
        </w:tc>
        <w:tc>
          <w:tcPr>
            <w:tcW w:w="4388"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widowControl w:val="0"/>
              <w:jc w:val="center"/>
              <w:rPr>
                <w:rFonts w:ascii="Times New Roman" w:hAnsi="Times New Roman"/>
                <w:sz w:val="28"/>
                <w:szCs w:val="28"/>
              </w:rPr>
            </w:pPr>
            <w:r w:rsidRPr="00332B1B">
              <w:rPr>
                <w:rFonts w:ascii="Times New Roman" w:hAnsi="Times New Roman"/>
                <w:sz w:val="28"/>
                <w:szCs w:val="28"/>
              </w:rPr>
              <w:t>Коментарі щодо присвоєння відповідного бала</w:t>
            </w:r>
          </w:p>
        </w:tc>
      </w:tr>
      <w:tr w:rsidR="00332B1B" w:rsidRPr="00332B1B" w:rsidTr="005A5603">
        <w:tc>
          <w:tcPr>
            <w:tcW w:w="2830"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z w:val="28"/>
                <w:szCs w:val="28"/>
              </w:rPr>
            </w:pPr>
            <w:r w:rsidRPr="00332B1B">
              <w:rPr>
                <w:rFonts w:ascii="Times New Roman" w:hAnsi="Times New Roman"/>
                <w:sz w:val="28"/>
                <w:szCs w:val="28"/>
              </w:rPr>
              <w:t>Альтернатива 1</w:t>
            </w:r>
          </w:p>
        </w:tc>
        <w:tc>
          <w:tcPr>
            <w:tcW w:w="2410"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center"/>
              <w:rPr>
                <w:rFonts w:ascii="Times New Roman" w:hAnsi="Times New Roman"/>
                <w:sz w:val="28"/>
                <w:szCs w:val="28"/>
              </w:rPr>
            </w:pPr>
            <w:r w:rsidRPr="00332B1B">
              <w:rPr>
                <w:rFonts w:ascii="Times New Roman" w:hAnsi="Times New Roman"/>
                <w:sz w:val="28"/>
                <w:szCs w:val="28"/>
              </w:rPr>
              <w:t>1</w:t>
            </w:r>
          </w:p>
        </w:tc>
        <w:tc>
          <w:tcPr>
            <w:tcW w:w="4388"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z w:val="28"/>
                <w:szCs w:val="28"/>
              </w:rPr>
            </w:pPr>
            <w:r w:rsidRPr="00332B1B">
              <w:rPr>
                <w:rFonts w:ascii="Times New Roman" w:hAnsi="Times New Roman"/>
                <w:sz w:val="28"/>
                <w:szCs w:val="28"/>
              </w:rPr>
              <w:t>Цілі прийняття регуляторного акта не можуть бути досягнуті (проблема продовжує існувати).</w:t>
            </w:r>
          </w:p>
          <w:p w:rsidR="005A5603" w:rsidRPr="00332B1B" w:rsidRDefault="005A5603" w:rsidP="005A5603">
            <w:pPr>
              <w:jc w:val="both"/>
              <w:rPr>
                <w:rFonts w:ascii="Times New Roman" w:hAnsi="Times New Roman"/>
                <w:sz w:val="28"/>
                <w:szCs w:val="28"/>
              </w:rPr>
            </w:pPr>
          </w:p>
        </w:tc>
      </w:tr>
      <w:tr w:rsidR="00AB4D5E" w:rsidRPr="00332B1B" w:rsidTr="005A5603">
        <w:tc>
          <w:tcPr>
            <w:tcW w:w="2830"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z w:val="28"/>
                <w:szCs w:val="28"/>
              </w:rPr>
            </w:pPr>
            <w:r w:rsidRPr="00332B1B">
              <w:rPr>
                <w:rFonts w:ascii="Times New Roman" w:hAnsi="Times New Roman"/>
                <w:sz w:val="28"/>
                <w:szCs w:val="28"/>
              </w:rPr>
              <w:t>Альтернатива 2</w:t>
            </w:r>
          </w:p>
        </w:tc>
        <w:tc>
          <w:tcPr>
            <w:tcW w:w="2410"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center"/>
              <w:rPr>
                <w:rFonts w:ascii="Times New Roman" w:hAnsi="Times New Roman"/>
                <w:sz w:val="28"/>
                <w:szCs w:val="28"/>
              </w:rPr>
            </w:pPr>
            <w:r w:rsidRPr="00332B1B">
              <w:rPr>
                <w:rFonts w:ascii="Times New Roman" w:hAnsi="Times New Roman"/>
                <w:sz w:val="28"/>
                <w:szCs w:val="28"/>
              </w:rPr>
              <w:t>4</w:t>
            </w:r>
          </w:p>
        </w:tc>
        <w:tc>
          <w:tcPr>
            <w:tcW w:w="4388" w:type="dxa"/>
            <w:tcBorders>
              <w:top w:val="single" w:sz="4" w:space="0" w:color="auto"/>
              <w:left w:val="single" w:sz="4" w:space="0" w:color="auto"/>
              <w:bottom w:val="single" w:sz="4" w:space="0" w:color="auto"/>
              <w:right w:val="single" w:sz="4" w:space="0" w:color="auto"/>
            </w:tcBorders>
            <w:hideMark/>
          </w:tcPr>
          <w:p w:rsidR="00B35413" w:rsidRPr="00332B1B" w:rsidRDefault="005A5603" w:rsidP="005A5603">
            <w:pPr>
              <w:jc w:val="both"/>
              <w:rPr>
                <w:rFonts w:ascii="Times New Roman" w:hAnsi="Times New Roman"/>
                <w:sz w:val="28"/>
                <w:szCs w:val="28"/>
              </w:rPr>
            </w:pPr>
            <w:r w:rsidRPr="00332B1B">
              <w:rPr>
                <w:rFonts w:ascii="Times New Roman" w:hAnsi="Times New Roman"/>
                <w:sz w:val="28"/>
                <w:szCs w:val="28"/>
              </w:rPr>
              <w:t>Цілі прийняття регуляторного акта можуть бути досягнуті повною мірою (проблема більше існувати не буде)</w:t>
            </w:r>
            <w:r w:rsidR="00EC7A55">
              <w:rPr>
                <w:rFonts w:ascii="Times New Roman" w:hAnsi="Times New Roman"/>
                <w:sz w:val="28"/>
                <w:szCs w:val="28"/>
              </w:rPr>
              <w:t>:</w:t>
            </w:r>
          </w:p>
          <w:p w:rsidR="005A5603" w:rsidRPr="00332B1B" w:rsidRDefault="00EC7A55" w:rsidP="005A5603">
            <w:pPr>
              <w:jc w:val="both"/>
              <w:rPr>
                <w:rFonts w:ascii="Times New Roman" w:hAnsi="Times New Roman"/>
                <w:sz w:val="28"/>
                <w:szCs w:val="28"/>
              </w:rPr>
            </w:pPr>
            <w:r>
              <w:rPr>
                <w:rFonts w:ascii="Times New Roman" w:hAnsi="Times New Roman"/>
                <w:sz w:val="28"/>
                <w:szCs w:val="28"/>
              </w:rPr>
              <w:t>- у</w:t>
            </w:r>
            <w:r w:rsidR="005A5603" w:rsidRPr="00332B1B">
              <w:rPr>
                <w:rFonts w:ascii="Times New Roman" w:hAnsi="Times New Roman"/>
                <w:sz w:val="28"/>
                <w:szCs w:val="28"/>
              </w:rPr>
              <w:t>досконалення механізму податкового обліку операцій з надання послуг нерезидентами на митній території України та забезпечення надходжень сум податку до державного бюджету у звітному періоді, в якому надавались такі послуги.</w:t>
            </w:r>
          </w:p>
          <w:p w:rsidR="00B35413" w:rsidRPr="00332B1B" w:rsidRDefault="00B35413" w:rsidP="005A5603">
            <w:pPr>
              <w:jc w:val="both"/>
              <w:rPr>
                <w:rFonts w:ascii="Times New Roman" w:hAnsi="Times New Roman"/>
                <w:sz w:val="28"/>
                <w:szCs w:val="28"/>
              </w:rPr>
            </w:pPr>
          </w:p>
          <w:p w:rsidR="00B35413" w:rsidRPr="00EC7A55" w:rsidRDefault="00EC7A55" w:rsidP="009525E8">
            <w:pPr>
              <w:pBdr>
                <w:top w:val="nil"/>
                <w:left w:val="nil"/>
                <w:bottom w:val="nil"/>
                <w:right w:val="nil"/>
                <w:between w:val="nil"/>
              </w:pBdr>
              <w:spacing w:before="120"/>
              <w:jc w:val="both"/>
              <w:rPr>
                <w:rFonts w:ascii="Times New Roman" w:hAnsi="Times New Roman"/>
                <w:sz w:val="28"/>
                <w:szCs w:val="28"/>
              </w:rPr>
            </w:pPr>
            <w:r>
              <w:rPr>
                <w:rFonts w:ascii="Times New Roman" w:hAnsi="Times New Roman"/>
                <w:sz w:val="28"/>
                <w:szCs w:val="28"/>
              </w:rPr>
              <w:t>- в</w:t>
            </w:r>
            <w:r w:rsidR="00B35413" w:rsidRPr="00EC7A55">
              <w:rPr>
                <w:rFonts w:ascii="Times New Roman" w:hAnsi="Times New Roman"/>
                <w:sz w:val="28"/>
                <w:szCs w:val="28"/>
              </w:rPr>
              <w:t>ідновлення з 1 липня 2023 року можливості проведення документальних перевірок</w:t>
            </w:r>
            <w:r w:rsidR="009525E8" w:rsidRPr="00EC7A55">
              <w:rPr>
                <w:rFonts w:ascii="Times New Roman" w:hAnsi="Times New Roman"/>
                <w:sz w:val="28"/>
                <w:szCs w:val="28"/>
              </w:rPr>
              <w:t xml:space="preserve"> дозволить контролюючим органам в повній мірі виконувати функції щодо здійснення контролю за недотриманням платниками податків вимог податкового та іншого законодавства, що позитивно вплине на забезпечення додаткових надходжень до бюджету. </w:t>
            </w:r>
          </w:p>
          <w:p w:rsidR="00B35413" w:rsidRPr="00332B1B" w:rsidRDefault="00EC7A55" w:rsidP="00EC7A55">
            <w:pPr>
              <w:pBdr>
                <w:top w:val="nil"/>
                <w:left w:val="nil"/>
                <w:bottom w:val="nil"/>
                <w:right w:val="nil"/>
                <w:between w:val="nil"/>
              </w:pBdr>
              <w:spacing w:before="240"/>
              <w:jc w:val="both"/>
              <w:rPr>
                <w:rFonts w:ascii="Times New Roman" w:hAnsi="Times New Roman"/>
                <w:sz w:val="28"/>
                <w:szCs w:val="28"/>
              </w:rPr>
            </w:pPr>
            <w:r>
              <w:rPr>
                <w:rFonts w:ascii="Times New Roman" w:hAnsi="Times New Roman"/>
                <w:spacing w:val="1"/>
                <w:sz w:val="28"/>
                <w:szCs w:val="28"/>
                <w:lang w:eastAsia="ru-RU"/>
              </w:rPr>
              <w:t>- в</w:t>
            </w:r>
            <w:r w:rsidR="00D25A28" w:rsidRPr="00332B1B">
              <w:rPr>
                <w:rFonts w:ascii="Times New Roman" w:hAnsi="Times New Roman"/>
                <w:spacing w:val="1"/>
                <w:sz w:val="28"/>
                <w:szCs w:val="28"/>
                <w:lang w:eastAsia="ru-RU"/>
              </w:rPr>
              <w:t xml:space="preserve">ідновлення застосування штрафів </w:t>
            </w:r>
            <w:r w:rsidR="00D25A28" w:rsidRPr="00332B1B">
              <w:rPr>
                <w:rFonts w:ascii="Times New Roman" w:hAnsi="Times New Roman"/>
                <w:sz w:val="28"/>
                <w:szCs w:val="28"/>
              </w:rPr>
              <w:t xml:space="preserve">за порушення порядку використання РРО/ПРРО стимулюватиме суб’єктів господарювання до </w:t>
            </w:r>
            <w:r w:rsidR="00D25A28" w:rsidRPr="00332B1B">
              <w:rPr>
                <w:rFonts w:ascii="Times New Roman" w:hAnsi="Times New Roman"/>
                <w:spacing w:val="1"/>
                <w:sz w:val="28"/>
                <w:szCs w:val="28"/>
                <w:lang w:eastAsia="ru-RU"/>
              </w:rPr>
              <w:t xml:space="preserve">дотримання ними вимог </w:t>
            </w:r>
            <w:r w:rsidR="00D25A28" w:rsidRPr="00332B1B">
              <w:rPr>
                <w:rFonts w:ascii="Times New Roman" w:hAnsi="Times New Roman"/>
                <w:sz w:val="28"/>
                <w:szCs w:val="28"/>
              </w:rPr>
              <w:t>порядку використання РРО/ПРРО та книг обліку розрахункових операцій.</w:t>
            </w:r>
          </w:p>
        </w:tc>
      </w:tr>
    </w:tbl>
    <w:p w:rsidR="005A5603" w:rsidRPr="00332B1B" w:rsidRDefault="005A5603" w:rsidP="00D25A28">
      <w:pPr>
        <w:pBdr>
          <w:top w:val="nil"/>
          <w:left w:val="nil"/>
          <w:bottom w:val="nil"/>
          <w:right w:val="nil"/>
          <w:between w:val="nil"/>
        </w:pBdr>
        <w:spacing w:before="240"/>
        <w:rPr>
          <w:b/>
          <w:sz w:val="28"/>
          <w:szCs w:val="28"/>
          <w:highlight w:val="yellow"/>
        </w:rPr>
      </w:pPr>
    </w:p>
    <w:tbl>
      <w:tblPr>
        <w:tblW w:w="9639" w:type="dxa"/>
        <w:tblInd w:w="-8" w:type="dxa"/>
        <w:tblLook w:val="00A0" w:firstRow="1" w:lastRow="0" w:firstColumn="1" w:lastColumn="0" w:noHBand="0" w:noVBand="0"/>
      </w:tblPr>
      <w:tblGrid>
        <w:gridCol w:w="2265"/>
        <w:gridCol w:w="1903"/>
        <w:gridCol w:w="1903"/>
        <w:gridCol w:w="3568"/>
      </w:tblGrid>
      <w:tr w:rsidR="00332B1B" w:rsidRPr="00332B1B" w:rsidTr="005A5603">
        <w:tc>
          <w:tcPr>
            <w:tcW w:w="2265"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jc w:val="center"/>
              <w:rPr>
                <w:sz w:val="28"/>
                <w:szCs w:val="28"/>
              </w:rPr>
            </w:pPr>
            <w:r w:rsidRPr="00332B1B">
              <w:rPr>
                <w:sz w:val="28"/>
                <w:szCs w:val="28"/>
              </w:rPr>
              <w:t>Рейтинг результативності</w:t>
            </w:r>
          </w:p>
        </w:tc>
        <w:tc>
          <w:tcPr>
            <w:tcW w:w="1903"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tabs>
                <w:tab w:val="left" w:pos="325"/>
              </w:tabs>
              <w:jc w:val="center"/>
              <w:rPr>
                <w:sz w:val="28"/>
                <w:szCs w:val="28"/>
              </w:rPr>
            </w:pPr>
            <w:r w:rsidRPr="00332B1B">
              <w:rPr>
                <w:sz w:val="28"/>
                <w:szCs w:val="28"/>
              </w:rPr>
              <w:t>Вигоди (підсумок)</w:t>
            </w:r>
          </w:p>
        </w:tc>
        <w:tc>
          <w:tcPr>
            <w:tcW w:w="1903"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jc w:val="center"/>
              <w:rPr>
                <w:sz w:val="28"/>
                <w:szCs w:val="28"/>
              </w:rPr>
            </w:pPr>
            <w:r w:rsidRPr="00332B1B">
              <w:rPr>
                <w:sz w:val="28"/>
                <w:szCs w:val="28"/>
              </w:rPr>
              <w:t>Витрати (підсумок)</w:t>
            </w:r>
          </w:p>
        </w:tc>
        <w:tc>
          <w:tcPr>
            <w:tcW w:w="3568"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ind w:firstLine="113"/>
              <w:jc w:val="center"/>
              <w:rPr>
                <w:sz w:val="28"/>
                <w:szCs w:val="28"/>
              </w:rPr>
            </w:pPr>
            <w:r w:rsidRPr="00332B1B">
              <w:rPr>
                <w:sz w:val="28"/>
                <w:szCs w:val="28"/>
              </w:rPr>
              <w:t>Обґрунтування відповідного місця альтернативи у рейтингу</w:t>
            </w:r>
          </w:p>
        </w:tc>
      </w:tr>
      <w:tr w:rsidR="00332B1B" w:rsidRPr="00332B1B" w:rsidTr="005A5603">
        <w:tc>
          <w:tcPr>
            <w:tcW w:w="2265"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rPr>
                <w:sz w:val="28"/>
                <w:szCs w:val="28"/>
              </w:rPr>
            </w:pPr>
            <w:r w:rsidRPr="00332B1B">
              <w:rPr>
                <w:sz w:val="28"/>
                <w:szCs w:val="28"/>
              </w:rPr>
              <w:t>Альтернатива 1</w:t>
            </w:r>
          </w:p>
        </w:tc>
        <w:tc>
          <w:tcPr>
            <w:tcW w:w="1903"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tabs>
                <w:tab w:val="left" w:pos="325"/>
              </w:tabs>
              <w:jc w:val="center"/>
              <w:rPr>
                <w:sz w:val="28"/>
                <w:szCs w:val="28"/>
              </w:rPr>
            </w:pPr>
            <w:r w:rsidRPr="00332B1B">
              <w:rPr>
                <w:sz w:val="28"/>
                <w:szCs w:val="28"/>
              </w:rPr>
              <w:t>Відсутні</w:t>
            </w:r>
          </w:p>
        </w:tc>
        <w:tc>
          <w:tcPr>
            <w:tcW w:w="1903"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jc w:val="center"/>
              <w:rPr>
                <w:sz w:val="28"/>
                <w:szCs w:val="28"/>
              </w:rPr>
            </w:pPr>
            <w:r w:rsidRPr="00332B1B">
              <w:rPr>
                <w:sz w:val="28"/>
                <w:szCs w:val="28"/>
              </w:rPr>
              <w:t>1</w:t>
            </w:r>
          </w:p>
        </w:tc>
        <w:tc>
          <w:tcPr>
            <w:tcW w:w="3568"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jc w:val="both"/>
              <w:rPr>
                <w:sz w:val="28"/>
                <w:szCs w:val="28"/>
              </w:rPr>
            </w:pPr>
            <w:r w:rsidRPr="00332B1B">
              <w:rPr>
                <w:sz w:val="28"/>
                <w:szCs w:val="28"/>
              </w:rPr>
              <w:t xml:space="preserve">Альтернатива не забезпечує досягнення цілей регулювання. </w:t>
            </w:r>
          </w:p>
          <w:p w:rsidR="005A5603" w:rsidRPr="00332B1B" w:rsidRDefault="005A5603" w:rsidP="005A5603">
            <w:pPr>
              <w:jc w:val="both"/>
              <w:rPr>
                <w:sz w:val="28"/>
                <w:szCs w:val="28"/>
              </w:rPr>
            </w:pPr>
            <w:r w:rsidRPr="00332B1B">
              <w:rPr>
                <w:sz w:val="28"/>
                <w:szCs w:val="28"/>
              </w:rPr>
              <w:t>За відсутності вигод кількість неврегульованих витрат залишається значною.</w:t>
            </w:r>
          </w:p>
        </w:tc>
      </w:tr>
      <w:tr w:rsidR="00332B1B" w:rsidRPr="00332B1B" w:rsidTr="005A5603">
        <w:tc>
          <w:tcPr>
            <w:tcW w:w="2265"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rPr>
                <w:sz w:val="28"/>
                <w:szCs w:val="28"/>
              </w:rPr>
            </w:pPr>
            <w:r w:rsidRPr="00332B1B">
              <w:rPr>
                <w:sz w:val="28"/>
                <w:szCs w:val="28"/>
              </w:rPr>
              <w:t>Альтернатива 2</w:t>
            </w:r>
          </w:p>
        </w:tc>
        <w:tc>
          <w:tcPr>
            <w:tcW w:w="1903"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tabs>
                <w:tab w:val="left" w:pos="325"/>
              </w:tabs>
              <w:jc w:val="center"/>
              <w:rPr>
                <w:sz w:val="28"/>
                <w:szCs w:val="28"/>
              </w:rPr>
            </w:pPr>
            <w:r w:rsidRPr="00332B1B">
              <w:rPr>
                <w:sz w:val="28"/>
                <w:szCs w:val="28"/>
              </w:rPr>
              <w:t>4</w:t>
            </w:r>
          </w:p>
        </w:tc>
        <w:tc>
          <w:tcPr>
            <w:tcW w:w="1903"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jc w:val="center"/>
              <w:rPr>
                <w:sz w:val="28"/>
                <w:szCs w:val="28"/>
              </w:rPr>
            </w:pPr>
            <w:r w:rsidRPr="00332B1B">
              <w:rPr>
                <w:sz w:val="28"/>
                <w:szCs w:val="28"/>
              </w:rPr>
              <w:t>4</w:t>
            </w:r>
          </w:p>
        </w:tc>
        <w:tc>
          <w:tcPr>
            <w:tcW w:w="3568" w:type="dxa"/>
            <w:tcBorders>
              <w:top w:val="single" w:sz="4" w:space="0" w:color="auto"/>
              <w:left w:val="outset" w:sz="6" w:space="0" w:color="auto"/>
              <w:bottom w:val="outset" w:sz="6" w:space="0" w:color="auto"/>
              <w:right w:val="outset" w:sz="6" w:space="0" w:color="auto"/>
            </w:tcBorders>
            <w:hideMark/>
          </w:tcPr>
          <w:p w:rsidR="005A5603" w:rsidRPr="00332B1B" w:rsidRDefault="005A5603" w:rsidP="005A5603">
            <w:pPr>
              <w:jc w:val="both"/>
              <w:rPr>
                <w:sz w:val="28"/>
                <w:szCs w:val="28"/>
              </w:rPr>
            </w:pPr>
            <w:r w:rsidRPr="00332B1B">
              <w:rPr>
                <w:sz w:val="28"/>
                <w:szCs w:val="28"/>
              </w:rPr>
              <w:t>Альтернатива забезпечує досягнення цілей регулювання.</w:t>
            </w:r>
          </w:p>
          <w:p w:rsidR="005A5603" w:rsidRPr="00332B1B" w:rsidRDefault="005A5603" w:rsidP="005A5603">
            <w:pPr>
              <w:jc w:val="both"/>
              <w:rPr>
                <w:sz w:val="28"/>
                <w:szCs w:val="28"/>
              </w:rPr>
            </w:pPr>
            <w:r w:rsidRPr="00332B1B">
              <w:rPr>
                <w:sz w:val="28"/>
                <w:szCs w:val="28"/>
              </w:rPr>
              <w:t xml:space="preserve"> За відсутності неврегульованих витрат, дозволяє досягнути максимальної кількості вигод.</w:t>
            </w:r>
          </w:p>
        </w:tc>
      </w:tr>
    </w:tbl>
    <w:p w:rsidR="005A5603" w:rsidRPr="00332B1B" w:rsidRDefault="005A5603" w:rsidP="005A5603">
      <w:pPr>
        <w:pBdr>
          <w:top w:val="nil"/>
          <w:left w:val="nil"/>
          <w:bottom w:val="nil"/>
          <w:right w:val="nil"/>
          <w:between w:val="nil"/>
        </w:pBdr>
        <w:spacing w:before="240"/>
        <w:rPr>
          <w:b/>
          <w:sz w:val="28"/>
          <w:szCs w:val="28"/>
          <w:highlight w:val="yellow"/>
        </w:rPr>
      </w:pPr>
    </w:p>
    <w:tbl>
      <w:tblPr>
        <w:tblStyle w:val="23"/>
        <w:tblW w:w="0" w:type="auto"/>
        <w:tblLook w:val="04A0" w:firstRow="1" w:lastRow="0" w:firstColumn="1" w:lastColumn="0" w:noHBand="0" w:noVBand="1"/>
      </w:tblPr>
      <w:tblGrid>
        <w:gridCol w:w="2292"/>
        <w:gridCol w:w="4791"/>
        <w:gridCol w:w="2545"/>
      </w:tblGrid>
      <w:tr w:rsidR="00332B1B" w:rsidRPr="00332B1B" w:rsidTr="005A5603">
        <w:tc>
          <w:tcPr>
            <w:tcW w:w="2292"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center"/>
              <w:rPr>
                <w:rFonts w:ascii="Times New Roman" w:hAnsi="Times New Roman"/>
                <w:strike/>
                <w:sz w:val="28"/>
                <w:szCs w:val="28"/>
                <w:lang w:eastAsia="uk-UA"/>
              </w:rPr>
            </w:pPr>
            <w:r w:rsidRPr="00332B1B">
              <w:rPr>
                <w:rFonts w:ascii="Times New Roman" w:hAnsi="Times New Roman"/>
                <w:sz w:val="28"/>
                <w:szCs w:val="28"/>
                <w:lang w:eastAsia="uk-UA"/>
              </w:rPr>
              <w:t>Рейтинг</w:t>
            </w:r>
          </w:p>
        </w:tc>
        <w:tc>
          <w:tcPr>
            <w:tcW w:w="4791"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trike/>
                <w:sz w:val="28"/>
                <w:szCs w:val="28"/>
                <w:lang w:eastAsia="uk-UA"/>
              </w:rPr>
            </w:pPr>
            <w:r w:rsidRPr="00332B1B">
              <w:rPr>
                <w:rFonts w:ascii="Times New Roman" w:hAnsi="Times New Roman"/>
                <w:sz w:val="28"/>
                <w:szCs w:val="28"/>
                <w:lang w:eastAsia="uk-UA"/>
              </w:rPr>
              <w:t>Аргументи щодо переваги обраної альтернативи/причини відмови від альтернативи</w:t>
            </w:r>
          </w:p>
        </w:tc>
        <w:tc>
          <w:tcPr>
            <w:tcW w:w="2545"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trike/>
                <w:sz w:val="28"/>
                <w:szCs w:val="28"/>
                <w:lang w:eastAsia="uk-UA"/>
              </w:rPr>
            </w:pPr>
            <w:r w:rsidRPr="00332B1B">
              <w:rPr>
                <w:rFonts w:ascii="Times New Roman" w:hAnsi="Times New Roman"/>
                <w:sz w:val="28"/>
                <w:szCs w:val="28"/>
                <w:lang w:eastAsia="uk-UA"/>
              </w:rPr>
              <w:t>Оцінка ризику зовнішніх чинників на дію запропонованого регуляторного акта</w:t>
            </w:r>
          </w:p>
        </w:tc>
      </w:tr>
      <w:tr w:rsidR="00332B1B" w:rsidRPr="00332B1B" w:rsidTr="005A5603">
        <w:tc>
          <w:tcPr>
            <w:tcW w:w="2292"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trike/>
                <w:sz w:val="28"/>
                <w:szCs w:val="28"/>
                <w:lang w:eastAsia="uk-UA"/>
              </w:rPr>
            </w:pPr>
            <w:r w:rsidRPr="00332B1B">
              <w:rPr>
                <w:rFonts w:ascii="Times New Roman" w:hAnsi="Times New Roman"/>
                <w:sz w:val="28"/>
                <w:szCs w:val="28"/>
                <w:lang w:eastAsia="uk-UA"/>
              </w:rPr>
              <w:t>Альтернатива 1</w:t>
            </w:r>
          </w:p>
        </w:tc>
        <w:tc>
          <w:tcPr>
            <w:tcW w:w="4791"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z w:val="28"/>
                <w:szCs w:val="28"/>
              </w:rPr>
            </w:pPr>
            <w:r w:rsidRPr="00332B1B">
              <w:rPr>
                <w:rFonts w:ascii="Times New Roman" w:hAnsi="Times New Roman"/>
                <w:sz w:val="28"/>
                <w:szCs w:val="28"/>
              </w:rPr>
              <w:t>Невнесення змін до чинних нормативно-правових актів не дозволить:</w:t>
            </w:r>
          </w:p>
          <w:p w:rsidR="005A5603" w:rsidRPr="00332B1B" w:rsidRDefault="005A5603" w:rsidP="005A5603">
            <w:pPr>
              <w:jc w:val="both"/>
              <w:rPr>
                <w:rFonts w:ascii="Times New Roman" w:hAnsi="Times New Roman"/>
                <w:sz w:val="28"/>
                <w:szCs w:val="28"/>
              </w:rPr>
            </w:pPr>
            <w:r w:rsidRPr="00332B1B">
              <w:rPr>
                <w:rFonts w:ascii="Times New Roman" w:hAnsi="Times New Roman"/>
                <w:sz w:val="28"/>
                <w:szCs w:val="28"/>
              </w:rPr>
              <w:t xml:space="preserve">законодавчо врегулювати норми щодо зміни дати віднесення до податкового кредиту сум податку по послугах отриманих від нерезидентів на митній території України.  </w:t>
            </w:r>
          </w:p>
          <w:p w:rsidR="009525E8" w:rsidRPr="00907DCD" w:rsidRDefault="009525E8" w:rsidP="005A5603">
            <w:pPr>
              <w:jc w:val="both"/>
              <w:rPr>
                <w:rFonts w:ascii="Times New Roman" w:hAnsi="Times New Roman"/>
                <w:sz w:val="28"/>
                <w:szCs w:val="28"/>
              </w:rPr>
            </w:pPr>
            <w:r w:rsidRPr="00332B1B">
              <w:rPr>
                <w:rFonts w:ascii="Times New Roman" w:hAnsi="Times New Roman"/>
                <w:b/>
                <w:i/>
                <w:sz w:val="28"/>
                <w:szCs w:val="28"/>
              </w:rPr>
              <w:t xml:space="preserve">- </w:t>
            </w:r>
            <w:r w:rsidRPr="00907DCD">
              <w:rPr>
                <w:rFonts w:ascii="Times New Roman" w:hAnsi="Times New Roman"/>
                <w:sz w:val="28"/>
                <w:szCs w:val="28"/>
              </w:rPr>
              <w:t>відновити з 1 липня 2023 року можливості проведення документальних перевірок.</w:t>
            </w:r>
            <w:r w:rsidRPr="00907DCD">
              <w:rPr>
                <w:rFonts w:ascii="Times New Roman" w:hAnsi="Times New Roman"/>
              </w:rPr>
              <w:t xml:space="preserve"> </w:t>
            </w:r>
            <w:r w:rsidRPr="00907DCD">
              <w:rPr>
                <w:rFonts w:ascii="Times New Roman" w:hAnsi="Times New Roman"/>
                <w:sz w:val="28"/>
                <w:szCs w:val="28"/>
              </w:rPr>
              <w:t>Подальша заборона на проведення документальних перевірок негативно вплине на забезпечення додаткових надходжень до бюджетів;</w:t>
            </w:r>
          </w:p>
          <w:p w:rsidR="00D25A28" w:rsidRPr="00332B1B" w:rsidRDefault="00D25A28" w:rsidP="005A5603">
            <w:pPr>
              <w:jc w:val="both"/>
              <w:rPr>
                <w:rFonts w:ascii="Times New Roman" w:hAnsi="Times New Roman"/>
                <w:sz w:val="28"/>
                <w:szCs w:val="28"/>
              </w:rPr>
            </w:pPr>
            <w:r w:rsidRPr="00332B1B">
              <w:rPr>
                <w:rFonts w:ascii="Times New Roman" w:hAnsi="Times New Roman"/>
                <w:sz w:val="28"/>
                <w:szCs w:val="28"/>
              </w:rPr>
              <w:t xml:space="preserve">- повернути дію існуючих до війни норм щодо застосування штрафів за порушення порядку використання </w:t>
            </w:r>
            <w:r w:rsidRPr="00332B1B">
              <w:rPr>
                <w:rFonts w:ascii="Times New Roman" w:hAnsi="Times New Roman"/>
                <w:sz w:val="28"/>
                <w:szCs w:val="28"/>
              </w:rPr>
              <w:lastRenderedPageBreak/>
              <w:t>РРО/ПРРО що, як наслідок, не стимулюватиме суб’єктів господарювання до виконання вимог законодавства;</w:t>
            </w:r>
          </w:p>
          <w:p w:rsidR="005A5603" w:rsidRPr="00332B1B" w:rsidRDefault="005A5603" w:rsidP="005A5603">
            <w:pPr>
              <w:jc w:val="both"/>
              <w:rPr>
                <w:rFonts w:ascii="Times New Roman" w:hAnsi="Times New Roman"/>
                <w:sz w:val="28"/>
                <w:szCs w:val="28"/>
              </w:rPr>
            </w:pPr>
            <w:r w:rsidRPr="00332B1B">
              <w:rPr>
                <w:rFonts w:ascii="Times New Roman" w:hAnsi="Times New Roman"/>
                <w:sz w:val="28"/>
                <w:szCs w:val="28"/>
              </w:rPr>
              <w:t>Від такої альтернативи слід відмовитись.</w:t>
            </w:r>
          </w:p>
        </w:tc>
        <w:tc>
          <w:tcPr>
            <w:tcW w:w="2545"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center"/>
              <w:rPr>
                <w:rFonts w:ascii="Times New Roman" w:hAnsi="Times New Roman"/>
                <w:sz w:val="28"/>
                <w:szCs w:val="28"/>
                <w:lang w:eastAsia="uk-UA"/>
              </w:rPr>
            </w:pPr>
            <w:r w:rsidRPr="00332B1B">
              <w:rPr>
                <w:rFonts w:ascii="Times New Roman" w:hAnsi="Times New Roman"/>
                <w:sz w:val="28"/>
                <w:szCs w:val="28"/>
                <w:lang w:eastAsia="uk-UA"/>
              </w:rPr>
              <w:lastRenderedPageBreak/>
              <w:t>Х</w:t>
            </w:r>
          </w:p>
        </w:tc>
      </w:tr>
      <w:tr w:rsidR="005A5603" w:rsidRPr="00332B1B" w:rsidTr="005A5603">
        <w:tc>
          <w:tcPr>
            <w:tcW w:w="2292"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both"/>
              <w:rPr>
                <w:rFonts w:ascii="Times New Roman" w:hAnsi="Times New Roman"/>
                <w:sz w:val="28"/>
                <w:szCs w:val="28"/>
                <w:lang w:eastAsia="uk-UA"/>
              </w:rPr>
            </w:pPr>
            <w:r w:rsidRPr="00332B1B">
              <w:rPr>
                <w:rFonts w:ascii="Times New Roman" w:hAnsi="Times New Roman"/>
                <w:sz w:val="28"/>
                <w:szCs w:val="28"/>
                <w:lang w:eastAsia="uk-UA"/>
              </w:rPr>
              <w:t>Альтернатива 2</w:t>
            </w:r>
          </w:p>
        </w:tc>
        <w:tc>
          <w:tcPr>
            <w:tcW w:w="4791" w:type="dxa"/>
            <w:tcBorders>
              <w:top w:val="single" w:sz="4" w:space="0" w:color="auto"/>
              <w:left w:val="single" w:sz="4" w:space="0" w:color="auto"/>
              <w:bottom w:val="single" w:sz="4" w:space="0" w:color="auto"/>
              <w:right w:val="single" w:sz="4" w:space="0" w:color="auto"/>
            </w:tcBorders>
            <w:hideMark/>
          </w:tcPr>
          <w:p w:rsidR="009525E8" w:rsidRPr="00907DCD" w:rsidRDefault="005A5603" w:rsidP="005A5603">
            <w:pPr>
              <w:ind w:firstLine="5"/>
              <w:jc w:val="both"/>
              <w:rPr>
                <w:rFonts w:ascii="Times New Roman" w:hAnsi="Times New Roman"/>
                <w:sz w:val="28"/>
                <w:szCs w:val="28"/>
              </w:rPr>
            </w:pPr>
            <w:r w:rsidRPr="00907DCD">
              <w:rPr>
                <w:rFonts w:ascii="Times New Roman" w:hAnsi="Times New Roman"/>
                <w:sz w:val="28"/>
                <w:szCs w:val="28"/>
              </w:rPr>
              <w:t>Прийняття законопроекту сприятиме</w:t>
            </w:r>
            <w:r w:rsidR="009525E8" w:rsidRPr="00907DCD">
              <w:rPr>
                <w:rFonts w:ascii="Times New Roman" w:hAnsi="Times New Roman"/>
                <w:sz w:val="28"/>
                <w:szCs w:val="28"/>
              </w:rPr>
              <w:t>:</w:t>
            </w:r>
          </w:p>
          <w:p w:rsidR="005A5603" w:rsidRPr="00907DCD" w:rsidRDefault="009525E8" w:rsidP="005A5603">
            <w:pPr>
              <w:ind w:firstLine="5"/>
              <w:jc w:val="both"/>
              <w:rPr>
                <w:rFonts w:ascii="Times New Roman" w:hAnsi="Times New Roman"/>
                <w:sz w:val="28"/>
                <w:szCs w:val="28"/>
              </w:rPr>
            </w:pPr>
            <w:r w:rsidRPr="00907DCD">
              <w:rPr>
                <w:rFonts w:ascii="Times New Roman" w:hAnsi="Times New Roman"/>
                <w:sz w:val="28"/>
                <w:szCs w:val="28"/>
              </w:rPr>
              <w:t>-</w:t>
            </w:r>
            <w:r w:rsidR="005A5603" w:rsidRPr="00907DCD">
              <w:rPr>
                <w:rFonts w:ascii="Times New Roman" w:hAnsi="Times New Roman"/>
                <w:sz w:val="28"/>
                <w:szCs w:val="28"/>
              </w:rPr>
              <w:t xml:space="preserve"> врегулюванню механізмів здійснення оподаткування податком на додану вартість операцій з постачання послуг нерезидентами на митній території України;</w:t>
            </w:r>
          </w:p>
          <w:p w:rsidR="005A5603" w:rsidRPr="00907DCD" w:rsidRDefault="005A5603" w:rsidP="005A5603">
            <w:pPr>
              <w:ind w:firstLine="5"/>
              <w:jc w:val="both"/>
              <w:rPr>
                <w:rFonts w:ascii="Times New Roman" w:hAnsi="Times New Roman"/>
                <w:sz w:val="28"/>
                <w:szCs w:val="28"/>
              </w:rPr>
            </w:pPr>
            <w:r w:rsidRPr="00907DCD">
              <w:rPr>
                <w:rFonts w:ascii="Times New Roman" w:hAnsi="Times New Roman"/>
                <w:sz w:val="28"/>
                <w:szCs w:val="28"/>
              </w:rPr>
              <w:t>забезпечить створення рівних умов для здійснення господарської діяльності на митній території України для всіх суб’єктів господарювання.</w:t>
            </w:r>
          </w:p>
          <w:p w:rsidR="00946346" w:rsidRPr="00907DCD" w:rsidRDefault="009525E8" w:rsidP="009525E8">
            <w:pPr>
              <w:pBdr>
                <w:top w:val="nil"/>
                <w:left w:val="nil"/>
                <w:bottom w:val="nil"/>
                <w:right w:val="nil"/>
                <w:between w:val="nil"/>
              </w:pBdr>
              <w:spacing w:before="120"/>
              <w:jc w:val="both"/>
              <w:rPr>
                <w:rFonts w:ascii="Times New Roman" w:hAnsi="Times New Roman"/>
                <w:sz w:val="28"/>
                <w:szCs w:val="28"/>
              </w:rPr>
            </w:pPr>
            <w:r w:rsidRPr="00907DCD">
              <w:rPr>
                <w:rFonts w:ascii="Times New Roman" w:hAnsi="Times New Roman"/>
                <w:sz w:val="28"/>
                <w:szCs w:val="28"/>
              </w:rPr>
              <w:t>- відновленню з 1 липня 2023 року можливості проведення документальних перевірок</w:t>
            </w:r>
            <w:r w:rsidR="00946346" w:rsidRPr="00907DCD">
              <w:rPr>
                <w:rFonts w:ascii="Times New Roman" w:hAnsi="Times New Roman"/>
                <w:sz w:val="28"/>
                <w:szCs w:val="28"/>
              </w:rPr>
              <w:t>:</w:t>
            </w:r>
          </w:p>
          <w:p w:rsidR="009525E8" w:rsidRPr="00907DCD" w:rsidRDefault="00946346" w:rsidP="009525E8">
            <w:pPr>
              <w:pBdr>
                <w:top w:val="nil"/>
                <w:left w:val="nil"/>
                <w:bottom w:val="nil"/>
                <w:right w:val="nil"/>
                <w:between w:val="nil"/>
              </w:pBdr>
              <w:spacing w:before="120"/>
              <w:jc w:val="both"/>
              <w:rPr>
                <w:rFonts w:ascii="Times New Roman" w:hAnsi="Times New Roman"/>
                <w:sz w:val="28"/>
                <w:szCs w:val="28"/>
              </w:rPr>
            </w:pPr>
            <w:r w:rsidRPr="00907DCD">
              <w:rPr>
                <w:rFonts w:ascii="Times New Roman" w:hAnsi="Times New Roman"/>
                <w:sz w:val="28"/>
                <w:szCs w:val="28"/>
              </w:rPr>
              <w:t>-</w:t>
            </w:r>
            <w:r w:rsidR="009525E8" w:rsidRPr="00907DCD">
              <w:rPr>
                <w:rFonts w:ascii="Times New Roman" w:hAnsi="Times New Roman"/>
                <w:sz w:val="28"/>
                <w:szCs w:val="28"/>
              </w:rPr>
              <w:t xml:space="preserve"> виконанню </w:t>
            </w:r>
            <w:r w:rsidRPr="00907DCD">
              <w:rPr>
                <w:rFonts w:ascii="Times New Roman" w:hAnsi="Times New Roman"/>
                <w:sz w:val="28"/>
                <w:szCs w:val="28"/>
              </w:rPr>
              <w:t>контролюючими органами в повній мірі функцій</w:t>
            </w:r>
            <w:r w:rsidR="009525E8" w:rsidRPr="00907DCD">
              <w:rPr>
                <w:rFonts w:ascii="Times New Roman" w:hAnsi="Times New Roman"/>
                <w:sz w:val="28"/>
                <w:szCs w:val="28"/>
              </w:rPr>
              <w:t xml:space="preserve"> щодо здійснення</w:t>
            </w:r>
            <w:r w:rsidRPr="00907DCD">
              <w:rPr>
                <w:rFonts w:ascii="Times New Roman" w:hAnsi="Times New Roman"/>
                <w:sz w:val="28"/>
                <w:szCs w:val="28"/>
              </w:rPr>
              <w:t xml:space="preserve"> податкового</w:t>
            </w:r>
            <w:r w:rsidR="009525E8" w:rsidRPr="00907DCD">
              <w:rPr>
                <w:rFonts w:ascii="Times New Roman" w:hAnsi="Times New Roman"/>
                <w:sz w:val="28"/>
                <w:szCs w:val="28"/>
              </w:rPr>
              <w:t xml:space="preserve"> контролю, що позитивно вплине на забезпечення до</w:t>
            </w:r>
            <w:r w:rsidRPr="00907DCD">
              <w:rPr>
                <w:rFonts w:ascii="Times New Roman" w:hAnsi="Times New Roman"/>
                <w:sz w:val="28"/>
                <w:szCs w:val="28"/>
              </w:rPr>
              <w:t>даткових надходжень до бюджету;</w:t>
            </w:r>
          </w:p>
          <w:p w:rsidR="008B6365" w:rsidRPr="00907DCD" w:rsidRDefault="00946346" w:rsidP="00F50415">
            <w:pPr>
              <w:ind w:firstLine="5"/>
              <w:jc w:val="both"/>
              <w:rPr>
                <w:rFonts w:ascii="Times New Roman" w:hAnsi="Times New Roman"/>
                <w:sz w:val="28"/>
                <w:szCs w:val="28"/>
              </w:rPr>
            </w:pPr>
            <w:r w:rsidRPr="00907DCD">
              <w:rPr>
                <w:rFonts w:ascii="Times New Roman" w:hAnsi="Times New Roman"/>
                <w:spacing w:val="1"/>
                <w:sz w:val="28"/>
                <w:szCs w:val="28"/>
                <w:lang w:eastAsia="ru-RU"/>
              </w:rPr>
              <w:t xml:space="preserve">- </w:t>
            </w:r>
            <w:r w:rsidR="00D25A28" w:rsidRPr="00907DCD">
              <w:rPr>
                <w:rFonts w:ascii="Times New Roman" w:hAnsi="Times New Roman"/>
                <w:spacing w:val="1"/>
                <w:sz w:val="28"/>
                <w:szCs w:val="28"/>
                <w:lang w:eastAsia="ru-RU"/>
              </w:rPr>
              <w:t xml:space="preserve">відновленню застосування штрафів </w:t>
            </w:r>
            <w:r w:rsidR="00D25A28" w:rsidRPr="00907DCD">
              <w:rPr>
                <w:rFonts w:ascii="Times New Roman" w:hAnsi="Times New Roman"/>
                <w:sz w:val="28"/>
                <w:szCs w:val="28"/>
              </w:rPr>
              <w:t xml:space="preserve">за порушення порядку використання РРО/ПРРО, що стимулюватиме суб’єктів господарювання до </w:t>
            </w:r>
            <w:r w:rsidR="00D25A28" w:rsidRPr="00907DCD">
              <w:rPr>
                <w:rFonts w:ascii="Times New Roman" w:hAnsi="Times New Roman"/>
                <w:spacing w:val="1"/>
                <w:sz w:val="28"/>
                <w:szCs w:val="28"/>
                <w:lang w:eastAsia="ru-RU"/>
              </w:rPr>
              <w:t xml:space="preserve">дотримання ними вимог </w:t>
            </w:r>
            <w:r w:rsidR="00D25A28" w:rsidRPr="00907DCD">
              <w:rPr>
                <w:rFonts w:ascii="Times New Roman" w:hAnsi="Times New Roman"/>
                <w:sz w:val="28"/>
                <w:szCs w:val="28"/>
              </w:rPr>
              <w:t>порядку використання РРО/ПРРО та книг обліку розрахункових операцій.</w:t>
            </w:r>
          </w:p>
        </w:tc>
        <w:tc>
          <w:tcPr>
            <w:tcW w:w="2545" w:type="dxa"/>
            <w:tcBorders>
              <w:top w:val="single" w:sz="4" w:space="0" w:color="auto"/>
              <w:left w:val="single" w:sz="4" w:space="0" w:color="auto"/>
              <w:bottom w:val="single" w:sz="4" w:space="0" w:color="auto"/>
              <w:right w:val="single" w:sz="4" w:space="0" w:color="auto"/>
            </w:tcBorders>
            <w:hideMark/>
          </w:tcPr>
          <w:p w:rsidR="005A5603" w:rsidRPr="00332B1B" w:rsidRDefault="005A5603" w:rsidP="005A5603">
            <w:pPr>
              <w:jc w:val="center"/>
              <w:rPr>
                <w:rFonts w:ascii="Times New Roman" w:hAnsi="Times New Roman"/>
                <w:sz w:val="28"/>
                <w:szCs w:val="28"/>
                <w:lang w:eastAsia="uk-UA"/>
              </w:rPr>
            </w:pPr>
            <w:r w:rsidRPr="00332B1B">
              <w:rPr>
                <w:rFonts w:ascii="Times New Roman" w:hAnsi="Times New Roman"/>
                <w:sz w:val="28"/>
                <w:szCs w:val="28"/>
                <w:lang w:eastAsia="uk-UA"/>
              </w:rPr>
              <w:t>Х</w:t>
            </w:r>
          </w:p>
        </w:tc>
      </w:tr>
    </w:tbl>
    <w:p w:rsidR="005A5603" w:rsidRDefault="005A5603" w:rsidP="00C831EB">
      <w:pPr>
        <w:widowControl w:val="0"/>
        <w:jc w:val="both"/>
        <w:rPr>
          <w:sz w:val="28"/>
          <w:szCs w:val="28"/>
          <w:highlight w:val="white"/>
        </w:rPr>
      </w:pPr>
    </w:p>
    <w:p w:rsidR="00E8321F" w:rsidRPr="00860CF0" w:rsidRDefault="00E8321F" w:rsidP="00E8321F">
      <w:pPr>
        <w:ind w:firstLine="567"/>
        <w:jc w:val="both"/>
        <w:rPr>
          <w:b/>
          <w:i/>
          <w:sz w:val="28"/>
          <w:szCs w:val="28"/>
        </w:rPr>
      </w:pPr>
      <w:r w:rsidRPr="00860CF0">
        <w:rPr>
          <w:b/>
          <w:i/>
          <w:sz w:val="28"/>
          <w:szCs w:val="28"/>
        </w:rPr>
        <w:t xml:space="preserve">В частині </w:t>
      </w:r>
      <w:r>
        <w:rPr>
          <w:b/>
          <w:i/>
          <w:sz w:val="28"/>
          <w:szCs w:val="28"/>
        </w:rPr>
        <w:t xml:space="preserve">скасування з </w:t>
      </w:r>
      <w:r w:rsidRPr="00860CF0">
        <w:rPr>
          <w:b/>
          <w:i/>
          <w:sz w:val="28"/>
          <w:szCs w:val="28"/>
        </w:rPr>
        <w:t xml:space="preserve">01 липня 2023 року дії норм </w:t>
      </w:r>
      <w:r>
        <w:rPr>
          <w:b/>
          <w:i/>
          <w:sz w:val="28"/>
          <w:szCs w:val="28"/>
        </w:rPr>
        <w:t>щодо</w:t>
      </w:r>
      <w:r w:rsidRPr="00860CF0">
        <w:rPr>
          <w:b/>
          <w:i/>
          <w:sz w:val="28"/>
          <w:szCs w:val="28"/>
        </w:rPr>
        <w:t>:</w:t>
      </w:r>
    </w:p>
    <w:p w:rsidR="00E8321F" w:rsidRPr="00860CF0" w:rsidRDefault="00E8321F" w:rsidP="00E8321F">
      <w:pPr>
        <w:ind w:firstLine="567"/>
        <w:jc w:val="both"/>
        <w:rPr>
          <w:b/>
          <w:i/>
          <w:sz w:val="28"/>
          <w:szCs w:val="28"/>
        </w:rPr>
      </w:pPr>
      <w:r>
        <w:rPr>
          <w:b/>
          <w:i/>
          <w:sz w:val="28"/>
          <w:szCs w:val="28"/>
        </w:rPr>
        <w:t>м</w:t>
      </w:r>
      <w:r w:rsidRPr="00860CF0">
        <w:rPr>
          <w:b/>
          <w:i/>
          <w:sz w:val="28"/>
          <w:szCs w:val="28"/>
        </w:rPr>
        <w:t>ожлив</w:t>
      </w:r>
      <w:r>
        <w:rPr>
          <w:b/>
          <w:i/>
          <w:sz w:val="28"/>
          <w:szCs w:val="28"/>
        </w:rPr>
        <w:t xml:space="preserve">ості </w:t>
      </w:r>
      <w:r w:rsidRPr="00860CF0">
        <w:rPr>
          <w:b/>
          <w:i/>
          <w:sz w:val="28"/>
          <w:szCs w:val="28"/>
        </w:rPr>
        <w:t xml:space="preserve">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p>
    <w:p w:rsidR="00E8321F" w:rsidRDefault="00E8321F" w:rsidP="00E8321F">
      <w:pPr>
        <w:ind w:firstLine="567"/>
        <w:jc w:val="both"/>
        <w:rPr>
          <w:b/>
          <w:i/>
          <w:sz w:val="28"/>
          <w:szCs w:val="28"/>
        </w:rPr>
      </w:pPr>
      <w:r w:rsidRPr="00860CF0">
        <w:rPr>
          <w:b/>
          <w:i/>
          <w:sz w:val="28"/>
          <w:szCs w:val="28"/>
        </w:rPr>
        <w:t>можлив</w:t>
      </w:r>
      <w:r>
        <w:rPr>
          <w:b/>
          <w:i/>
          <w:sz w:val="28"/>
          <w:szCs w:val="28"/>
        </w:rPr>
        <w:t>ості</w:t>
      </w:r>
      <w:r w:rsidRPr="00860CF0">
        <w:rPr>
          <w:b/>
          <w:i/>
          <w:sz w:val="28"/>
          <w:szCs w:val="28"/>
        </w:rPr>
        <w:t xml:space="preserve"> для фізичних осіб – підприємців платників єдиного податку І та ІІ груп не сплачувати єдиний податок;</w:t>
      </w:r>
    </w:p>
    <w:p w:rsidR="008C5730" w:rsidRDefault="00E8321F" w:rsidP="00E8321F">
      <w:pPr>
        <w:widowControl w:val="0"/>
        <w:ind w:firstLine="567"/>
        <w:jc w:val="both"/>
        <w:rPr>
          <w:b/>
          <w:i/>
          <w:sz w:val="28"/>
          <w:szCs w:val="28"/>
        </w:rPr>
      </w:pPr>
      <w:r>
        <w:rPr>
          <w:b/>
          <w:i/>
          <w:sz w:val="28"/>
          <w:szCs w:val="28"/>
        </w:rPr>
        <w:t>не</w:t>
      </w:r>
      <w:r w:rsidRPr="00860CF0">
        <w:rPr>
          <w:b/>
          <w:i/>
          <w:sz w:val="28"/>
          <w:szCs w:val="28"/>
        </w:rPr>
        <w:t xml:space="preserve">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r>
        <w:rPr>
          <w:b/>
          <w:i/>
          <w:sz w:val="28"/>
          <w:szCs w:val="28"/>
        </w:rPr>
        <w:t>.</w:t>
      </w:r>
    </w:p>
    <w:p w:rsidR="008C5730" w:rsidRDefault="008C5730" w:rsidP="008C5730">
      <w:pPr>
        <w:widowControl w:val="0"/>
        <w:ind w:firstLine="567"/>
        <w:jc w:val="both"/>
        <w:rPr>
          <w:b/>
          <w:i/>
          <w:sz w:val="28"/>
          <w:szCs w:val="28"/>
        </w:rPr>
      </w:pPr>
    </w:p>
    <w:tbl>
      <w:tblPr>
        <w:tblStyle w:val="1f"/>
        <w:tblW w:w="9857" w:type="dxa"/>
        <w:tblInd w:w="0" w:type="dxa"/>
        <w:tblBorders>
          <w:top w:val="single" w:sz="6" w:space="0" w:color="000000"/>
          <w:left w:val="single" w:sz="6" w:space="0" w:color="000000"/>
          <w:bottom w:val="single" w:sz="6" w:space="0" w:color="000000"/>
          <w:right w:val="single" w:sz="6" w:space="0" w:color="000000"/>
          <w:insideH w:val="none" w:sz="0" w:space="0" w:color="000000"/>
          <w:insideV w:val="none" w:sz="0" w:space="0" w:color="000000"/>
        </w:tblBorders>
        <w:tblLayout w:type="fixed"/>
        <w:tblLook w:val="0000" w:firstRow="0" w:lastRow="0" w:firstColumn="0" w:lastColumn="0" w:noHBand="0" w:noVBand="0"/>
      </w:tblPr>
      <w:tblGrid>
        <w:gridCol w:w="2119"/>
        <w:gridCol w:w="1975"/>
        <w:gridCol w:w="5763"/>
      </w:tblGrid>
      <w:tr w:rsidR="008C5730" w:rsidRPr="00907DCD" w:rsidTr="008C5730">
        <w:tc>
          <w:tcPr>
            <w:tcW w:w="2119" w:type="dxa"/>
            <w:tcBorders>
              <w:top w:val="single" w:sz="6" w:space="0" w:color="000000"/>
              <w:left w:val="single" w:sz="6" w:space="0" w:color="000000"/>
              <w:bottom w:val="single" w:sz="6" w:space="0" w:color="000000"/>
              <w:right w:val="single" w:sz="6" w:space="0" w:color="000000"/>
            </w:tcBorders>
            <w:vAlign w:val="center"/>
          </w:tcPr>
          <w:p w:rsidR="008C5730" w:rsidRPr="00907DCD" w:rsidRDefault="008C5730" w:rsidP="008C5730">
            <w:pPr>
              <w:pBdr>
                <w:top w:val="nil"/>
                <w:left w:val="nil"/>
                <w:bottom w:val="nil"/>
                <w:right w:val="nil"/>
                <w:between w:val="nil"/>
              </w:pBdr>
              <w:jc w:val="center"/>
              <w:rPr>
                <w:sz w:val="28"/>
                <w:szCs w:val="24"/>
              </w:rPr>
            </w:pPr>
            <w:r w:rsidRPr="00907DCD">
              <w:rPr>
                <w:sz w:val="28"/>
                <w:szCs w:val="24"/>
              </w:rPr>
              <w:lastRenderedPageBreak/>
              <w:t>Рейтинг результатив-ності (досягнення цілей під час вирішення проблеми)</w:t>
            </w:r>
          </w:p>
        </w:tc>
        <w:tc>
          <w:tcPr>
            <w:tcW w:w="1975" w:type="dxa"/>
            <w:tcBorders>
              <w:top w:val="single" w:sz="6" w:space="0" w:color="000000"/>
              <w:left w:val="single" w:sz="6" w:space="0" w:color="000000"/>
              <w:bottom w:val="single" w:sz="6" w:space="0" w:color="000000"/>
              <w:right w:val="single" w:sz="6" w:space="0" w:color="000000"/>
            </w:tcBorders>
            <w:vAlign w:val="center"/>
          </w:tcPr>
          <w:p w:rsidR="008C5730" w:rsidRPr="00907DCD" w:rsidRDefault="008C5730" w:rsidP="008C5730">
            <w:pPr>
              <w:pBdr>
                <w:top w:val="nil"/>
                <w:left w:val="nil"/>
                <w:bottom w:val="nil"/>
                <w:right w:val="nil"/>
                <w:between w:val="nil"/>
              </w:pBdr>
              <w:ind w:left="-45"/>
              <w:jc w:val="center"/>
              <w:rPr>
                <w:sz w:val="28"/>
                <w:szCs w:val="24"/>
              </w:rPr>
            </w:pPr>
            <w:r w:rsidRPr="00907DCD">
              <w:rPr>
                <w:sz w:val="28"/>
                <w:szCs w:val="24"/>
              </w:rPr>
              <w:t>Бал результатив-ності (за чотирибаль-ною системою оцінки)</w:t>
            </w:r>
          </w:p>
        </w:tc>
        <w:tc>
          <w:tcPr>
            <w:tcW w:w="5763" w:type="dxa"/>
            <w:tcBorders>
              <w:top w:val="single" w:sz="6" w:space="0" w:color="000000"/>
              <w:left w:val="single" w:sz="6" w:space="0" w:color="000000"/>
              <w:bottom w:val="single" w:sz="8" w:space="0" w:color="000000"/>
              <w:right w:val="single" w:sz="6" w:space="0" w:color="000000"/>
            </w:tcBorders>
            <w:vAlign w:val="center"/>
          </w:tcPr>
          <w:p w:rsidR="008C5730" w:rsidRPr="00907DCD" w:rsidRDefault="008C5730" w:rsidP="008C5730">
            <w:pPr>
              <w:pBdr>
                <w:top w:val="nil"/>
                <w:left w:val="nil"/>
                <w:bottom w:val="nil"/>
                <w:right w:val="nil"/>
                <w:between w:val="nil"/>
              </w:pBdr>
              <w:jc w:val="center"/>
              <w:rPr>
                <w:sz w:val="28"/>
                <w:szCs w:val="24"/>
              </w:rPr>
            </w:pPr>
            <w:r w:rsidRPr="00907DCD">
              <w:rPr>
                <w:sz w:val="28"/>
                <w:szCs w:val="24"/>
              </w:rPr>
              <w:t>Коментарі щодо присвоєння відповідного бала</w:t>
            </w:r>
          </w:p>
        </w:tc>
      </w:tr>
      <w:tr w:rsidR="008C5730" w:rsidRPr="00907DCD" w:rsidTr="008C5730">
        <w:tc>
          <w:tcPr>
            <w:tcW w:w="2119" w:type="dxa"/>
            <w:tcBorders>
              <w:top w:val="single" w:sz="6" w:space="0" w:color="000000"/>
              <w:left w:val="single" w:sz="6" w:space="0" w:color="000000"/>
              <w:bottom w:val="single" w:sz="6" w:space="0" w:color="000000"/>
              <w:right w:val="single" w:sz="6" w:space="0" w:color="000000"/>
            </w:tcBorders>
          </w:tcPr>
          <w:p w:rsidR="008C5730" w:rsidRPr="00907DCD" w:rsidRDefault="008C5730" w:rsidP="008C5730">
            <w:pPr>
              <w:pBdr>
                <w:top w:val="nil"/>
                <w:left w:val="nil"/>
                <w:bottom w:val="nil"/>
                <w:right w:val="nil"/>
                <w:between w:val="nil"/>
              </w:pBdr>
              <w:rPr>
                <w:sz w:val="28"/>
                <w:szCs w:val="24"/>
              </w:rPr>
            </w:pPr>
            <w:r w:rsidRPr="00907DCD">
              <w:rPr>
                <w:sz w:val="28"/>
                <w:szCs w:val="24"/>
              </w:rPr>
              <w:t>Альтернатива 1</w:t>
            </w:r>
          </w:p>
        </w:tc>
        <w:tc>
          <w:tcPr>
            <w:tcW w:w="1975" w:type="dxa"/>
            <w:tcBorders>
              <w:top w:val="single" w:sz="6" w:space="0" w:color="000000"/>
              <w:left w:val="single" w:sz="6" w:space="0" w:color="000000"/>
              <w:bottom w:val="single" w:sz="6" w:space="0" w:color="000000"/>
              <w:right w:val="single" w:sz="8" w:space="0" w:color="000000"/>
            </w:tcBorders>
          </w:tcPr>
          <w:p w:rsidR="008C5730" w:rsidRPr="00907DCD" w:rsidRDefault="008C5730" w:rsidP="008C5730">
            <w:pPr>
              <w:pBdr>
                <w:top w:val="nil"/>
                <w:left w:val="nil"/>
                <w:bottom w:val="nil"/>
                <w:right w:val="nil"/>
                <w:between w:val="nil"/>
              </w:pBdr>
              <w:jc w:val="center"/>
              <w:rPr>
                <w:sz w:val="28"/>
                <w:szCs w:val="24"/>
              </w:rPr>
            </w:pPr>
            <w:r w:rsidRPr="00907DCD">
              <w:rPr>
                <w:sz w:val="28"/>
                <w:szCs w:val="24"/>
              </w:rPr>
              <w:t>1</w:t>
            </w:r>
          </w:p>
        </w:tc>
        <w:tc>
          <w:tcPr>
            <w:tcW w:w="5763" w:type="dxa"/>
            <w:tcBorders>
              <w:top w:val="single" w:sz="8" w:space="0" w:color="000000"/>
              <w:left w:val="single" w:sz="8" w:space="0" w:color="000000"/>
              <w:bottom w:val="single" w:sz="8" w:space="0" w:color="000000"/>
              <w:right w:val="single" w:sz="8" w:space="0" w:color="000000"/>
            </w:tcBorders>
          </w:tcPr>
          <w:p w:rsidR="008C5730" w:rsidRPr="00907DCD" w:rsidRDefault="008C5730" w:rsidP="008C5730">
            <w:pPr>
              <w:widowControl w:val="0"/>
              <w:jc w:val="both"/>
              <w:rPr>
                <w:sz w:val="28"/>
                <w:szCs w:val="27"/>
              </w:rPr>
            </w:pPr>
            <w:r w:rsidRPr="00907DCD">
              <w:rPr>
                <w:sz w:val="28"/>
                <w:szCs w:val="27"/>
              </w:rPr>
              <w:t>Очікувані втрати:</w:t>
            </w:r>
          </w:p>
          <w:p w:rsidR="008C5730" w:rsidRPr="00907DCD" w:rsidRDefault="008C5730" w:rsidP="008C5730">
            <w:pPr>
              <w:widowControl w:val="0"/>
              <w:ind w:firstLine="231"/>
              <w:jc w:val="both"/>
              <w:rPr>
                <w:sz w:val="28"/>
                <w:szCs w:val="27"/>
              </w:rPr>
            </w:pPr>
            <w:r w:rsidRPr="00907DCD">
              <w:rPr>
                <w:sz w:val="28"/>
                <w:szCs w:val="27"/>
              </w:rPr>
              <w:t xml:space="preserve">державного бюджету від недоотримання податку на прибуток підприємств за ставкою 18% </w:t>
            </w:r>
            <w:r w:rsidR="00D7372C" w:rsidRPr="00907DCD">
              <w:rPr>
                <w:sz w:val="28"/>
                <w:szCs w:val="27"/>
              </w:rPr>
              <w:t xml:space="preserve">та єдиного податку ІІІ групи зі сплатою податку за ставкою 5 відсотків  </w:t>
            </w:r>
            <w:r w:rsidRPr="00907DCD">
              <w:rPr>
                <w:sz w:val="28"/>
                <w:szCs w:val="27"/>
              </w:rPr>
              <w:t>від переходу зазна</w:t>
            </w:r>
            <w:r w:rsidR="00D7372C" w:rsidRPr="00907DCD">
              <w:rPr>
                <w:sz w:val="28"/>
                <w:szCs w:val="27"/>
              </w:rPr>
              <w:t>чених</w:t>
            </w:r>
            <w:r w:rsidRPr="00907DCD">
              <w:rPr>
                <w:sz w:val="28"/>
                <w:szCs w:val="27"/>
              </w:rPr>
              <w:t xml:space="preserve"> груп платників на сплату єдиного податку за ставкою 2%;</w:t>
            </w:r>
          </w:p>
          <w:p w:rsidR="008C5730" w:rsidRPr="00907DCD" w:rsidRDefault="008C5730" w:rsidP="00E96711">
            <w:pPr>
              <w:widowControl w:val="0"/>
              <w:ind w:firstLine="231"/>
              <w:jc w:val="both"/>
              <w:rPr>
                <w:sz w:val="28"/>
                <w:szCs w:val="27"/>
              </w:rPr>
            </w:pPr>
            <w:r w:rsidRPr="00907DCD">
              <w:rPr>
                <w:sz w:val="28"/>
                <w:szCs w:val="27"/>
              </w:rPr>
              <w:t>місцевих бюджетів в частині недоотримання  податку на доходи фізичних осіб та єдиного податку від фізичних осіб – підприємців;</w:t>
            </w:r>
          </w:p>
          <w:p w:rsidR="008C5730" w:rsidRPr="00907DCD" w:rsidRDefault="008C5730" w:rsidP="00E96711">
            <w:pPr>
              <w:widowControl w:val="0"/>
              <w:ind w:firstLine="231"/>
              <w:jc w:val="both"/>
              <w:rPr>
                <w:sz w:val="28"/>
                <w:szCs w:val="27"/>
              </w:rPr>
            </w:pPr>
            <w:r w:rsidRPr="00907DCD">
              <w:rPr>
                <w:sz w:val="28"/>
                <w:szCs w:val="27"/>
              </w:rPr>
              <w:t xml:space="preserve"> місцевих бюджетів в частині недоотримання єдиного податку від фізичних осіб – підприємців платників єдиного податку І та ІІ груп.</w:t>
            </w:r>
          </w:p>
          <w:p w:rsidR="008C5730" w:rsidRPr="00907DCD" w:rsidRDefault="008C5730" w:rsidP="00E96711">
            <w:pPr>
              <w:ind w:firstLine="231"/>
              <w:jc w:val="both"/>
              <w:rPr>
                <w:sz w:val="28"/>
                <w:szCs w:val="24"/>
              </w:rPr>
            </w:pPr>
            <w:r w:rsidRPr="00907DCD">
              <w:rPr>
                <w:sz w:val="28"/>
                <w:szCs w:val="28"/>
              </w:rPr>
              <w:t xml:space="preserve">Неможливість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 </w:t>
            </w:r>
          </w:p>
          <w:p w:rsidR="008C5730" w:rsidRPr="00907DCD" w:rsidRDefault="008C5730" w:rsidP="008C5730">
            <w:pPr>
              <w:widowControl w:val="0"/>
              <w:ind w:firstLine="231"/>
              <w:jc w:val="both"/>
              <w:rPr>
                <w:sz w:val="28"/>
                <w:szCs w:val="27"/>
              </w:rPr>
            </w:pPr>
          </w:p>
        </w:tc>
      </w:tr>
      <w:tr w:rsidR="008C5730" w:rsidRPr="00B22D31" w:rsidTr="008C5730">
        <w:tc>
          <w:tcPr>
            <w:tcW w:w="2119" w:type="dxa"/>
            <w:tcBorders>
              <w:top w:val="single" w:sz="6" w:space="0" w:color="000000"/>
              <w:left w:val="single" w:sz="6" w:space="0" w:color="000000"/>
              <w:bottom w:val="single" w:sz="6" w:space="0" w:color="000000"/>
              <w:right w:val="single" w:sz="6" w:space="0" w:color="000000"/>
            </w:tcBorders>
          </w:tcPr>
          <w:p w:rsidR="008C5730" w:rsidRPr="00907DCD" w:rsidRDefault="008C5730" w:rsidP="008C5730">
            <w:pPr>
              <w:rPr>
                <w:sz w:val="28"/>
                <w:szCs w:val="24"/>
              </w:rPr>
            </w:pPr>
            <w:r w:rsidRPr="00907DCD">
              <w:rPr>
                <w:sz w:val="28"/>
                <w:szCs w:val="24"/>
              </w:rPr>
              <w:t xml:space="preserve">Альтернатива 2 </w:t>
            </w:r>
          </w:p>
        </w:tc>
        <w:tc>
          <w:tcPr>
            <w:tcW w:w="1975" w:type="dxa"/>
            <w:tcBorders>
              <w:top w:val="single" w:sz="6" w:space="0" w:color="000000"/>
              <w:left w:val="single" w:sz="6" w:space="0" w:color="000000"/>
              <w:bottom w:val="single" w:sz="6" w:space="0" w:color="000000"/>
              <w:right w:val="single" w:sz="6" w:space="0" w:color="000000"/>
            </w:tcBorders>
          </w:tcPr>
          <w:p w:rsidR="008C5730" w:rsidRPr="00907DCD" w:rsidRDefault="008C5730" w:rsidP="008C5730">
            <w:pPr>
              <w:jc w:val="center"/>
              <w:rPr>
                <w:sz w:val="28"/>
                <w:szCs w:val="24"/>
              </w:rPr>
            </w:pPr>
            <w:r w:rsidRPr="00907DCD">
              <w:rPr>
                <w:sz w:val="28"/>
                <w:szCs w:val="24"/>
              </w:rPr>
              <w:t>4</w:t>
            </w:r>
          </w:p>
        </w:tc>
        <w:tc>
          <w:tcPr>
            <w:tcW w:w="5763" w:type="dxa"/>
            <w:tcBorders>
              <w:top w:val="single" w:sz="8" w:space="0" w:color="000000"/>
            </w:tcBorders>
          </w:tcPr>
          <w:p w:rsidR="008C5730" w:rsidRPr="00907DCD" w:rsidRDefault="008C5730" w:rsidP="008C5730">
            <w:pPr>
              <w:jc w:val="both"/>
              <w:rPr>
                <w:sz w:val="28"/>
                <w:szCs w:val="27"/>
              </w:rPr>
            </w:pPr>
            <w:r w:rsidRPr="00907DCD">
              <w:rPr>
                <w:sz w:val="28"/>
                <w:szCs w:val="24"/>
              </w:rPr>
              <w:t xml:space="preserve">Забезпечує </w:t>
            </w:r>
            <w:r w:rsidRPr="00907DCD">
              <w:rPr>
                <w:sz w:val="28"/>
                <w:szCs w:val="28"/>
              </w:rPr>
              <w:t xml:space="preserve">відновлення </w:t>
            </w:r>
            <w:r w:rsidRPr="00907DCD">
              <w:rPr>
                <w:sz w:val="28"/>
                <w:szCs w:val="27"/>
              </w:rPr>
              <w:t>надходження до:</w:t>
            </w:r>
          </w:p>
          <w:p w:rsidR="008C5730" w:rsidRPr="00907DCD" w:rsidRDefault="008C5730" w:rsidP="008C5730">
            <w:pPr>
              <w:ind w:firstLine="231"/>
              <w:jc w:val="both"/>
              <w:rPr>
                <w:sz w:val="28"/>
                <w:szCs w:val="27"/>
              </w:rPr>
            </w:pPr>
            <w:r w:rsidRPr="00907DCD">
              <w:rPr>
                <w:sz w:val="28"/>
                <w:szCs w:val="27"/>
              </w:rPr>
              <w:t>державного бюджету податку на прибуток підприємств</w:t>
            </w:r>
            <w:r w:rsidR="00D7372C" w:rsidRPr="00907DCD">
              <w:t xml:space="preserve"> </w:t>
            </w:r>
            <w:r w:rsidR="00D7372C" w:rsidRPr="00907DCD">
              <w:rPr>
                <w:sz w:val="28"/>
                <w:szCs w:val="27"/>
              </w:rPr>
              <w:t>та єдиного податку ІІІ групи зі сплатою податку за ставкою 5 відсотків</w:t>
            </w:r>
            <w:r w:rsidRPr="00907DCD">
              <w:rPr>
                <w:sz w:val="28"/>
                <w:szCs w:val="27"/>
              </w:rPr>
              <w:t>;</w:t>
            </w:r>
          </w:p>
          <w:p w:rsidR="008C5730" w:rsidRPr="00907DCD" w:rsidRDefault="008C5730" w:rsidP="008C5730">
            <w:pPr>
              <w:ind w:firstLine="231"/>
              <w:jc w:val="both"/>
              <w:rPr>
                <w:sz w:val="28"/>
                <w:szCs w:val="27"/>
              </w:rPr>
            </w:pPr>
            <w:r w:rsidRPr="00907DCD">
              <w:rPr>
                <w:sz w:val="28"/>
                <w:szCs w:val="27"/>
              </w:rPr>
              <w:t>місцевих бюджетів в частині недоотримання  податку на доходи фізичних осіб та єдиного податку від фізичних осіб – підприємців;</w:t>
            </w:r>
          </w:p>
          <w:p w:rsidR="008C5730" w:rsidRPr="00907DCD" w:rsidRDefault="008C5730" w:rsidP="008C5730">
            <w:pPr>
              <w:ind w:firstLine="231"/>
              <w:jc w:val="both"/>
              <w:rPr>
                <w:sz w:val="28"/>
                <w:szCs w:val="27"/>
              </w:rPr>
            </w:pPr>
            <w:r w:rsidRPr="00907DCD">
              <w:rPr>
                <w:sz w:val="28"/>
                <w:szCs w:val="27"/>
              </w:rPr>
              <w:t>місцевих бюджетів в частині отримання єдиного податку від фізичних осіб – підприємців платників єдиного податку І та ІІ груп.</w:t>
            </w:r>
          </w:p>
          <w:p w:rsidR="008C5730" w:rsidRPr="00907DCD" w:rsidRDefault="008C5730" w:rsidP="008C5730">
            <w:pPr>
              <w:ind w:firstLine="231"/>
              <w:jc w:val="both"/>
              <w:rPr>
                <w:sz w:val="28"/>
                <w:szCs w:val="27"/>
              </w:rPr>
            </w:pPr>
            <w:r w:rsidRPr="00907DCD">
              <w:rPr>
                <w:sz w:val="28"/>
                <w:szCs w:val="27"/>
              </w:rPr>
              <w:t>Відновлення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p>
        </w:tc>
      </w:tr>
    </w:tbl>
    <w:p w:rsidR="008C5730" w:rsidRDefault="008C5730" w:rsidP="008C5730">
      <w:pPr>
        <w:widowControl w:val="0"/>
        <w:ind w:firstLine="567"/>
        <w:jc w:val="both"/>
        <w:rPr>
          <w:b/>
          <w:i/>
          <w:sz w:val="28"/>
          <w:szCs w:val="28"/>
        </w:rPr>
      </w:pPr>
    </w:p>
    <w:tbl>
      <w:tblPr>
        <w:tblStyle w:val="1f"/>
        <w:tblW w:w="981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0"/>
        <w:gridCol w:w="2201"/>
        <w:gridCol w:w="2389"/>
        <w:gridCol w:w="2966"/>
      </w:tblGrid>
      <w:tr w:rsidR="008D098E" w:rsidRPr="00907DCD" w:rsidTr="00907DCD">
        <w:tc>
          <w:tcPr>
            <w:tcW w:w="2260" w:type="dxa"/>
            <w:shd w:val="clear" w:color="auto" w:fill="auto"/>
          </w:tcPr>
          <w:p w:rsidR="008D098E" w:rsidRPr="00907DCD" w:rsidRDefault="008D098E" w:rsidP="00296A22">
            <w:pPr>
              <w:pBdr>
                <w:top w:val="nil"/>
                <w:left w:val="nil"/>
                <w:bottom w:val="nil"/>
                <w:right w:val="nil"/>
                <w:between w:val="nil"/>
              </w:pBdr>
              <w:jc w:val="center"/>
              <w:rPr>
                <w:spacing w:val="-6"/>
                <w:sz w:val="28"/>
                <w:szCs w:val="24"/>
              </w:rPr>
            </w:pPr>
            <w:r w:rsidRPr="00907DCD">
              <w:rPr>
                <w:spacing w:val="-6"/>
                <w:sz w:val="28"/>
                <w:szCs w:val="24"/>
              </w:rPr>
              <w:lastRenderedPageBreak/>
              <w:t>Рейтинг результативності</w:t>
            </w:r>
          </w:p>
        </w:tc>
        <w:tc>
          <w:tcPr>
            <w:tcW w:w="2201" w:type="dxa"/>
            <w:shd w:val="clear" w:color="auto" w:fill="auto"/>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Вигоди (підсумок), млрд грн</w:t>
            </w:r>
          </w:p>
        </w:tc>
        <w:tc>
          <w:tcPr>
            <w:tcW w:w="2389" w:type="dxa"/>
            <w:shd w:val="clear" w:color="auto" w:fill="auto"/>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Витрати (підсумок),</w:t>
            </w:r>
          </w:p>
          <w:p w:rsidR="008D098E" w:rsidRPr="00907DCD" w:rsidRDefault="008D098E" w:rsidP="00296A22">
            <w:pPr>
              <w:pBdr>
                <w:top w:val="nil"/>
                <w:left w:val="nil"/>
                <w:bottom w:val="nil"/>
                <w:right w:val="nil"/>
                <w:between w:val="nil"/>
              </w:pBdr>
              <w:jc w:val="center"/>
              <w:rPr>
                <w:sz w:val="28"/>
                <w:szCs w:val="24"/>
              </w:rPr>
            </w:pPr>
            <w:r w:rsidRPr="00907DCD">
              <w:rPr>
                <w:sz w:val="28"/>
                <w:szCs w:val="24"/>
              </w:rPr>
              <w:t>млрд грн</w:t>
            </w:r>
          </w:p>
        </w:tc>
        <w:tc>
          <w:tcPr>
            <w:tcW w:w="2966" w:type="dxa"/>
            <w:shd w:val="clear" w:color="auto" w:fill="auto"/>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Обґрунтування відповідного місця альтернативи у рейтингу</w:t>
            </w:r>
          </w:p>
        </w:tc>
      </w:tr>
      <w:tr w:rsidR="008D098E" w:rsidRPr="00907DCD" w:rsidTr="00907DCD">
        <w:tc>
          <w:tcPr>
            <w:tcW w:w="2260" w:type="dxa"/>
            <w:vMerge w:val="restart"/>
            <w:tcBorders>
              <w:top w:val="single" w:sz="6" w:space="0" w:color="000000"/>
              <w:left w:val="single" w:sz="6" w:space="0" w:color="000000"/>
              <w:right w:val="single" w:sz="6" w:space="0" w:color="000000"/>
            </w:tcBorders>
            <w:shd w:val="clear" w:color="auto" w:fill="auto"/>
          </w:tcPr>
          <w:p w:rsidR="008D098E" w:rsidRPr="00907DCD" w:rsidRDefault="008D098E" w:rsidP="00296A22">
            <w:pPr>
              <w:jc w:val="center"/>
              <w:rPr>
                <w:sz w:val="28"/>
                <w:szCs w:val="24"/>
              </w:rPr>
            </w:pPr>
            <w:r w:rsidRPr="00907DCD">
              <w:rPr>
                <w:sz w:val="28"/>
                <w:szCs w:val="24"/>
              </w:rPr>
              <w:t>Альтернатива 1</w:t>
            </w:r>
          </w:p>
        </w:tc>
        <w:tc>
          <w:tcPr>
            <w:tcW w:w="2201" w:type="dxa"/>
            <w:shd w:val="clear" w:color="auto" w:fill="auto"/>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w:t>
            </w:r>
          </w:p>
        </w:tc>
        <w:tc>
          <w:tcPr>
            <w:tcW w:w="23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both"/>
              <w:rPr>
                <w:sz w:val="28"/>
                <w:szCs w:val="24"/>
              </w:rPr>
            </w:pPr>
            <w:r w:rsidRPr="00907DCD">
              <w:rPr>
                <w:sz w:val="28"/>
                <w:szCs w:val="24"/>
              </w:rPr>
              <w:t>3,6*</w:t>
            </w:r>
          </w:p>
        </w:tc>
        <w:tc>
          <w:tcPr>
            <w:tcW w:w="296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Найгірше</w:t>
            </w:r>
          </w:p>
        </w:tc>
      </w:tr>
      <w:tr w:rsidR="008D098E" w:rsidRPr="00907DCD" w:rsidTr="00907DCD">
        <w:tc>
          <w:tcPr>
            <w:tcW w:w="2260" w:type="dxa"/>
            <w:vMerge/>
            <w:tcBorders>
              <w:top w:val="single" w:sz="6" w:space="0" w:color="000000"/>
              <w:left w:val="single" w:sz="6" w:space="0" w:color="000000"/>
              <w:right w:val="single" w:sz="6" w:space="0" w:color="000000"/>
            </w:tcBorders>
            <w:shd w:val="clear" w:color="auto" w:fill="auto"/>
          </w:tcPr>
          <w:p w:rsidR="008D098E" w:rsidRPr="00907DCD" w:rsidRDefault="008D098E" w:rsidP="00296A22">
            <w:pPr>
              <w:jc w:val="center"/>
              <w:rPr>
                <w:sz w:val="28"/>
                <w:szCs w:val="24"/>
              </w:rPr>
            </w:pPr>
          </w:p>
        </w:tc>
        <w:tc>
          <w:tcPr>
            <w:tcW w:w="2201" w:type="dxa"/>
            <w:shd w:val="clear" w:color="auto" w:fill="auto"/>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w:t>
            </w:r>
          </w:p>
        </w:tc>
        <w:tc>
          <w:tcPr>
            <w:tcW w:w="23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080D0F" w:rsidP="00296A22">
            <w:pPr>
              <w:pBdr>
                <w:top w:val="nil"/>
                <w:left w:val="nil"/>
                <w:bottom w:val="nil"/>
                <w:right w:val="nil"/>
                <w:between w:val="nil"/>
              </w:pBdr>
              <w:jc w:val="both"/>
              <w:rPr>
                <w:sz w:val="28"/>
                <w:szCs w:val="24"/>
                <w:lang w:val="ru-RU"/>
              </w:rPr>
            </w:pPr>
            <w:r w:rsidRPr="00907DCD">
              <w:rPr>
                <w:sz w:val="28"/>
                <w:szCs w:val="24"/>
                <w:lang w:val="ru-RU"/>
              </w:rPr>
              <w:t>1</w:t>
            </w:r>
            <w:r w:rsidRPr="00907DCD">
              <w:rPr>
                <w:sz w:val="28"/>
                <w:szCs w:val="24"/>
              </w:rPr>
              <w:t>,</w:t>
            </w:r>
            <w:r w:rsidRPr="00907DCD">
              <w:rPr>
                <w:sz w:val="28"/>
                <w:szCs w:val="24"/>
                <w:lang w:val="ru-RU"/>
              </w:rPr>
              <w:t>7***</w:t>
            </w:r>
          </w:p>
        </w:tc>
        <w:tc>
          <w:tcPr>
            <w:tcW w:w="296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 xml:space="preserve">Найгірше </w:t>
            </w:r>
          </w:p>
        </w:tc>
      </w:tr>
      <w:tr w:rsidR="008D098E" w:rsidRPr="00907DCD" w:rsidTr="00907DCD">
        <w:tc>
          <w:tcPr>
            <w:tcW w:w="2260" w:type="dxa"/>
            <w:vMerge/>
            <w:tcBorders>
              <w:left w:val="single" w:sz="6" w:space="0" w:color="000000"/>
              <w:bottom w:val="single" w:sz="6" w:space="0" w:color="000000"/>
              <w:right w:val="single" w:sz="6" w:space="0" w:color="000000"/>
            </w:tcBorders>
            <w:shd w:val="clear" w:color="auto" w:fill="auto"/>
          </w:tcPr>
          <w:p w:rsidR="008D098E" w:rsidRPr="00907DCD" w:rsidRDefault="008D098E" w:rsidP="00296A22">
            <w:pPr>
              <w:jc w:val="center"/>
              <w:rPr>
                <w:sz w:val="28"/>
                <w:szCs w:val="24"/>
              </w:rPr>
            </w:pPr>
          </w:p>
        </w:tc>
        <w:tc>
          <w:tcPr>
            <w:tcW w:w="2201" w:type="dxa"/>
            <w:shd w:val="clear" w:color="auto" w:fill="auto"/>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w:t>
            </w:r>
          </w:p>
        </w:tc>
        <w:tc>
          <w:tcPr>
            <w:tcW w:w="23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both"/>
              <w:rPr>
                <w:sz w:val="28"/>
                <w:szCs w:val="24"/>
              </w:rPr>
            </w:pPr>
            <w:r w:rsidRPr="00907DCD">
              <w:rPr>
                <w:sz w:val="28"/>
                <w:szCs w:val="24"/>
              </w:rPr>
              <w:t>1,6**</w:t>
            </w:r>
            <w:r w:rsidR="00080D0F" w:rsidRPr="00907DCD">
              <w:rPr>
                <w:sz w:val="28"/>
                <w:szCs w:val="24"/>
              </w:rPr>
              <w:t>*</w:t>
            </w:r>
          </w:p>
        </w:tc>
        <w:tc>
          <w:tcPr>
            <w:tcW w:w="296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Найгірше</w:t>
            </w:r>
          </w:p>
        </w:tc>
      </w:tr>
      <w:tr w:rsidR="008D098E" w:rsidRPr="00907DCD" w:rsidTr="00907DCD">
        <w:tc>
          <w:tcPr>
            <w:tcW w:w="2260" w:type="dxa"/>
            <w:vMerge w:val="restart"/>
            <w:shd w:val="clear" w:color="auto" w:fill="auto"/>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 xml:space="preserve">Альтернатива 2 </w:t>
            </w: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080D0F">
            <w:pPr>
              <w:pBdr>
                <w:top w:val="nil"/>
                <w:left w:val="nil"/>
                <w:bottom w:val="nil"/>
                <w:right w:val="nil"/>
                <w:between w:val="nil"/>
              </w:pBdr>
              <w:jc w:val="center"/>
              <w:rPr>
                <w:sz w:val="28"/>
                <w:szCs w:val="24"/>
              </w:rPr>
            </w:pPr>
            <w:r w:rsidRPr="00907DCD">
              <w:rPr>
                <w:sz w:val="28"/>
                <w:szCs w:val="24"/>
              </w:rPr>
              <w:t>3,6</w:t>
            </w:r>
          </w:p>
        </w:tc>
        <w:tc>
          <w:tcPr>
            <w:tcW w:w="238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w:t>
            </w:r>
          </w:p>
        </w:tc>
        <w:tc>
          <w:tcPr>
            <w:tcW w:w="296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 xml:space="preserve">Добре </w:t>
            </w:r>
          </w:p>
        </w:tc>
      </w:tr>
      <w:tr w:rsidR="008D098E" w:rsidRPr="00907DCD" w:rsidTr="00907DCD">
        <w:tc>
          <w:tcPr>
            <w:tcW w:w="2260" w:type="dxa"/>
            <w:vMerge/>
            <w:shd w:val="clear" w:color="auto" w:fill="auto"/>
          </w:tcPr>
          <w:p w:rsidR="008D098E" w:rsidRPr="00907DCD" w:rsidRDefault="008D098E" w:rsidP="00296A22">
            <w:pPr>
              <w:pBdr>
                <w:top w:val="nil"/>
                <w:left w:val="nil"/>
                <w:bottom w:val="nil"/>
                <w:right w:val="nil"/>
                <w:between w:val="nil"/>
              </w:pBdr>
              <w:jc w:val="center"/>
              <w:rPr>
                <w:sz w:val="28"/>
                <w:szCs w:val="24"/>
              </w:rPr>
            </w:pP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080D0F" w:rsidP="00080D0F">
            <w:pPr>
              <w:pBdr>
                <w:top w:val="nil"/>
                <w:left w:val="nil"/>
                <w:bottom w:val="nil"/>
                <w:right w:val="nil"/>
                <w:between w:val="nil"/>
              </w:pBdr>
              <w:jc w:val="center"/>
              <w:rPr>
                <w:sz w:val="28"/>
                <w:szCs w:val="24"/>
              </w:rPr>
            </w:pPr>
            <w:r w:rsidRPr="00907DCD">
              <w:rPr>
                <w:sz w:val="28"/>
                <w:szCs w:val="24"/>
              </w:rPr>
              <w:t>1,7</w:t>
            </w:r>
          </w:p>
        </w:tc>
        <w:tc>
          <w:tcPr>
            <w:tcW w:w="238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w:t>
            </w:r>
          </w:p>
        </w:tc>
        <w:tc>
          <w:tcPr>
            <w:tcW w:w="296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добре</w:t>
            </w:r>
          </w:p>
        </w:tc>
      </w:tr>
      <w:tr w:rsidR="008D098E" w:rsidRPr="00B22D31" w:rsidTr="00907DCD">
        <w:tc>
          <w:tcPr>
            <w:tcW w:w="2260" w:type="dxa"/>
            <w:vMerge/>
            <w:shd w:val="clear" w:color="auto" w:fill="auto"/>
          </w:tcPr>
          <w:p w:rsidR="008D098E" w:rsidRPr="00907DCD" w:rsidRDefault="008D098E" w:rsidP="00296A22">
            <w:pPr>
              <w:pBdr>
                <w:top w:val="nil"/>
                <w:left w:val="nil"/>
                <w:bottom w:val="nil"/>
                <w:right w:val="nil"/>
                <w:between w:val="nil"/>
              </w:pBdr>
              <w:jc w:val="center"/>
              <w:rPr>
                <w:sz w:val="28"/>
                <w:szCs w:val="24"/>
              </w:rPr>
            </w:pPr>
          </w:p>
        </w:tc>
        <w:tc>
          <w:tcPr>
            <w:tcW w:w="22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080D0F">
            <w:pPr>
              <w:pBdr>
                <w:top w:val="nil"/>
                <w:left w:val="nil"/>
                <w:bottom w:val="nil"/>
                <w:right w:val="nil"/>
                <w:between w:val="nil"/>
              </w:pBdr>
              <w:jc w:val="center"/>
              <w:rPr>
                <w:sz w:val="28"/>
                <w:szCs w:val="24"/>
              </w:rPr>
            </w:pPr>
            <w:r w:rsidRPr="00907DCD">
              <w:rPr>
                <w:sz w:val="28"/>
                <w:szCs w:val="24"/>
              </w:rPr>
              <w:t>1,6</w:t>
            </w:r>
          </w:p>
        </w:tc>
        <w:tc>
          <w:tcPr>
            <w:tcW w:w="238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w:t>
            </w:r>
          </w:p>
        </w:tc>
        <w:tc>
          <w:tcPr>
            <w:tcW w:w="296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8D098E" w:rsidRPr="00907DCD" w:rsidRDefault="008D098E" w:rsidP="00296A22">
            <w:pPr>
              <w:pBdr>
                <w:top w:val="nil"/>
                <w:left w:val="nil"/>
                <w:bottom w:val="nil"/>
                <w:right w:val="nil"/>
                <w:between w:val="nil"/>
              </w:pBdr>
              <w:jc w:val="center"/>
              <w:rPr>
                <w:sz w:val="28"/>
                <w:szCs w:val="24"/>
              </w:rPr>
            </w:pPr>
            <w:r w:rsidRPr="00907DCD">
              <w:rPr>
                <w:sz w:val="28"/>
                <w:szCs w:val="24"/>
              </w:rPr>
              <w:t xml:space="preserve">Добре </w:t>
            </w:r>
          </w:p>
        </w:tc>
      </w:tr>
    </w:tbl>
    <w:p w:rsidR="008D098E" w:rsidRPr="00907DCD" w:rsidRDefault="008D098E" w:rsidP="008D098E">
      <w:pPr>
        <w:pBdr>
          <w:top w:val="nil"/>
          <w:left w:val="nil"/>
          <w:bottom w:val="nil"/>
          <w:right w:val="nil"/>
          <w:between w:val="nil"/>
        </w:pBdr>
        <w:spacing w:before="120"/>
        <w:jc w:val="both"/>
        <w:rPr>
          <w:szCs w:val="20"/>
        </w:rPr>
      </w:pPr>
      <w:r w:rsidRPr="00907DCD">
        <w:rPr>
          <w:szCs w:val="20"/>
        </w:rPr>
        <w:t xml:space="preserve">* недонадходження державного бюджету з податку на прибуток підприємств та єдиного податку ІІІ групи зі сплатою податку за ставкою 5 відсотків в продовж застосування спрощеної системи з особливостями оподаткування третьої групи зі ставкою 2 відсотки з квітня –листопада 2022 року. </w:t>
      </w:r>
    </w:p>
    <w:p w:rsidR="008D098E" w:rsidRPr="00907DCD" w:rsidRDefault="008D098E" w:rsidP="008D098E">
      <w:pPr>
        <w:pBdr>
          <w:top w:val="nil"/>
          <w:left w:val="nil"/>
          <w:bottom w:val="nil"/>
          <w:right w:val="nil"/>
          <w:between w:val="nil"/>
        </w:pBdr>
        <w:spacing w:before="120"/>
        <w:jc w:val="both"/>
        <w:rPr>
          <w:szCs w:val="20"/>
        </w:rPr>
      </w:pPr>
      <w:r w:rsidRPr="00907DCD">
        <w:rPr>
          <w:szCs w:val="20"/>
        </w:rPr>
        <w:t xml:space="preserve">** втрати місцевих бюджетів </w:t>
      </w:r>
      <w:r w:rsidR="00534EAE" w:rsidRPr="00907DCD">
        <w:rPr>
          <w:szCs w:val="20"/>
        </w:rPr>
        <w:t xml:space="preserve">єдиного податку від фізичних осіб – підприємців та  </w:t>
      </w:r>
      <w:r w:rsidRPr="00907DCD">
        <w:rPr>
          <w:szCs w:val="20"/>
        </w:rPr>
        <w:t>податку на доходи фізичних осіб  від фізичних осіб - підприємців на загальній системі оподаткування в продовж застосування спрощеної системи з особливостями оподаткування третьої групи зі ставкою 2 відсотки</w:t>
      </w:r>
      <w:r w:rsidR="00080D0F" w:rsidRPr="00907DCD">
        <w:rPr>
          <w:szCs w:val="20"/>
        </w:rPr>
        <w:t xml:space="preserve"> з квітня –листопада 2022 року.</w:t>
      </w:r>
      <w:r w:rsidRPr="00907DCD">
        <w:rPr>
          <w:szCs w:val="20"/>
        </w:rPr>
        <w:t xml:space="preserve">  </w:t>
      </w:r>
    </w:p>
    <w:p w:rsidR="008D098E" w:rsidRPr="00907DCD" w:rsidRDefault="008D098E" w:rsidP="008D098E">
      <w:pPr>
        <w:pBdr>
          <w:top w:val="nil"/>
          <w:left w:val="nil"/>
          <w:bottom w:val="nil"/>
          <w:right w:val="nil"/>
          <w:between w:val="nil"/>
        </w:pBdr>
        <w:spacing w:before="120"/>
        <w:jc w:val="both"/>
        <w:rPr>
          <w:szCs w:val="20"/>
        </w:rPr>
      </w:pPr>
      <w:r w:rsidRPr="00907DCD">
        <w:rPr>
          <w:szCs w:val="20"/>
        </w:rPr>
        <w:t>***  втрати місцевих бюджетів єдиного податку від фізичних осіб – підприємців платників єдиного податку І та ІІ груп використані розрахункові дані на 6 місяців 2023 року  ( запропонований період з у рахування терміну набрання чинності законопроекту).</w:t>
      </w:r>
    </w:p>
    <w:p w:rsidR="008C5730" w:rsidRPr="00907DCD" w:rsidRDefault="008C5730" w:rsidP="008C5730">
      <w:pPr>
        <w:widowControl w:val="0"/>
        <w:ind w:firstLine="567"/>
        <w:jc w:val="both"/>
        <w:rPr>
          <w:b/>
          <w:i/>
          <w:sz w:val="28"/>
          <w:szCs w:val="28"/>
        </w:rPr>
      </w:pPr>
    </w:p>
    <w:p w:rsidR="005A5603" w:rsidRPr="00332B1B" w:rsidRDefault="005A5603" w:rsidP="005A5603">
      <w:pPr>
        <w:widowControl w:val="0"/>
        <w:spacing w:before="240" w:after="60"/>
        <w:ind w:left="23" w:right="23" w:firstLine="567"/>
        <w:jc w:val="both"/>
        <w:rPr>
          <w:b/>
          <w:bCs/>
          <w:sz w:val="28"/>
          <w:szCs w:val="28"/>
          <w:shd w:val="clear" w:color="auto" w:fill="FFFFFF"/>
        </w:rPr>
      </w:pPr>
      <w:r w:rsidRPr="00332B1B">
        <w:rPr>
          <w:b/>
          <w:bCs/>
          <w:sz w:val="28"/>
          <w:szCs w:val="28"/>
          <w:shd w:val="clear" w:color="auto" w:fill="FFFFFF"/>
        </w:rPr>
        <w:t>V. Механізми та заходи, які забезпечать розв’язання визначеної проблеми</w:t>
      </w:r>
    </w:p>
    <w:p w:rsidR="005A5603" w:rsidRPr="00332B1B" w:rsidRDefault="005A5603" w:rsidP="005A5603">
      <w:pPr>
        <w:widowControl w:val="0"/>
        <w:ind w:left="23" w:right="23" w:firstLine="567"/>
        <w:jc w:val="both"/>
        <w:rPr>
          <w:i/>
          <w:sz w:val="28"/>
          <w:szCs w:val="28"/>
          <w:shd w:val="clear" w:color="auto" w:fill="FFFFFF"/>
        </w:rPr>
      </w:pPr>
      <w:r w:rsidRPr="00332B1B">
        <w:rPr>
          <w:i/>
          <w:sz w:val="28"/>
          <w:szCs w:val="28"/>
          <w:shd w:val="clear" w:color="auto" w:fill="FFFFFF"/>
        </w:rPr>
        <w:t xml:space="preserve">1.Механізм дії регуляторного акта </w:t>
      </w:r>
    </w:p>
    <w:p w:rsidR="00C831EB" w:rsidRPr="00332B1B" w:rsidRDefault="002600D0" w:rsidP="002600D0">
      <w:pPr>
        <w:widowControl w:val="0"/>
        <w:spacing w:before="120"/>
        <w:ind w:firstLine="567"/>
        <w:jc w:val="both"/>
        <w:rPr>
          <w:sz w:val="28"/>
          <w:szCs w:val="28"/>
          <w:shd w:val="clear" w:color="auto" w:fill="FFFFFF"/>
        </w:rPr>
      </w:pPr>
      <w:r w:rsidRPr="00332B1B">
        <w:rPr>
          <w:sz w:val="28"/>
          <w:szCs w:val="28"/>
          <w:highlight w:val="white"/>
        </w:rPr>
        <w:t xml:space="preserve">Основним механізмом для розв’язання визначеної проблеми є прийняття </w:t>
      </w:r>
      <w:r w:rsidRPr="00332B1B">
        <w:rPr>
          <w:noProof/>
          <w:spacing w:val="-6"/>
          <w:sz w:val="28"/>
          <w:szCs w:val="28"/>
        </w:rPr>
        <w:t xml:space="preserve">проекту Закону України </w:t>
      </w:r>
      <w:r w:rsidRPr="00332B1B">
        <w:rPr>
          <w:noProof/>
          <w:sz w:val="28"/>
          <w:szCs w:val="28"/>
        </w:rPr>
        <w:t xml:space="preserve">«Про внесення змін до Податкового кодексу України та інших законів України щодо особливостей оподаткування у період дії воєнного стану» </w:t>
      </w:r>
      <w:r w:rsidRPr="00332B1B">
        <w:rPr>
          <w:sz w:val="28"/>
          <w:szCs w:val="28"/>
          <w:highlight w:val="white"/>
        </w:rPr>
        <w:t>та фактична реалізація його положень</w:t>
      </w:r>
      <w:r w:rsidRPr="00332B1B">
        <w:rPr>
          <w:sz w:val="28"/>
          <w:szCs w:val="28"/>
        </w:rPr>
        <w:t>,</w:t>
      </w:r>
      <w:r w:rsidRPr="00332B1B">
        <w:rPr>
          <w:noProof/>
          <w:sz w:val="28"/>
          <w:szCs w:val="28"/>
        </w:rPr>
        <w:t xml:space="preserve"> </w:t>
      </w:r>
      <w:r w:rsidRPr="00332B1B">
        <w:rPr>
          <w:sz w:val="28"/>
          <w:szCs w:val="28"/>
          <w:highlight w:val="white"/>
        </w:rPr>
        <w:t xml:space="preserve">що </w:t>
      </w:r>
      <w:r w:rsidR="005A5603" w:rsidRPr="00332B1B">
        <w:rPr>
          <w:sz w:val="28"/>
          <w:szCs w:val="28"/>
          <w:shd w:val="clear" w:color="auto" w:fill="FFFFFF"/>
        </w:rPr>
        <w:t>з</w:t>
      </w:r>
      <w:r w:rsidR="00F50415" w:rsidRPr="00332B1B">
        <w:rPr>
          <w:sz w:val="28"/>
          <w:szCs w:val="28"/>
          <w:shd w:val="clear" w:color="auto" w:fill="FFFFFF"/>
        </w:rPr>
        <w:t>окрема врегулює</w:t>
      </w:r>
      <w:r w:rsidR="005A5603" w:rsidRPr="00332B1B">
        <w:rPr>
          <w:sz w:val="28"/>
          <w:szCs w:val="28"/>
          <w:shd w:val="clear" w:color="auto" w:fill="FFFFFF"/>
        </w:rPr>
        <w:t xml:space="preserve"> порядок ведення податкового обліку операцій з отримання послуг від нерезиден</w:t>
      </w:r>
      <w:r w:rsidRPr="00332B1B">
        <w:rPr>
          <w:sz w:val="28"/>
          <w:szCs w:val="28"/>
          <w:shd w:val="clear" w:color="auto" w:fill="FFFFFF"/>
        </w:rPr>
        <w:t xml:space="preserve">тів на митній території України, </w:t>
      </w:r>
      <w:r w:rsidR="00946346" w:rsidRPr="00F67B73">
        <w:rPr>
          <w:sz w:val="28"/>
          <w:szCs w:val="28"/>
        </w:rPr>
        <w:t>відновить можливість проведення документальних перевірок</w:t>
      </w:r>
      <w:r w:rsidR="00F67B73">
        <w:rPr>
          <w:sz w:val="28"/>
          <w:szCs w:val="28"/>
        </w:rPr>
        <w:t>,</w:t>
      </w:r>
      <w:r w:rsidR="00946346" w:rsidRPr="00F67B73">
        <w:rPr>
          <w:sz w:val="28"/>
          <w:szCs w:val="28"/>
        </w:rPr>
        <w:t xml:space="preserve"> а також виконання контролюючими органами в повній мірі функцій щодо здійснення податкового контролю, що позитивно вплине на забезпечення д</w:t>
      </w:r>
      <w:r w:rsidR="00F67B73">
        <w:rPr>
          <w:sz w:val="28"/>
          <w:szCs w:val="28"/>
        </w:rPr>
        <w:t>одаткових надходжень до бюджету,</w:t>
      </w:r>
      <w:r w:rsidR="00946346" w:rsidRPr="00332B1B">
        <w:t xml:space="preserve"> </w:t>
      </w:r>
      <w:r w:rsidR="00F50415" w:rsidRPr="00332B1B">
        <w:rPr>
          <w:spacing w:val="1"/>
          <w:sz w:val="28"/>
          <w:szCs w:val="28"/>
          <w:lang w:eastAsia="ru-RU"/>
        </w:rPr>
        <w:t xml:space="preserve"> відновить застосування штрафів </w:t>
      </w:r>
      <w:r w:rsidR="00F50415" w:rsidRPr="00332B1B">
        <w:rPr>
          <w:sz w:val="28"/>
          <w:szCs w:val="28"/>
        </w:rPr>
        <w:t>за порушення порядку використання РРО/ПРРО,</w:t>
      </w:r>
      <w:r w:rsidR="002D22FB" w:rsidRPr="00332B1B">
        <w:rPr>
          <w:sz w:val="28"/>
          <w:szCs w:val="28"/>
        </w:rPr>
        <w:t xml:space="preserve"> що</w:t>
      </w:r>
      <w:r w:rsidR="00F50415" w:rsidRPr="00332B1B">
        <w:rPr>
          <w:sz w:val="28"/>
          <w:szCs w:val="28"/>
        </w:rPr>
        <w:t xml:space="preserve"> стимулюватиме суб’єктів господарювання до </w:t>
      </w:r>
      <w:r w:rsidR="00F50415" w:rsidRPr="00332B1B">
        <w:rPr>
          <w:spacing w:val="1"/>
          <w:sz w:val="28"/>
          <w:szCs w:val="28"/>
          <w:lang w:eastAsia="ru-RU"/>
        </w:rPr>
        <w:t xml:space="preserve">дотримання ними вимог </w:t>
      </w:r>
      <w:r w:rsidR="00F50415" w:rsidRPr="00332B1B">
        <w:rPr>
          <w:sz w:val="28"/>
          <w:szCs w:val="28"/>
        </w:rPr>
        <w:t>порядку використання РРО/ПРРО та книг обліку розрахункових операцій.</w:t>
      </w:r>
    </w:p>
    <w:p w:rsidR="004110E3" w:rsidRPr="00332B1B" w:rsidRDefault="004110E3" w:rsidP="004110E3">
      <w:pPr>
        <w:widowControl w:val="0"/>
        <w:spacing w:before="120"/>
        <w:ind w:firstLine="567"/>
        <w:jc w:val="both"/>
        <w:rPr>
          <w:sz w:val="28"/>
          <w:szCs w:val="28"/>
          <w:highlight w:val="white"/>
        </w:rPr>
      </w:pPr>
      <w:r w:rsidRPr="00332B1B">
        <w:rPr>
          <w:i/>
          <w:sz w:val="28"/>
          <w:szCs w:val="28"/>
          <w:highlight w:val="white"/>
        </w:rPr>
        <w:t>2. Організаційні заходи впровадження регуляторного акта в дію.</w:t>
      </w:r>
    </w:p>
    <w:p w:rsidR="004110E3" w:rsidRPr="00332B1B" w:rsidRDefault="004110E3" w:rsidP="004110E3">
      <w:pPr>
        <w:widowControl w:val="0"/>
        <w:ind w:firstLine="567"/>
        <w:jc w:val="both"/>
        <w:rPr>
          <w:sz w:val="28"/>
          <w:szCs w:val="28"/>
          <w:highlight w:val="white"/>
        </w:rPr>
      </w:pPr>
      <w:r w:rsidRPr="00332B1B">
        <w:rPr>
          <w:sz w:val="28"/>
          <w:szCs w:val="28"/>
          <w:highlight w:val="white"/>
        </w:rPr>
        <w:t>Для впровадження цього регуляторного акта необхідно забезпечити:</w:t>
      </w:r>
    </w:p>
    <w:p w:rsidR="004110E3" w:rsidRPr="00332B1B" w:rsidRDefault="004110E3" w:rsidP="004110E3">
      <w:pPr>
        <w:widowControl w:val="0"/>
        <w:ind w:firstLine="567"/>
        <w:jc w:val="both"/>
        <w:rPr>
          <w:sz w:val="28"/>
          <w:szCs w:val="28"/>
          <w:highlight w:val="white"/>
        </w:rPr>
      </w:pPr>
      <w:r w:rsidRPr="00332B1B">
        <w:rPr>
          <w:sz w:val="28"/>
          <w:szCs w:val="28"/>
          <w:highlight w:val="white"/>
        </w:rPr>
        <w:t>інформування громадськості про вимоги регуляторного акта шляхом його оприлюднення на офіційному вебсайті Міністерства фінансів України.</w:t>
      </w:r>
    </w:p>
    <w:p w:rsidR="004110E3" w:rsidRPr="00332B1B" w:rsidRDefault="004110E3" w:rsidP="004110E3">
      <w:pPr>
        <w:widowControl w:val="0"/>
        <w:ind w:firstLine="567"/>
        <w:jc w:val="both"/>
        <w:rPr>
          <w:sz w:val="28"/>
          <w:szCs w:val="28"/>
          <w:highlight w:val="white"/>
        </w:rPr>
      </w:pPr>
      <w:r w:rsidRPr="00332B1B">
        <w:rPr>
          <w:sz w:val="28"/>
          <w:szCs w:val="28"/>
          <w:highlight w:val="white"/>
        </w:rPr>
        <w:lastRenderedPageBreak/>
        <w:t>погодження проекту регуляторного акта із заінтересованими органами.</w:t>
      </w:r>
    </w:p>
    <w:p w:rsidR="004110E3" w:rsidRPr="00332B1B" w:rsidRDefault="004110E3" w:rsidP="004110E3">
      <w:pPr>
        <w:widowControl w:val="0"/>
        <w:ind w:firstLine="567"/>
        <w:jc w:val="both"/>
        <w:rPr>
          <w:sz w:val="28"/>
          <w:szCs w:val="28"/>
          <w:highlight w:val="white"/>
        </w:rPr>
      </w:pPr>
      <w:r w:rsidRPr="00332B1B">
        <w:rPr>
          <w:sz w:val="28"/>
          <w:szCs w:val="28"/>
          <w:highlight w:val="white"/>
        </w:rPr>
        <w:t>організувати виконання вимог регулювання.</w:t>
      </w:r>
    </w:p>
    <w:p w:rsidR="004110E3" w:rsidRPr="00332B1B" w:rsidRDefault="004110E3" w:rsidP="004110E3">
      <w:pPr>
        <w:widowControl w:val="0"/>
        <w:ind w:firstLine="567"/>
        <w:jc w:val="both"/>
        <w:rPr>
          <w:sz w:val="28"/>
          <w:szCs w:val="28"/>
          <w:highlight w:val="white"/>
        </w:rPr>
      </w:pPr>
      <w:r w:rsidRPr="00332B1B">
        <w:rPr>
          <w:sz w:val="28"/>
          <w:szCs w:val="28"/>
          <w:highlight w:val="white"/>
        </w:rPr>
        <w:t>Суб’єктам господарювання для впровадження вимог регулювання необхідно:</w:t>
      </w:r>
    </w:p>
    <w:p w:rsidR="004110E3" w:rsidRPr="00332B1B" w:rsidRDefault="004110E3" w:rsidP="004110E3">
      <w:pPr>
        <w:widowControl w:val="0"/>
        <w:ind w:firstLine="567"/>
        <w:jc w:val="both"/>
        <w:rPr>
          <w:sz w:val="28"/>
          <w:szCs w:val="28"/>
          <w:highlight w:val="white"/>
        </w:rPr>
      </w:pPr>
      <w:r w:rsidRPr="00332B1B">
        <w:rPr>
          <w:sz w:val="28"/>
          <w:szCs w:val="28"/>
          <w:highlight w:val="white"/>
        </w:rPr>
        <w:t>ознайомитися з вимогами регулювання;</w:t>
      </w:r>
    </w:p>
    <w:p w:rsidR="004110E3" w:rsidRPr="00332B1B" w:rsidRDefault="004110E3" w:rsidP="004110E3">
      <w:pPr>
        <w:widowControl w:val="0"/>
        <w:ind w:firstLine="567"/>
        <w:jc w:val="both"/>
        <w:rPr>
          <w:sz w:val="28"/>
          <w:szCs w:val="28"/>
          <w:highlight w:val="white"/>
        </w:rPr>
      </w:pPr>
      <w:r w:rsidRPr="00332B1B">
        <w:rPr>
          <w:sz w:val="28"/>
          <w:szCs w:val="28"/>
          <w:highlight w:val="white"/>
        </w:rPr>
        <w:t>організувати виконання вимог регулювання.</w:t>
      </w:r>
    </w:p>
    <w:p w:rsidR="004110E3" w:rsidRPr="00332B1B" w:rsidRDefault="004110E3" w:rsidP="004110E3">
      <w:pPr>
        <w:widowControl w:val="0"/>
        <w:ind w:firstLine="567"/>
        <w:jc w:val="both"/>
        <w:rPr>
          <w:sz w:val="28"/>
          <w:szCs w:val="28"/>
          <w:highlight w:val="white"/>
        </w:rPr>
      </w:pPr>
      <w:r w:rsidRPr="00332B1B">
        <w:rPr>
          <w:sz w:val="28"/>
          <w:szCs w:val="28"/>
          <w:highlight w:val="white"/>
        </w:rPr>
        <w:t>Ризику впливу зовнішніх факторів на дію регуляторного акта немає.</w:t>
      </w:r>
    </w:p>
    <w:p w:rsidR="005A5603" w:rsidRPr="00332B1B" w:rsidRDefault="004110E3" w:rsidP="00B91851">
      <w:pPr>
        <w:widowControl w:val="0"/>
        <w:ind w:firstLine="567"/>
        <w:jc w:val="both"/>
        <w:rPr>
          <w:sz w:val="28"/>
          <w:szCs w:val="28"/>
          <w:highlight w:val="white"/>
        </w:rPr>
      </w:pPr>
      <w:r w:rsidRPr="00332B1B">
        <w:rPr>
          <w:sz w:val="28"/>
          <w:szCs w:val="28"/>
          <w:highlight w:val="white"/>
        </w:rPr>
        <w:t>Можлива шкода у разі очікуваних наслідків дії акта не прогнозується.</w:t>
      </w:r>
    </w:p>
    <w:p w:rsidR="00AE0FB2" w:rsidRPr="00332B1B" w:rsidRDefault="00F93AED">
      <w:pPr>
        <w:pBdr>
          <w:top w:val="nil"/>
          <w:left w:val="nil"/>
          <w:bottom w:val="nil"/>
          <w:right w:val="nil"/>
          <w:between w:val="nil"/>
        </w:pBdr>
        <w:spacing w:before="240"/>
        <w:jc w:val="center"/>
        <w:rPr>
          <w:b/>
          <w:sz w:val="28"/>
          <w:szCs w:val="28"/>
        </w:rPr>
      </w:pPr>
      <w:r w:rsidRPr="00332B1B">
        <w:rPr>
          <w:b/>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AE0FB2" w:rsidRPr="00332B1B" w:rsidRDefault="00AE0FB2">
      <w:pPr>
        <w:shd w:val="clear" w:color="auto" w:fill="FFFFFF"/>
        <w:ind w:firstLine="720"/>
        <w:jc w:val="both"/>
        <w:rPr>
          <w:sz w:val="8"/>
          <w:szCs w:val="8"/>
          <w:highlight w:val="white"/>
        </w:rPr>
      </w:pPr>
    </w:p>
    <w:p w:rsidR="005F340C" w:rsidRPr="00332B1B" w:rsidRDefault="005F340C" w:rsidP="005F340C">
      <w:pPr>
        <w:shd w:val="clear" w:color="auto" w:fill="FFFFFF"/>
        <w:ind w:firstLine="567"/>
        <w:jc w:val="both"/>
        <w:rPr>
          <w:sz w:val="28"/>
          <w:szCs w:val="28"/>
        </w:rPr>
      </w:pPr>
      <w:r w:rsidRPr="00332B1B">
        <w:rPr>
          <w:sz w:val="28"/>
          <w:szCs w:val="28"/>
          <w:highlight w:val="white"/>
        </w:rPr>
        <w:t xml:space="preserve">Реалізація </w:t>
      </w:r>
      <w:r w:rsidRPr="00332B1B">
        <w:rPr>
          <w:sz w:val="28"/>
          <w:szCs w:val="28"/>
        </w:rPr>
        <w:t>регуляторного акта не потребуватиме додаткових витрат та ресурсів органів виконавчої влади та платників податків.</w:t>
      </w:r>
    </w:p>
    <w:p w:rsidR="005F340C" w:rsidRPr="00332B1B" w:rsidRDefault="005F340C" w:rsidP="005F340C">
      <w:pPr>
        <w:shd w:val="clear" w:color="auto" w:fill="FFFFFF"/>
        <w:ind w:firstLine="567"/>
        <w:jc w:val="both"/>
        <w:rPr>
          <w:sz w:val="28"/>
          <w:szCs w:val="28"/>
          <w:highlight w:val="white"/>
        </w:rPr>
      </w:pPr>
      <w:r w:rsidRPr="00332B1B">
        <w:rPr>
          <w:sz w:val="28"/>
          <w:szCs w:val="28"/>
          <w:highlight w:val="white"/>
        </w:rPr>
        <w:t>Державне регулювання не передбачає утворення нового державного органу (або нового структурного підрозділу діючого органу).</w:t>
      </w:r>
    </w:p>
    <w:p w:rsidR="0047793D" w:rsidRPr="00332B1B" w:rsidRDefault="00B91851" w:rsidP="0047793D">
      <w:pPr>
        <w:shd w:val="clear" w:color="auto" w:fill="FFFFFF"/>
        <w:ind w:firstLine="567"/>
        <w:jc w:val="both"/>
        <w:rPr>
          <w:sz w:val="28"/>
          <w:szCs w:val="28"/>
          <w:highlight w:val="white"/>
        </w:rPr>
      </w:pPr>
      <w:r w:rsidRPr="00332B1B">
        <w:rPr>
          <w:sz w:val="28"/>
          <w:szCs w:val="28"/>
          <w:highlight w:val="white"/>
        </w:rPr>
        <w:t xml:space="preserve">Відповідно </w:t>
      </w:r>
      <w:r w:rsidR="005F340C" w:rsidRPr="00332B1B">
        <w:rPr>
          <w:sz w:val="28"/>
          <w:szCs w:val="28"/>
          <w:highlight w:val="white"/>
        </w:rPr>
        <w:t>витрат</w:t>
      </w:r>
      <w:r w:rsidRPr="00332B1B">
        <w:rPr>
          <w:sz w:val="28"/>
          <w:szCs w:val="28"/>
          <w:highlight w:val="white"/>
        </w:rPr>
        <w:t>и</w:t>
      </w:r>
      <w:r w:rsidR="005F340C" w:rsidRPr="00332B1B">
        <w:rPr>
          <w:sz w:val="28"/>
          <w:szCs w:val="28"/>
          <w:highlight w:val="white"/>
        </w:rPr>
        <w:t xml:space="preserve"> на виконання вимог регуляторного акта для органів виконавчої влади</w:t>
      </w:r>
      <w:r w:rsidRPr="00332B1B">
        <w:rPr>
          <w:sz w:val="28"/>
          <w:szCs w:val="28"/>
          <w:highlight w:val="white"/>
        </w:rPr>
        <w:t xml:space="preserve"> -</w:t>
      </w:r>
      <w:r w:rsidR="005F340C" w:rsidRPr="00332B1B">
        <w:rPr>
          <w:sz w:val="28"/>
          <w:szCs w:val="28"/>
          <w:highlight w:val="white"/>
        </w:rPr>
        <w:t xml:space="preserve"> в рамках асигнувань, передбачених для Держ</w:t>
      </w:r>
      <w:r w:rsidR="0047793D" w:rsidRPr="00332B1B">
        <w:rPr>
          <w:sz w:val="28"/>
          <w:szCs w:val="28"/>
          <w:highlight w:val="white"/>
        </w:rPr>
        <w:t>авн</w:t>
      </w:r>
      <w:r w:rsidRPr="00332B1B">
        <w:rPr>
          <w:sz w:val="28"/>
          <w:szCs w:val="28"/>
          <w:highlight w:val="white"/>
        </w:rPr>
        <w:t>ої податкової служби України</w:t>
      </w:r>
      <w:r w:rsidR="003972FE" w:rsidRPr="00332B1B">
        <w:rPr>
          <w:sz w:val="28"/>
          <w:szCs w:val="28"/>
          <w:highlight w:val="white"/>
        </w:rPr>
        <w:t>.</w:t>
      </w:r>
    </w:p>
    <w:p w:rsidR="00AE0FB2" w:rsidRPr="00332B1B" w:rsidRDefault="00AE0FB2" w:rsidP="00D73012">
      <w:pPr>
        <w:widowControl w:val="0"/>
        <w:ind w:left="20" w:right="20" w:firstLine="700"/>
        <w:jc w:val="both"/>
        <w:rPr>
          <w:sz w:val="28"/>
          <w:szCs w:val="28"/>
        </w:rPr>
      </w:pPr>
    </w:p>
    <w:p w:rsidR="00AE0FB2" w:rsidRPr="00332B1B" w:rsidRDefault="00F80230" w:rsidP="00F67B73">
      <w:pPr>
        <w:pBdr>
          <w:top w:val="nil"/>
          <w:left w:val="nil"/>
          <w:bottom w:val="nil"/>
          <w:right w:val="nil"/>
          <w:between w:val="nil"/>
        </w:pBdr>
        <w:spacing w:before="120"/>
        <w:ind w:firstLine="567"/>
        <w:rPr>
          <w:b/>
          <w:sz w:val="28"/>
          <w:szCs w:val="28"/>
          <w:highlight w:val="white"/>
        </w:rPr>
      </w:pPr>
      <w:r w:rsidRPr="00332B1B">
        <w:rPr>
          <w:b/>
          <w:sz w:val="28"/>
          <w:szCs w:val="28"/>
          <w:highlight w:val="white"/>
        </w:rPr>
        <w:t xml:space="preserve">   </w:t>
      </w:r>
      <w:r w:rsidR="00F93AED" w:rsidRPr="00332B1B">
        <w:rPr>
          <w:b/>
          <w:sz w:val="28"/>
          <w:szCs w:val="28"/>
          <w:highlight w:val="white"/>
        </w:rPr>
        <w:t>VII. Обґрунтування запропонованого строку дії регуляторного акта</w:t>
      </w:r>
    </w:p>
    <w:p w:rsidR="003C1E29" w:rsidRPr="00332B1B" w:rsidRDefault="00D73012" w:rsidP="00F67B73">
      <w:pPr>
        <w:widowControl w:val="0"/>
        <w:ind w:left="23" w:right="23" w:firstLine="686"/>
        <w:jc w:val="both"/>
        <w:rPr>
          <w:spacing w:val="-8"/>
          <w:sz w:val="28"/>
          <w:szCs w:val="28"/>
          <w:shd w:val="clear" w:color="auto" w:fill="FFFFFF"/>
        </w:rPr>
      </w:pPr>
      <w:r w:rsidRPr="00332B1B">
        <w:rPr>
          <w:spacing w:val="-8"/>
          <w:sz w:val="28"/>
          <w:szCs w:val="28"/>
          <w:shd w:val="clear" w:color="auto" w:fill="FFFFFF"/>
        </w:rPr>
        <w:t>Строк дії регуляторного акта не обмежується в часі, оскільки необхідність виконання положень цього проекту є постійною.</w:t>
      </w:r>
    </w:p>
    <w:p w:rsidR="00827BAE" w:rsidRDefault="003C1E29" w:rsidP="00827BAE">
      <w:pPr>
        <w:shd w:val="clear" w:color="auto" w:fill="FFFFFF" w:themeFill="background1"/>
        <w:tabs>
          <w:tab w:val="left" w:pos="851"/>
        </w:tabs>
        <w:ind w:firstLine="709"/>
        <w:jc w:val="both"/>
        <w:rPr>
          <w:sz w:val="28"/>
          <w:szCs w:val="28"/>
          <w:lang w:eastAsia="ru-RU"/>
        </w:rPr>
      </w:pPr>
      <w:r w:rsidRPr="00332B1B">
        <w:rPr>
          <w:spacing w:val="-8"/>
          <w:sz w:val="28"/>
          <w:szCs w:val="28"/>
          <w:shd w:val="clear" w:color="auto" w:fill="FFFFFF"/>
        </w:rPr>
        <w:t xml:space="preserve">Проект акта набиратиме чинності </w:t>
      </w:r>
      <w:r w:rsidRPr="00332B1B">
        <w:rPr>
          <w:sz w:val="28"/>
          <w:szCs w:val="28"/>
          <w:lang w:eastAsia="ru-RU"/>
        </w:rPr>
        <w:t xml:space="preserve">з </w:t>
      </w:r>
      <w:r w:rsidR="00827BAE" w:rsidRPr="00827BAE">
        <w:rPr>
          <w:sz w:val="28"/>
          <w:szCs w:val="28"/>
          <w:lang w:eastAsia="ru-RU"/>
        </w:rPr>
        <w:t>дня, наступного за днем його опублікування, крім змін до статті 13 Закону України «Про застосування реєстраторів розрахункових операцій у сфері торгівлі, громадського харчування та послуг», які набирають чинності з 01 січня 2024 року</w:t>
      </w:r>
      <w:r w:rsidR="00827BAE">
        <w:rPr>
          <w:sz w:val="28"/>
          <w:szCs w:val="28"/>
          <w:lang w:eastAsia="ru-RU"/>
        </w:rPr>
        <w:t>.</w:t>
      </w:r>
    </w:p>
    <w:p w:rsidR="00965280" w:rsidRPr="00827BAE" w:rsidRDefault="00965280">
      <w:pPr>
        <w:pBdr>
          <w:top w:val="nil"/>
          <w:left w:val="nil"/>
          <w:bottom w:val="nil"/>
          <w:right w:val="nil"/>
          <w:between w:val="nil"/>
        </w:pBdr>
        <w:jc w:val="both"/>
        <w:rPr>
          <w:sz w:val="28"/>
          <w:szCs w:val="28"/>
          <w:lang w:eastAsia="ru-RU"/>
        </w:rPr>
      </w:pPr>
    </w:p>
    <w:p w:rsidR="00965280" w:rsidRPr="00332B1B" w:rsidRDefault="00965280">
      <w:pPr>
        <w:pBdr>
          <w:top w:val="nil"/>
          <w:left w:val="nil"/>
          <w:bottom w:val="nil"/>
          <w:right w:val="nil"/>
          <w:between w:val="nil"/>
        </w:pBdr>
        <w:jc w:val="both"/>
        <w:rPr>
          <w:sz w:val="8"/>
          <w:szCs w:val="8"/>
          <w:highlight w:val="white"/>
        </w:rPr>
      </w:pPr>
    </w:p>
    <w:p w:rsidR="00965280" w:rsidRPr="00332B1B" w:rsidRDefault="00965280" w:rsidP="00965280">
      <w:pPr>
        <w:widowControl w:val="0"/>
        <w:spacing w:before="120" w:after="120"/>
        <w:ind w:left="23" w:right="23" w:firstLine="567"/>
        <w:jc w:val="both"/>
        <w:rPr>
          <w:b/>
          <w:bCs/>
          <w:sz w:val="28"/>
          <w:szCs w:val="28"/>
          <w:shd w:val="clear" w:color="auto" w:fill="FFFFFF"/>
        </w:rPr>
      </w:pPr>
      <w:r w:rsidRPr="00332B1B">
        <w:rPr>
          <w:b/>
          <w:bCs/>
          <w:sz w:val="28"/>
          <w:szCs w:val="28"/>
          <w:shd w:val="clear" w:color="auto" w:fill="FFFFFF"/>
        </w:rPr>
        <w:t>VIII. Визначення показників результативності дії регуляторного акта</w:t>
      </w:r>
    </w:p>
    <w:p w:rsidR="00C41F31" w:rsidRPr="00332B1B" w:rsidRDefault="00C41F31" w:rsidP="00C41F31">
      <w:pPr>
        <w:ind w:firstLine="567"/>
        <w:jc w:val="both"/>
        <w:rPr>
          <w:sz w:val="28"/>
          <w:szCs w:val="28"/>
        </w:rPr>
      </w:pPr>
      <w:r w:rsidRPr="00332B1B">
        <w:rPr>
          <w:sz w:val="28"/>
          <w:szCs w:val="28"/>
        </w:rPr>
        <w:t xml:space="preserve">Рівень поінформованості суб’єктів </w:t>
      </w:r>
      <w:r w:rsidRPr="00332B1B">
        <w:rPr>
          <w:sz w:val="28"/>
          <w:szCs w:val="28"/>
          <w:shd w:val="clear" w:color="auto" w:fill="FFFFFF"/>
        </w:rPr>
        <w:t>господарювання</w:t>
      </w:r>
      <w:r w:rsidRPr="00332B1B">
        <w:rPr>
          <w:sz w:val="28"/>
          <w:szCs w:val="28"/>
        </w:rPr>
        <w:t xml:space="preserve"> щодо основних положень регуляторного акта є високим. </w:t>
      </w:r>
    </w:p>
    <w:p w:rsidR="00965280" w:rsidRPr="00332B1B" w:rsidRDefault="00965280" w:rsidP="00965280">
      <w:pPr>
        <w:widowControl w:val="0"/>
        <w:spacing w:before="120" w:after="120"/>
        <w:ind w:left="23" w:right="23" w:firstLine="459"/>
        <w:jc w:val="both"/>
        <w:rPr>
          <w:b/>
          <w:bCs/>
          <w:i/>
          <w:sz w:val="28"/>
          <w:szCs w:val="28"/>
          <w:shd w:val="clear" w:color="auto" w:fill="FFFFFF"/>
        </w:rPr>
      </w:pPr>
      <w:r w:rsidRPr="00332B1B">
        <w:rPr>
          <w:b/>
          <w:bCs/>
          <w:i/>
          <w:sz w:val="28"/>
          <w:szCs w:val="28"/>
          <w:shd w:val="clear" w:color="auto" w:fill="FFFFFF"/>
        </w:rPr>
        <w:t>В частині змін оподаткування податком на додану вартість</w:t>
      </w:r>
    </w:p>
    <w:p w:rsidR="00965280" w:rsidRPr="00332B1B" w:rsidRDefault="00965280" w:rsidP="00C41F31">
      <w:pPr>
        <w:widowControl w:val="0"/>
        <w:ind w:left="23" w:right="23" w:firstLine="567"/>
        <w:jc w:val="both"/>
        <w:rPr>
          <w:sz w:val="28"/>
          <w:szCs w:val="28"/>
          <w:shd w:val="clear" w:color="auto" w:fill="FFFFFF"/>
        </w:rPr>
      </w:pPr>
      <w:r w:rsidRPr="00332B1B">
        <w:rPr>
          <w:sz w:val="28"/>
          <w:szCs w:val="28"/>
          <w:shd w:val="clear" w:color="auto" w:fill="FFFFFF"/>
        </w:rPr>
        <w:t>Розмір надходжень до державного та місцевих бюджетів і державних цільових фондів, пов’язаних з дією акта – надходження не передбачаються.</w:t>
      </w:r>
    </w:p>
    <w:p w:rsidR="00965280" w:rsidRPr="00332B1B" w:rsidRDefault="00965280" w:rsidP="00965280">
      <w:pPr>
        <w:tabs>
          <w:tab w:val="left" w:pos="993"/>
        </w:tabs>
        <w:ind w:firstLine="567"/>
        <w:jc w:val="both"/>
        <w:rPr>
          <w:sz w:val="28"/>
          <w:szCs w:val="28"/>
        </w:rPr>
      </w:pPr>
      <w:r w:rsidRPr="00332B1B">
        <w:rPr>
          <w:sz w:val="28"/>
          <w:szCs w:val="28"/>
        </w:rPr>
        <w:t>Показниками результативності регуляторного акта (</w:t>
      </w:r>
      <w:r w:rsidRPr="00332B1B">
        <w:rPr>
          <w:sz w:val="28"/>
          <w:szCs w:val="28"/>
          <w:shd w:val="clear" w:color="auto" w:fill="FFFFFF"/>
        </w:rPr>
        <w:t xml:space="preserve">після набрання чинності </w:t>
      </w:r>
      <w:r w:rsidR="00C41F31" w:rsidRPr="00332B1B">
        <w:rPr>
          <w:sz w:val="28"/>
          <w:szCs w:val="28"/>
          <w:shd w:val="clear" w:color="auto" w:fill="FFFFFF"/>
        </w:rPr>
        <w:t xml:space="preserve">положення </w:t>
      </w:r>
      <w:r w:rsidRPr="00332B1B">
        <w:rPr>
          <w:sz w:val="28"/>
          <w:szCs w:val="28"/>
          <w:shd w:val="clear" w:color="auto" w:fill="FFFFFF"/>
        </w:rPr>
        <w:t>проекту акта)</w:t>
      </w:r>
      <w:r w:rsidRPr="00332B1B">
        <w:rPr>
          <w:sz w:val="28"/>
          <w:szCs w:val="28"/>
        </w:rPr>
        <w:t xml:space="preserve"> є:</w:t>
      </w:r>
    </w:p>
    <w:p w:rsidR="00965280" w:rsidRPr="00332B1B" w:rsidRDefault="00965280" w:rsidP="00965280">
      <w:pPr>
        <w:numPr>
          <w:ilvl w:val="0"/>
          <w:numId w:val="6"/>
        </w:numPr>
        <w:tabs>
          <w:tab w:val="left" w:pos="993"/>
          <w:tab w:val="left" w:pos="1134"/>
        </w:tabs>
        <w:ind w:left="0" w:firstLine="567"/>
        <w:jc w:val="both"/>
        <w:rPr>
          <w:sz w:val="28"/>
          <w:szCs w:val="28"/>
        </w:rPr>
      </w:pPr>
      <w:r w:rsidRPr="00332B1B">
        <w:rPr>
          <w:sz w:val="28"/>
          <w:szCs w:val="28"/>
        </w:rPr>
        <w:t xml:space="preserve">кількість суб’єктів </w:t>
      </w:r>
      <w:r w:rsidRPr="00332B1B">
        <w:rPr>
          <w:sz w:val="28"/>
          <w:szCs w:val="28"/>
          <w:shd w:val="clear" w:color="auto" w:fill="FFFFFF"/>
        </w:rPr>
        <w:t>господарювання</w:t>
      </w:r>
      <w:r w:rsidRPr="00332B1B">
        <w:rPr>
          <w:sz w:val="28"/>
          <w:szCs w:val="28"/>
        </w:rPr>
        <w:t xml:space="preserve">, на яких поширюється дія цього акта; </w:t>
      </w:r>
    </w:p>
    <w:p w:rsidR="00965280" w:rsidRPr="00332B1B" w:rsidRDefault="00965280" w:rsidP="00965280">
      <w:pPr>
        <w:pStyle w:val="af9"/>
        <w:widowControl w:val="0"/>
        <w:numPr>
          <w:ilvl w:val="0"/>
          <w:numId w:val="6"/>
        </w:numPr>
        <w:spacing w:after="0" w:line="240" w:lineRule="auto"/>
        <w:ind w:left="0" w:right="20" w:firstLine="567"/>
        <w:jc w:val="both"/>
        <w:rPr>
          <w:rFonts w:ascii="Times New Roman" w:hAnsi="Times New Roman" w:cs="Times New Roman"/>
          <w:sz w:val="28"/>
          <w:szCs w:val="28"/>
          <w:shd w:val="clear" w:color="auto" w:fill="FFFFFF"/>
        </w:rPr>
      </w:pPr>
      <w:r w:rsidRPr="00332B1B">
        <w:rPr>
          <w:rFonts w:ascii="Times New Roman" w:hAnsi="Times New Roman" w:cs="Times New Roman"/>
          <w:sz w:val="28"/>
          <w:szCs w:val="28"/>
          <w:shd w:val="clear" w:color="auto" w:fill="FFFFFF"/>
        </w:rPr>
        <w:t>обсяг послуг, отриманих від нерезидентів на митній території України, та сума податку на додану вартість, які задекларовано платниками податку у звітному (податковому) періоді;</w:t>
      </w:r>
    </w:p>
    <w:p w:rsidR="004F09E8" w:rsidRPr="00332B1B" w:rsidRDefault="00965280" w:rsidP="004F09E8">
      <w:pPr>
        <w:pStyle w:val="af9"/>
        <w:widowControl w:val="0"/>
        <w:numPr>
          <w:ilvl w:val="0"/>
          <w:numId w:val="6"/>
        </w:numPr>
        <w:spacing w:after="0" w:line="240" w:lineRule="auto"/>
        <w:ind w:left="0" w:right="20" w:firstLine="567"/>
        <w:jc w:val="both"/>
        <w:rPr>
          <w:rFonts w:ascii="Times New Roman" w:hAnsi="Times New Roman" w:cs="Times New Roman"/>
          <w:sz w:val="28"/>
          <w:szCs w:val="28"/>
          <w:shd w:val="clear" w:color="auto" w:fill="FFFFFF"/>
        </w:rPr>
      </w:pPr>
      <w:r w:rsidRPr="00332B1B">
        <w:rPr>
          <w:rFonts w:ascii="Times New Roman" w:hAnsi="Times New Roman" w:cs="Times New Roman"/>
          <w:sz w:val="28"/>
          <w:szCs w:val="28"/>
          <w:shd w:val="clear" w:color="auto" w:fill="FFFFFF"/>
        </w:rPr>
        <w:lastRenderedPageBreak/>
        <w:t xml:space="preserve">сума податку на додану вартість сплачена за звітний (податковий) період платниками податку, які задекларували податкові зобов’язання з податку на додану вартість по отриманих послугах від нерезидентів за звітний (податковий) період. </w:t>
      </w:r>
    </w:p>
    <w:p w:rsidR="004F09E8" w:rsidRPr="0070332F" w:rsidRDefault="004F09E8" w:rsidP="008049E0">
      <w:pPr>
        <w:pBdr>
          <w:top w:val="nil"/>
          <w:left w:val="nil"/>
          <w:bottom w:val="nil"/>
          <w:right w:val="nil"/>
          <w:between w:val="nil"/>
        </w:pBdr>
        <w:spacing w:before="120"/>
        <w:ind w:firstLine="567"/>
        <w:jc w:val="both"/>
        <w:rPr>
          <w:b/>
          <w:i/>
          <w:sz w:val="28"/>
          <w:szCs w:val="28"/>
        </w:rPr>
      </w:pPr>
      <w:r w:rsidRPr="0070332F">
        <w:rPr>
          <w:b/>
          <w:i/>
          <w:sz w:val="28"/>
          <w:szCs w:val="28"/>
        </w:rPr>
        <w:t>В частині відновлення з 1 липня 2023 року можливості проведення документальних перевірок</w:t>
      </w:r>
      <w:r w:rsidR="00A9459C" w:rsidRPr="0070332F">
        <w:rPr>
          <w:b/>
          <w:i/>
          <w:sz w:val="28"/>
          <w:szCs w:val="28"/>
        </w:rPr>
        <w:t xml:space="preserve"> показниками результативності регуляторного акта (після набрання чинності положення проекту акта) є:</w:t>
      </w:r>
    </w:p>
    <w:p w:rsidR="00F50415" w:rsidRPr="00EC7A55" w:rsidRDefault="00A9459C" w:rsidP="00A9459C">
      <w:pPr>
        <w:pBdr>
          <w:top w:val="nil"/>
          <w:left w:val="nil"/>
          <w:bottom w:val="nil"/>
          <w:right w:val="nil"/>
          <w:between w:val="nil"/>
        </w:pBdr>
        <w:spacing w:before="120"/>
        <w:ind w:firstLine="567"/>
        <w:jc w:val="both"/>
        <w:rPr>
          <w:sz w:val="28"/>
          <w:szCs w:val="28"/>
        </w:rPr>
      </w:pPr>
      <w:r w:rsidRPr="00EC7A55">
        <w:rPr>
          <w:sz w:val="28"/>
          <w:szCs w:val="28"/>
        </w:rPr>
        <w:t>1) кіль</w:t>
      </w:r>
      <w:r w:rsidR="00EC7A55" w:rsidRPr="00EC7A55">
        <w:rPr>
          <w:sz w:val="28"/>
          <w:szCs w:val="28"/>
        </w:rPr>
        <w:t>кість суб’єктів господарювання, які підлягатимуть документальній перевірці на предмет дотримання податкового законодавства</w:t>
      </w:r>
      <w:r w:rsidRPr="00EC7A55">
        <w:rPr>
          <w:sz w:val="28"/>
          <w:szCs w:val="28"/>
        </w:rPr>
        <w:t>;</w:t>
      </w:r>
    </w:p>
    <w:p w:rsidR="00A9459C" w:rsidRPr="00EC7A55" w:rsidRDefault="00A9459C" w:rsidP="00907DCD">
      <w:pPr>
        <w:pBdr>
          <w:top w:val="nil"/>
          <w:left w:val="nil"/>
          <w:bottom w:val="nil"/>
          <w:right w:val="nil"/>
          <w:between w:val="nil"/>
        </w:pBdr>
        <w:spacing w:before="120" w:after="240"/>
        <w:ind w:firstLine="567"/>
        <w:jc w:val="both"/>
        <w:rPr>
          <w:sz w:val="28"/>
          <w:szCs w:val="28"/>
        </w:rPr>
      </w:pPr>
      <w:r w:rsidRPr="00EC7A55">
        <w:rPr>
          <w:sz w:val="28"/>
          <w:szCs w:val="28"/>
        </w:rPr>
        <w:t>2) сума надходжень до бюджету від застосованих заходів впливу у вигляді донарахувань, що можуть бути задокументовані</w:t>
      </w:r>
      <w:r w:rsidR="00825550" w:rsidRPr="00EC7A55">
        <w:rPr>
          <w:sz w:val="28"/>
          <w:szCs w:val="28"/>
        </w:rPr>
        <w:t xml:space="preserve"> за результатами здійснення заходів</w:t>
      </w:r>
      <w:r w:rsidRPr="00EC7A55">
        <w:rPr>
          <w:sz w:val="28"/>
          <w:szCs w:val="28"/>
        </w:rPr>
        <w:t xml:space="preserve"> податкового</w:t>
      </w:r>
      <w:r w:rsidR="00825550" w:rsidRPr="00EC7A55">
        <w:rPr>
          <w:sz w:val="28"/>
          <w:szCs w:val="28"/>
        </w:rPr>
        <w:t xml:space="preserve"> контролю</w:t>
      </w:r>
      <w:r w:rsidRPr="00EC7A55">
        <w:rPr>
          <w:sz w:val="28"/>
          <w:szCs w:val="28"/>
        </w:rPr>
        <w:t>.</w:t>
      </w:r>
    </w:p>
    <w:p w:rsidR="00F50415" w:rsidRPr="00332B1B" w:rsidRDefault="00F50415" w:rsidP="00F50415">
      <w:pPr>
        <w:ind w:firstLine="567"/>
        <w:jc w:val="both"/>
        <w:rPr>
          <w:b/>
          <w:i/>
          <w:sz w:val="28"/>
          <w:szCs w:val="28"/>
        </w:rPr>
      </w:pPr>
      <w:r w:rsidRPr="00332B1B">
        <w:rPr>
          <w:b/>
          <w:i/>
          <w:sz w:val="28"/>
          <w:szCs w:val="28"/>
        </w:rPr>
        <w:t xml:space="preserve">В частині відновлення застосування штрафних санкцій за порушення </w:t>
      </w:r>
      <w:r w:rsidR="00C41F31" w:rsidRPr="00332B1B">
        <w:rPr>
          <w:b/>
          <w:i/>
          <w:sz w:val="28"/>
          <w:szCs w:val="28"/>
        </w:rPr>
        <w:t xml:space="preserve">вимог </w:t>
      </w:r>
      <w:r w:rsidRPr="00332B1B">
        <w:rPr>
          <w:b/>
          <w:i/>
          <w:sz w:val="28"/>
          <w:szCs w:val="28"/>
        </w:rPr>
        <w:t>порядку використання реєстраторів розрахункових операцій/програмних реєстраторів розрахункових операцій (РРО/ПРРО)</w:t>
      </w:r>
      <w:r w:rsidR="002D22FB" w:rsidRPr="00332B1B">
        <w:rPr>
          <w:b/>
          <w:i/>
          <w:sz w:val="28"/>
          <w:szCs w:val="28"/>
        </w:rPr>
        <w:t xml:space="preserve"> та книг обліку розрахункових операцій</w:t>
      </w:r>
    </w:p>
    <w:p w:rsidR="00C41F31" w:rsidRPr="00332B1B" w:rsidRDefault="00C41F31" w:rsidP="00C41F31">
      <w:pPr>
        <w:ind w:firstLine="567"/>
        <w:jc w:val="both"/>
        <w:rPr>
          <w:sz w:val="28"/>
          <w:szCs w:val="28"/>
        </w:rPr>
      </w:pPr>
      <w:r w:rsidRPr="00332B1B">
        <w:rPr>
          <w:sz w:val="28"/>
          <w:szCs w:val="28"/>
          <w:shd w:val="clear" w:color="auto" w:fill="FFFFFF"/>
        </w:rPr>
        <w:t xml:space="preserve">У разі реалізації зазначених змін можуть бути надходження до державного бюджету у разі застосування штрафних санкцій до суб’єктів господарювання за порушення ними вимог </w:t>
      </w:r>
      <w:r w:rsidRPr="00332B1B">
        <w:rPr>
          <w:sz w:val="28"/>
          <w:szCs w:val="28"/>
        </w:rPr>
        <w:t>порядку використання РРО/ПРРО</w:t>
      </w:r>
      <w:r w:rsidR="0056546A" w:rsidRPr="00332B1B">
        <w:rPr>
          <w:sz w:val="28"/>
          <w:szCs w:val="28"/>
        </w:rPr>
        <w:t>.</w:t>
      </w:r>
    </w:p>
    <w:p w:rsidR="00C41F31" w:rsidRPr="00332B1B" w:rsidRDefault="00C41F31" w:rsidP="00C41F31">
      <w:pPr>
        <w:tabs>
          <w:tab w:val="left" w:pos="993"/>
        </w:tabs>
        <w:ind w:firstLine="567"/>
        <w:jc w:val="both"/>
        <w:rPr>
          <w:sz w:val="28"/>
          <w:szCs w:val="28"/>
        </w:rPr>
      </w:pPr>
      <w:r w:rsidRPr="00332B1B">
        <w:rPr>
          <w:sz w:val="28"/>
          <w:szCs w:val="28"/>
        </w:rPr>
        <w:t>Показниками результативності регуляторного акта (</w:t>
      </w:r>
      <w:r w:rsidR="0056546A" w:rsidRPr="00332B1B">
        <w:rPr>
          <w:sz w:val="28"/>
          <w:szCs w:val="28"/>
          <w:shd w:val="clear" w:color="auto" w:fill="FFFFFF"/>
        </w:rPr>
        <w:t xml:space="preserve">у разі </w:t>
      </w:r>
      <w:r w:rsidRPr="00332B1B">
        <w:rPr>
          <w:sz w:val="28"/>
          <w:szCs w:val="28"/>
          <w:shd w:val="clear" w:color="auto" w:fill="FFFFFF"/>
        </w:rPr>
        <w:t>набрання чинності положення проекту акта)</w:t>
      </w:r>
      <w:r w:rsidRPr="00332B1B">
        <w:rPr>
          <w:sz w:val="28"/>
          <w:szCs w:val="28"/>
        </w:rPr>
        <w:t xml:space="preserve"> є:</w:t>
      </w:r>
    </w:p>
    <w:p w:rsidR="00C41F31" w:rsidRPr="00332B1B" w:rsidRDefault="00C41F31" w:rsidP="00C41F31">
      <w:pPr>
        <w:tabs>
          <w:tab w:val="left" w:pos="993"/>
          <w:tab w:val="left" w:pos="1134"/>
        </w:tabs>
        <w:ind w:firstLine="567"/>
        <w:jc w:val="both"/>
        <w:rPr>
          <w:sz w:val="28"/>
          <w:szCs w:val="28"/>
          <w:lang w:val="ru-RU"/>
        </w:rPr>
      </w:pPr>
      <w:r w:rsidRPr="00332B1B">
        <w:rPr>
          <w:sz w:val="28"/>
          <w:szCs w:val="28"/>
        </w:rPr>
        <w:t xml:space="preserve">1) кількість суб’єктів </w:t>
      </w:r>
      <w:r w:rsidRPr="00332B1B">
        <w:rPr>
          <w:sz w:val="28"/>
          <w:szCs w:val="28"/>
          <w:shd w:val="clear" w:color="auto" w:fill="FFFFFF"/>
        </w:rPr>
        <w:t>господарювання</w:t>
      </w:r>
      <w:r w:rsidRPr="00332B1B">
        <w:rPr>
          <w:sz w:val="28"/>
          <w:szCs w:val="28"/>
        </w:rPr>
        <w:t xml:space="preserve">, </w:t>
      </w:r>
      <w:r w:rsidR="001E3600" w:rsidRPr="00332B1B">
        <w:rPr>
          <w:sz w:val="28"/>
          <w:szCs w:val="28"/>
        </w:rPr>
        <w:t xml:space="preserve">якими зареєстровано </w:t>
      </w:r>
      <w:r w:rsidR="001E3600" w:rsidRPr="00332B1B">
        <w:rPr>
          <w:sz w:val="28"/>
          <w:szCs w:val="28"/>
          <w:lang w:val="ru-RU"/>
        </w:rPr>
        <w:t xml:space="preserve"> </w:t>
      </w:r>
      <w:r w:rsidR="001E3600" w:rsidRPr="00332B1B">
        <w:rPr>
          <w:sz w:val="28"/>
          <w:szCs w:val="28"/>
        </w:rPr>
        <w:t>РРО/ПРРО</w:t>
      </w:r>
      <w:r w:rsidR="00C12C8B" w:rsidRPr="00332B1B">
        <w:rPr>
          <w:sz w:val="28"/>
          <w:szCs w:val="28"/>
        </w:rPr>
        <w:t xml:space="preserve"> </w:t>
      </w:r>
      <w:r w:rsidR="001E3600" w:rsidRPr="00332B1B">
        <w:rPr>
          <w:sz w:val="28"/>
          <w:szCs w:val="28"/>
        </w:rPr>
        <w:t>та КОРО</w:t>
      </w:r>
    </w:p>
    <w:p w:rsidR="00093EEF" w:rsidRDefault="00C41F31" w:rsidP="00C41F31">
      <w:pPr>
        <w:widowControl w:val="0"/>
        <w:pBdr>
          <w:top w:val="nil"/>
          <w:left w:val="nil"/>
          <w:bottom w:val="nil"/>
          <w:right w:val="nil"/>
          <w:between w:val="nil"/>
        </w:pBdr>
        <w:tabs>
          <w:tab w:val="left" w:pos="993"/>
          <w:tab w:val="left" w:pos="1276"/>
        </w:tabs>
        <w:spacing w:before="120"/>
        <w:ind w:right="20" w:firstLine="567"/>
        <w:jc w:val="both"/>
        <w:rPr>
          <w:sz w:val="28"/>
          <w:szCs w:val="28"/>
        </w:rPr>
      </w:pPr>
      <w:r w:rsidRPr="00332B1B">
        <w:rPr>
          <w:sz w:val="28"/>
          <w:szCs w:val="28"/>
          <w:shd w:val="clear" w:color="auto" w:fill="FFFFFF"/>
        </w:rPr>
        <w:t xml:space="preserve">2) сума застосованих до суб’єктів господарювання </w:t>
      </w:r>
      <w:r w:rsidR="0056546A" w:rsidRPr="00332B1B">
        <w:rPr>
          <w:sz w:val="28"/>
          <w:szCs w:val="28"/>
          <w:shd w:val="clear" w:color="auto" w:fill="FFFFFF"/>
        </w:rPr>
        <w:t xml:space="preserve">штрафних санкцій </w:t>
      </w:r>
      <w:r w:rsidRPr="00332B1B">
        <w:rPr>
          <w:sz w:val="28"/>
          <w:szCs w:val="28"/>
          <w:shd w:val="clear" w:color="auto" w:fill="FFFFFF"/>
        </w:rPr>
        <w:t xml:space="preserve">за порушення ними вимог </w:t>
      </w:r>
      <w:r w:rsidRPr="00332B1B">
        <w:rPr>
          <w:sz w:val="28"/>
          <w:szCs w:val="28"/>
        </w:rPr>
        <w:t>порядку використання РРО/ПРРО</w:t>
      </w:r>
      <w:r w:rsidR="0056546A" w:rsidRPr="00332B1B">
        <w:rPr>
          <w:sz w:val="28"/>
          <w:szCs w:val="28"/>
        </w:rPr>
        <w:t>.</w:t>
      </w:r>
    </w:p>
    <w:p w:rsidR="00620DD4" w:rsidRPr="0070332F" w:rsidRDefault="00620DD4" w:rsidP="00EC7A55">
      <w:pPr>
        <w:widowControl w:val="0"/>
        <w:pBdr>
          <w:top w:val="nil"/>
          <w:left w:val="nil"/>
          <w:bottom w:val="nil"/>
          <w:right w:val="nil"/>
          <w:between w:val="nil"/>
        </w:pBdr>
        <w:tabs>
          <w:tab w:val="left" w:pos="851"/>
        </w:tabs>
        <w:spacing w:before="120"/>
        <w:ind w:firstLine="567"/>
        <w:jc w:val="both"/>
        <w:rPr>
          <w:sz w:val="28"/>
          <w:szCs w:val="28"/>
        </w:rPr>
      </w:pPr>
      <w:r w:rsidRPr="0070332F">
        <w:rPr>
          <w:b/>
          <w:i/>
          <w:sz w:val="28"/>
          <w:szCs w:val="28"/>
        </w:rPr>
        <w:t xml:space="preserve">В частині </w:t>
      </w:r>
      <w:r w:rsidR="00E8321F" w:rsidRPr="0070332F">
        <w:rPr>
          <w:b/>
          <w:i/>
          <w:sz w:val="28"/>
          <w:szCs w:val="28"/>
        </w:rPr>
        <w:t xml:space="preserve">скасування з </w:t>
      </w:r>
      <w:r w:rsidRPr="0070332F">
        <w:rPr>
          <w:b/>
          <w:i/>
          <w:sz w:val="28"/>
          <w:szCs w:val="28"/>
        </w:rPr>
        <w:t xml:space="preserve"> 01 липня 2023 року можлив</w:t>
      </w:r>
      <w:r w:rsidR="00E8321F" w:rsidRPr="0070332F">
        <w:rPr>
          <w:b/>
          <w:i/>
          <w:sz w:val="28"/>
          <w:szCs w:val="28"/>
        </w:rPr>
        <w:t>ості</w:t>
      </w:r>
      <w:r w:rsidRPr="0070332F">
        <w:rPr>
          <w:b/>
          <w:i/>
          <w:sz w:val="28"/>
          <w:szCs w:val="28"/>
        </w:rPr>
        <w:t xml:space="preserve"> для фізичних осіб – підприємців та юридичних осіб бути платниками єдиного податку ІІІ групи із застосуванням ставки єдиного податку у розмірі 2 % від суми доходу</w:t>
      </w:r>
      <w:r w:rsidRPr="0070332F">
        <w:rPr>
          <w:sz w:val="28"/>
          <w:szCs w:val="28"/>
        </w:rPr>
        <w:t>.</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Показниками результативності регуляторного акта (після набрання чинності положення проекту акта) є:</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 xml:space="preserve">1) кількість суб’єктів господарювання та/або фізичних осіб, на яких поширюватиметься дія акта. </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2) розмір податкових надходжень до бюджетів, пов’язаних з дією акта;</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3) сума податку на прибуток підприємств,  податку на доходи фізичних осіб та єдиного податку</w:t>
      </w:r>
      <w:r w:rsidRPr="0070332F">
        <w:t xml:space="preserve"> </w:t>
      </w:r>
      <w:r w:rsidRPr="0070332F">
        <w:rPr>
          <w:sz w:val="28"/>
          <w:szCs w:val="28"/>
        </w:rPr>
        <w:t>сплачена за звітний (податковий) період.</w:t>
      </w:r>
    </w:p>
    <w:p w:rsidR="00620DD4" w:rsidRPr="0070332F" w:rsidRDefault="00620DD4" w:rsidP="00EC7A55">
      <w:pPr>
        <w:widowControl w:val="0"/>
        <w:pBdr>
          <w:top w:val="nil"/>
          <w:left w:val="nil"/>
          <w:bottom w:val="nil"/>
          <w:right w:val="nil"/>
          <w:between w:val="nil"/>
        </w:pBdr>
        <w:tabs>
          <w:tab w:val="left" w:pos="851"/>
        </w:tabs>
        <w:spacing w:before="120"/>
        <w:ind w:firstLine="567"/>
        <w:jc w:val="both"/>
        <w:rPr>
          <w:b/>
          <w:i/>
          <w:sz w:val="28"/>
          <w:szCs w:val="28"/>
        </w:rPr>
      </w:pPr>
      <w:r w:rsidRPr="0070332F">
        <w:rPr>
          <w:b/>
          <w:i/>
          <w:sz w:val="28"/>
          <w:szCs w:val="28"/>
        </w:rPr>
        <w:t xml:space="preserve">В частині скасування </w:t>
      </w:r>
      <w:r w:rsidR="00E8321F" w:rsidRPr="0070332F">
        <w:rPr>
          <w:b/>
          <w:i/>
          <w:sz w:val="28"/>
          <w:szCs w:val="28"/>
        </w:rPr>
        <w:t xml:space="preserve">з </w:t>
      </w:r>
      <w:r w:rsidRPr="0070332F">
        <w:rPr>
          <w:b/>
          <w:i/>
          <w:sz w:val="28"/>
          <w:szCs w:val="28"/>
        </w:rPr>
        <w:t>01 липня 2023 рок</w:t>
      </w:r>
      <w:r w:rsidR="00E8321F" w:rsidRPr="0070332F">
        <w:rPr>
          <w:b/>
          <w:i/>
          <w:sz w:val="28"/>
          <w:szCs w:val="28"/>
        </w:rPr>
        <w:t xml:space="preserve"> </w:t>
      </w:r>
      <w:r w:rsidRPr="0070332F">
        <w:rPr>
          <w:b/>
          <w:i/>
          <w:sz w:val="28"/>
          <w:szCs w:val="28"/>
        </w:rPr>
        <w:t xml:space="preserve"> можлив</w:t>
      </w:r>
      <w:r w:rsidR="00E8321F" w:rsidRPr="0070332F">
        <w:rPr>
          <w:b/>
          <w:i/>
          <w:sz w:val="28"/>
          <w:szCs w:val="28"/>
        </w:rPr>
        <w:t>ості</w:t>
      </w:r>
      <w:r w:rsidRPr="0070332F">
        <w:rPr>
          <w:b/>
          <w:i/>
          <w:sz w:val="28"/>
          <w:szCs w:val="28"/>
        </w:rPr>
        <w:t xml:space="preserve"> для фізичних осіб – підприємців платників єдиного податку І та ІІ груп не сплачувати єдиний податок.</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Показниками результативності регуляторного акта (після набрання чинності положення проекту акта) є:</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 xml:space="preserve">1) кількість фізичних осіб – підприємців платників єдиного податку І та ІІ </w:t>
      </w:r>
      <w:r w:rsidRPr="0070332F">
        <w:rPr>
          <w:sz w:val="28"/>
          <w:szCs w:val="28"/>
        </w:rPr>
        <w:lastRenderedPageBreak/>
        <w:t xml:space="preserve">груп, на яких поширюватиметься дія акта. </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2) розмір податкових надходжень до бюджетів, пов’язаних з дією акта;</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3) сума єдиного податку, сплачена фізичними особами – підприємцями платниками єдиного податку І та ІІ груп за звітний (податковий) період.</w:t>
      </w:r>
    </w:p>
    <w:p w:rsidR="00620DD4" w:rsidRPr="0070332F" w:rsidRDefault="00620DD4" w:rsidP="00EC7A55">
      <w:pPr>
        <w:widowControl w:val="0"/>
        <w:pBdr>
          <w:top w:val="nil"/>
          <w:left w:val="nil"/>
          <w:bottom w:val="nil"/>
          <w:right w:val="nil"/>
          <w:between w:val="nil"/>
        </w:pBdr>
        <w:tabs>
          <w:tab w:val="left" w:pos="851"/>
        </w:tabs>
        <w:spacing w:before="120"/>
        <w:ind w:firstLine="567"/>
        <w:jc w:val="both"/>
        <w:rPr>
          <w:b/>
          <w:i/>
          <w:sz w:val="28"/>
          <w:szCs w:val="28"/>
        </w:rPr>
      </w:pPr>
      <w:r w:rsidRPr="0070332F">
        <w:rPr>
          <w:b/>
          <w:i/>
          <w:sz w:val="28"/>
          <w:szCs w:val="28"/>
        </w:rPr>
        <w:t>В частині відновлення з 1 липня 2023 року можливості застосування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Показниками результативності регуляторного акта (у разі набрання чинності положення проекту акта) є:</w:t>
      </w:r>
    </w:p>
    <w:p w:rsidR="00620DD4" w:rsidRPr="0070332F"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1) кількість суб’єктів господарювання, до яких застосовано штрафні санкції за порушення правильності нарахування, обчислення та сплати єдиного внеску на загальнообов’язкове державне соціальне страхування</w:t>
      </w:r>
    </w:p>
    <w:p w:rsidR="00620DD4" w:rsidRDefault="00620DD4" w:rsidP="00620DD4">
      <w:pPr>
        <w:widowControl w:val="0"/>
        <w:pBdr>
          <w:top w:val="nil"/>
          <w:left w:val="nil"/>
          <w:bottom w:val="nil"/>
          <w:right w:val="nil"/>
          <w:between w:val="nil"/>
        </w:pBdr>
        <w:tabs>
          <w:tab w:val="left" w:pos="851"/>
        </w:tabs>
        <w:ind w:firstLine="567"/>
        <w:jc w:val="both"/>
        <w:rPr>
          <w:sz w:val="28"/>
          <w:szCs w:val="28"/>
        </w:rPr>
      </w:pPr>
      <w:r w:rsidRPr="0070332F">
        <w:rPr>
          <w:sz w:val="28"/>
          <w:szCs w:val="28"/>
        </w:rPr>
        <w:t>2) сума застосованих до суб’єктів господарювання штрафних санкцій за порушення правильності нарахування, обчислення та сплати єдиного внеску на загальнообов’язкове державне соціальне страхування.</w:t>
      </w:r>
    </w:p>
    <w:p w:rsidR="00AE0FB2" w:rsidRPr="00332B1B" w:rsidRDefault="00F93AED">
      <w:pPr>
        <w:pBdr>
          <w:top w:val="nil"/>
          <w:left w:val="nil"/>
          <w:bottom w:val="nil"/>
          <w:right w:val="nil"/>
          <w:between w:val="nil"/>
        </w:pBdr>
        <w:spacing w:before="120"/>
        <w:ind w:firstLine="567"/>
        <w:jc w:val="center"/>
        <w:rPr>
          <w:b/>
          <w:sz w:val="28"/>
          <w:szCs w:val="28"/>
          <w:highlight w:val="white"/>
        </w:rPr>
      </w:pPr>
      <w:r w:rsidRPr="00332B1B">
        <w:rPr>
          <w:b/>
          <w:sz w:val="28"/>
          <w:szCs w:val="28"/>
          <w:highlight w:val="white"/>
        </w:rPr>
        <w:t>IX. Визначення заходів, за допомогою яких здійснюватиметься відстеження результативності дії регуляторного акта</w:t>
      </w:r>
    </w:p>
    <w:p w:rsidR="00AE0FB2" w:rsidRPr="00332B1B" w:rsidRDefault="00AE0FB2">
      <w:pPr>
        <w:pBdr>
          <w:top w:val="nil"/>
          <w:left w:val="nil"/>
          <w:bottom w:val="nil"/>
          <w:right w:val="nil"/>
          <w:between w:val="nil"/>
        </w:pBdr>
        <w:spacing w:before="120"/>
        <w:ind w:firstLine="567"/>
        <w:jc w:val="center"/>
        <w:rPr>
          <w:b/>
          <w:sz w:val="8"/>
          <w:szCs w:val="8"/>
          <w:highlight w:val="white"/>
        </w:rPr>
      </w:pPr>
    </w:p>
    <w:p w:rsidR="00AE0FB2" w:rsidRPr="00332B1B" w:rsidRDefault="00F93AED">
      <w:pPr>
        <w:ind w:right="-79" w:firstLine="567"/>
        <w:jc w:val="both"/>
        <w:rPr>
          <w:sz w:val="28"/>
          <w:szCs w:val="28"/>
          <w:highlight w:val="white"/>
        </w:rPr>
      </w:pPr>
      <w:r w:rsidRPr="00332B1B">
        <w:rPr>
          <w:sz w:val="28"/>
          <w:szCs w:val="28"/>
          <w:highlight w:val="white"/>
        </w:rPr>
        <w:t>Відстеження результативності регуляторного акта здійснюватиметься Міністерством фінансів України статистичним методом шляхом базового та повторного відстеження показників результативності цього акта, визначених під час проведення аналізу впливу регуляторного акта.</w:t>
      </w:r>
    </w:p>
    <w:p w:rsidR="00AE0FB2" w:rsidRPr="00332B1B" w:rsidRDefault="00F93AED">
      <w:pPr>
        <w:ind w:right="-82" w:firstLine="567"/>
        <w:jc w:val="both"/>
        <w:rPr>
          <w:sz w:val="28"/>
          <w:szCs w:val="28"/>
          <w:highlight w:val="white"/>
        </w:rPr>
      </w:pPr>
      <w:r w:rsidRPr="00332B1B">
        <w:rPr>
          <w:sz w:val="28"/>
          <w:szCs w:val="28"/>
          <w:highlight w:val="white"/>
        </w:rPr>
        <w:t>Базове відстеження результативності регуляторного акта здійснюватиметься через рік після набрання чинності акт</w:t>
      </w:r>
      <w:bookmarkStart w:id="1" w:name="bookmark=kix.2n40hl7vwfwj"/>
      <w:bookmarkEnd w:id="1"/>
      <w:r w:rsidRPr="00332B1B">
        <w:rPr>
          <w:sz w:val="28"/>
          <w:szCs w:val="28"/>
          <w:highlight w:val="white"/>
        </w:rPr>
        <w:t>ом.</w:t>
      </w:r>
    </w:p>
    <w:p w:rsidR="008049E0" w:rsidRPr="00332B1B" w:rsidRDefault="008049E0" w:rsidP="008049E0">
      <w:pPr>
        <w:widowControl w:val="0"/>
        <w:ind w:right="20" w:firstLine="567"/>
        <w:jc w:val="both"/>
        <w:rPr>
          <w:sz w:val="28"/>
          <w:szCs w:val="28"/>
          <w:shd w:val="clear" w:color="auto" w:fill="FFFFFF"/>
        </w:rPr>
      </w:pPr>
      <w:bookmarkStart w:id="2" w:name="_heading=h.gjdgxs"/>
      <w:bookmarkEnd w:id="2"/>
      <w:r w:rsidRPr="00332B1B">
        <w:rPr>
          <w:sz w:val="28"/>
          <w:szCs w:val="28"/>
          <w:shd w:val="clear" w:color="auto" w:fill="FFFFFF"/>
        </w:rPr>
        <w:t>Повторне відстеження результативності регуляторного акта здійснюється через два роки з дня набрання ним чинності.</w:t>
      </w:r>
    </w:p>
    <w:p w:rsidR="008049E0" w:rsidRPr="00332B1B" w:rsidRDefault="008049E0" w:rsidP="008049E0">
      <w:pPr>
        <w:widowControl w:val="0"/>
        <w:ind w:right="20" w:firstLine="567"/>
        <w:jc w:val="both"/>
        <w:rPr>
          <w:sz w:val="28"/>
          <w:szCs w:val="28"/>
          <w:shd w:val="clear" w:color="auto" w:fill="FFFFFF"/>
        </w:rPr>
      </w:pPr>
      <w:r w:rsidRPr="00332B1B">
        <w:rPr>
          <w:sz w:val="28"/>
          <w:szCs w:val="28"/>
          <w:shd w:val="clear" w:color="auto" w:fill="FFFFFF"/>
        </w:rPr>
        <w:t>Періодичне відстеження результативності регуляторного акта здійснюється раз на три роки, починаючи із дня виконання заходів із повторного відстеження.</w:t>
      </w:r>
    </w:p>
    <w:p w:rsidR="008049E0" w:rsidRPr="00332B1B" w:rsidRDefault="008049E0" w:rsidP="008049E0">
      <w:pPr>
        <w:widowControl w:val="0"/>
        <w:ind w:right="20" w:firstLine="567"/>
        <w:jc w:val="both"/>
        <w:rPr>
          <w:sz w:val="28"/>
          <w:szCs w:val="28"/>
        </w:rPr>
      </w:pPr>
      <w:r w:rsidRPr="00332B1B">
        <w:rPr>
          <w:sz w:val="28"/>
          <w:szCs w:val="28"/>
        </w:rPr>
        <w:t>Відстеження результативності цього регуляторного акта, у разі його прийняття, здійснюватиметься Міністерством фінансів України.</w:t>
      </w:r>
    </w:p>
    <w:p w:rsidR="00AE0FB2" w:rsidRDefault="00AE0FB2">
      <w:pPr>
        <w:pBdr>
          <w:top w:val="nil"/>
          <w:left w:val="nil"/>
          <w:bottom w:val="nil"/>
          <w:right w:val="nil"/>
          <w:between w:val="nil"/>
        </w:pBdr>
        <w:ind w:firstLine="720"/>
        <w:jc w:val="both"/>
        <w:rPr>
          <w:b/>
          <w:bCs/>
          <w:color w:val="000000"/>
          <w:sz w:val="28"/>
          <w:szCs w:val="28"/>
          <w:shd w:val="clear" w:color="auto" w:fill="FFFFFF"/>
        </w:rPr>
      </w:pPr>
    </w:p>
    <w:p w:rsidR="008049E0" w:rsidRDefault="008049E0">
      <w:pPr>
        <w:pBdr>
          <w:top w:val="nil"/>
          <w:left w:val="nil"/>
          <w:bottom w:val="nil"/>
          <w:right w:val="nil"/>
          <w:between w:val="nil"/>
        </w:pBdr>
        <w:ind w:firstLine="720"/>
        <w:jc w:val="both"/>
        <w:rPr>
          <w:b/>
          <w:bCs/>
          <w:color w:val="000000"/>
          <w:sz w:val="28"/>
          <w:szCs w:val="28"/>
          <w:shd w:val="clear" w:color="auto" w:fill="FFFFFF"/>
        </w:rPr>
      </w:pPr>
    </w:p>
    <w:p w:rsidR="008049E0" w:rsidRDefault="008049E0">
      <w:pPr>
        <w:pBdr>
          <w:top w:val="nil"/>
          <w:left w:val="nil"/>
          <w:bottom w:val="nil"/>
          <w:right w:val="nil"/>
          <w:between w:val="nil"/>
        </w:pBdr>
        <w:ind w:firstLine="720"/>
        <w:jc w:val="both"/>
        <w:rPr>
          <w:b/>
          <w:bCs/>
          <w:color w:val="000000"/>
          <w:sz w:val="28"/>
          <w:szCs w:val="28"/>
          <w:shd w:val="clear" w:color="auto" w:fill="FFFFFF"/>
        </w:rPr>
      </w:pPr>
    </w:p>
    <w:p w:rsidR="008049E0" w:rsidRPr="00B22D31" w:rsidRDefault="008049E0">
      <w:pPr>
        <w:pBdr>
          <w:top w:val="nil"/>
          <w:left w:val="nil"/>
          <w:bottom w:val="nil"/>
          <w:right w:val="nil"/>
          <w:between w:val="nil"/>
        </w:pBdr>
        <w:ind w:firstLine="720"/>
        <w:jc w:val="both"/>
        <w:rPr>
          <w:sz w:val="28"/>
          <w:szCs w:val="28"/>
          <w:highlight w:val="white"/>
        </w:rPr>
      </w:pPr>
    </w:p>
    <w:p w:rsidR="00AE0FB2" w:rsidRPr="00B22D31" w:rsidRDefault="00F93AED">
      <w:pPr>
        <w:pBdr>
          <w:top w:val="nil"/>
          <w:left w:val="nil"/>
          <w:bottom w:val="nil"/>
          <w:right w:val="nil"/>
          <w:between w:val="nil"/>
        </w:pBdr>
        <w:rPr>
          <w:sz w:val="28"/>
          <w:szCs w:val="28"/>
          <w:highlight w:val="white"/>
        </w:rPr>
      </w:pPr>
      <w:r w:rsidRPr="00B22D31">
        <w:rPr>
          <w:b/>
          <w:sz w:val="28"/>
          <w:szCs w:val="28"/>
          <w:highlight w:val="white"/>
        </w:rPr>
        <w:t>Міністр фінансів України                                                     Сергій МАРЧЕНКО</w:t>
      </w:r>
    </w:p>
    <w:sectPr w:rsidR="00AE0FB2" w:rsidRPr="00B22D31" w:rsidSect="003E3205">
      <w:headerReference w:type="even" r:id="rId9"/>
      <w:headerReference w:type="default" r:id="rId10"/>
      <w:pgSz w:w="11906" w:h="16838"/>
      <w:pgMar w:top="851" w:right="567" w:bottom="1588" w:left="1701" w:header="397" w:footer="709" w:gutter="0"/>
      <w:pgNumType w:start="1" w:chapSep="period"/>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DDC" w:rsidRDefault="00E63DDC"/>
  </w:endnote>
  <w:endnote w:type="continuationSeparator" w:id="0">
    <w:p w:rsidR="00E63DDC" w:rsidRDefault="00E63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Lucidasans"/>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DDC" w:rsidRDefault="00E63DDC"/>
  </w:footnote>
  <w:footnote w:type="continuationSeparator" w:id="0">
    <w:p w:rsidR="00E63DDC" w:rsidRDefault="00E63D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6E" w:rsidRDefault="00B9026E">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t>#</w:t>
    </w:r>
    <w:r>
      <w:rPr>
        <w:color w:val="000000"/>
        <w:sz w:val="24"/>
        <w:szCs w:val="24"/>
      </w:rPr>
      <w:fldChar w:fldCharType="end"/>
    </w:r>
  </w:p>
  <w:p w:rsidR="00B9026E" w:rsidRDefault="00B9026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26E" w:rsidRDefault="00B9026E">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B464C">
      <w:rPr>
        <w:noProof/>
        <w:color w:val="000000"/>
        <w:sz w:val="24"/>
        <w:szCs w:val="24"/>
      </w:rPr>
      <w:t>2</w:t>
    </w:r>
    <w:r>
      <w:rPr>
        <w:color w:val="000000"/>
        <w:sz w:val="24"/>
        <w:szCs w:val="24"/>
      </w:rPr>
      <w:fldChar w:fldCharType="end"/>
    </w:r>
  </w:p>
  <w:p w:rsidR="00B9026E" w:rsidRDefault="00B9026E">
    <w:pPr>
      <w:pBdr>
        <w:top w:val="nil"/>
        <w:left w:val="nil"/>
        <w:bottom w:val="nil"/>
        <w:right w:val="nil"/>
        <w:between w:val="nil"/>
      </w:pBdr>
      <w:tabs>
        <w:tab w:val="center" w:pos="4677"/>
        <w:tab w:val="right" w:pos="9355"/>
      </w:tabs>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737"/>
    <w:multiLevelType w:val="hybridMultilevel"/>
    <w:tmpl w:val="A112CB76"/>
    <w:lvl w:ilvl="0" w:tplc="5E6A7BB8">
      <w:start w:val="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28968A6"/>
    <w:multiLevelType w:val="hybridMultilevel"/>
    <w:tmpl w:val="2C843DAC"/>
    <w:lvl w:ilvl="0" w:tplc="8C7265A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D825E17"/>
    <w:multiLevelType w:val="hybridMultilevel"/>
    <w:tmpl w:val="45B248C6"/>
    <w:lvl w:ilvl="0" w:tplc="259655D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5C0D3A"/>
    <w:multiLevelType w:val="hybridMultilevel"/>
    <w:tmpl w:val="E8B05266"/>
    <w:lvl w:ilvl="0" w:tplc="4544C1C2">
      <w:start w:val="8"/>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1FCB745E"/>
    <w:multiLevelType w:val="hybridMultilevel"/>
    <w:tmpl w:val="AE581B06"/>
    <w:lvl w:ilvl="0" w:tplc="246E03FE">
      <w:start w:val="1"/>
      <w:numFmt w:val="decimal"/>
      <w:lvlText w:val="%1)"/>
      <w:lvlJc w:val="left"/>
      <w:pPr>
        <w:ind w:left="1080" w:hanging="360"/>
      </w:pPr>
      <w:rPr>
        <w:b w:val="0"/>
        <w:bCs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15:restartNumberingAfterBreak="0">
    <w:nsid w:val="3985596D"/>
    <w:multiLevelType w:val="hybridMultilevel"/>
    <w:tmpl w:val="F4C23D6A"/>
    <w:lvl w:ilvl="0" w:tplc="A9F00936">
      <w:start w:val="1"/>
      <w:numFmt w:val="decimal"/>
      <w:lvlText w:val="%1."/>
      <w:lvlJc w:val="left"/>
      <w:pPr>
        <w:ind w:left="9149" w:hanging="360"/>
      </w:pPr>
      <w:rPr>
        <w:rFonts w:hint="default"/>
      </w:rPr>
    </w:lvl>
    <w:lvl w:ilvl="1" w:tplc="04220019" w:tentative="1">
      <w:start w:val="1"/>
      <w:numFmt w:val="lowerLetter"/>
      <w:lvlText w:val="%2."/>
      <w:lvlJc w:val="left"/>
      <w:pPr>
        <w:ind w:left="9869" w:hanging="360"/>
      </w:pPr>
    </w:lvl>
    <w:lvl w:ilvl="2" w:tplc="0422001B" w:tentative="1">
      <w:start w:val="1"/>
      <w:numFmt w:val="lowerRoman"/>
      <w:lvlText w:val="%3."/>
      <w:lvlJc w:val="right"/>
      <w:pPr>
        <w:ind w:left="10589" w:hanging="180"/>
      </w:pPr>
    </w:lvl>
    <w:lvl w:ilvl="3" w:tplc="0422000F" w:tentative="1">
      <w:start w:val="1"/>
      <w:numFmt w:val="decimal"/>
      <w:lvlText w:val="%4."/>
      <w:lvlJc w:val="left"/>
      <w:pPr>
        <w:ind w:left="11309" w:hanging="360"/>
      </w:pPr>
    </w:lvl>
    <w:lvl w:ilvl="4" w:tplc="04220019" w:tentative="1">
      <w:start w:val="1"/>
      <w:numFmt w:val="lowerLetter"/>
      <w:lvlText w:val="%5."/>
      <w:lvlJc w:val="left"/>
      <w:pPr>
        <w:ind w:left="12029" w:hanging="360"/>
      </w:pPr>
    </w:lvl>
    <w:lvl w:ilvl="5" w:tplc="0422001B" w:tentative="1">
      <w:start w:val="1"/>
      <w:numFmt w:val="lowerRoman"/>
      <w:lvlText w:val="%6."/>
      <w:lvlJc w:val="right"/>
      <w:pPr>
        <w:ind w:left="12749" w:hanging="180"/>
      </w:pPr>
    </w:lvl>
    <w:lvl w:ilvl="6" w:tplc="0422000F" w:tentative="1">
      <w:start w:val="1"/>
      <w:numFmt w:val="decimal"/>
      <w:lvlText w:val="%7."/>
      <w:lvlJc w:val="left"/>
      <w:pPr>
        <w:ind w:left="13469" w:hanging="360"/>
      </w:pPr>
    </w:lvl>
    <w:lvl w:ilvl="7" w:tplc="04220019" w:tentative="1">
      <w:start w:val="1"/>
      <w:numFmt w:val="lowerLetter"/>
      <w:lvlText w:val="%8."/>
      <w:lvlJc w:val="left"/>
      <w:pPr>
        <w:ind w:left="14189" w:hanging="360"/>
      </w:pPr>
    </w:lvl>
    <w:lvl w:ilvl="8" w:tplc="0422001B" w:tentative="1">
      <w:start w:val="1"/>
      <w:numFmt w:val="lowerRoman"/>
      <w:lvlText w:val="%9."/>
      <w:lvlJc w:val="right"/>
      <w:pPr>
        <w:ind w:left="14909" w:hanging="180"/>
      </w:pPr>
    </w:lvl>
  </w:abstractNum>
  <w:abstractNum w:abstractNumId="6" w15:restartNumberingAfterBreak="0">
    <w:nsid w:val="4E52767D"/>
    <w:multiLevelType w:val="hybridMultilevel"/>
    <w:tmpl w:val="9E5CC9E0"/>
    <w:lvl w:ilvl="0" w:tplc="8F6A5AF4">
      <w:start w:val="1"/>
      <w:numFmt w:val="decimal"/>
      <w:lvlText w:val="%1)"/>
      <w:lvlJc w:val="left"/>
      <w:pPr>
        <w:ind w:left="1443" w:hanging="87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BC40B0E"/>
    <w:multiLevelType w:val="hybridMultilevel"/>
    <w:tmpl w:val="AF526E14"/>
    <w:lvl w:ilvl="0" w:tplc="F926B84E">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B2"/>
    <w:rsid w:val="0003307D"/>
    <w:rsid w:val="0003557C"/>
    <w:rsid w:val="0004088C"/>
    <w:rsid w:val="00043211"/>
    <w:rsid w:val="000528E9"/>
    <w:rsid w:val="00054C50"/>
    <w:rsid w:val="00060481"/>
    <w:rsid w:val="00063131"/>
    <w:rsid w:val="000643B7"/>
    <w:rsid w:val="000643C0"/>
    <w:rsid w:val="00080D0F"/>
    <w:rsid w:val="00083EB5"/>
    <w:rsid w:val="00093EEF"/>
    <w:rsid w:val="0009788B"/>
    <w:rsid w:val="000A5036"/>
    <w:rsid w:val="000B5469"/>
    <w:rsid w:val="000B55F5"/>
    <w:rsid w:val="000D2349"/>
    <w:rsid w:val="000E39F2"/>
    <w:rsid w:val="001106EE"/>
    <w:rsid w:val="00112EB9"/>
    <w:rsid w:val="0013761D"/>
    <w:rsid w:val="00157D15"/>
    <w:rsid w:val="00190277"/>
    <w:rsid w:val="001C3F41"/>
    <w:rsid w:val="001D2AFF"/>
    <w:rsid w:val="001E3600"/>
    <w:rsid w:val="00212731"/>
    <w:rsid w:val="0022716D"/>
    <w:rsid w:val="002326AF"/>
    <w:rsid w:val="002428A1"/>
    <w:rsid w:val="002600D0"/>
    <w:rsid w:val="00260D3A"/>
    <w:rsid w:val="002756BE"/>
    <w:rsid w:val="002942A4"/>
    <w:rsid w:val="002948A8"/>
    <w:rsid w:val="00296A22"/>
    <w:rsid w:val="002B5DDC"/>
    <w:rsid w:val="002D13F5"/>
    <w:rsid w:val="002D22FB"/>
    <w:rsid w:val="002D576D"/>
    <w:rsid w:val="002E69DA"/>
    <w:rsid w:val="00316521"/>
    <w:rsid w:val="00332B1B"/>
    <w:rsid w:val="00341180"/>
    <w:rsid w:val="00347506"/>
    <w:rsid w:val="00361DE1"/>
    <w:rsid w:val="00367718"/>
    <w:rsid w:val="00375433"/>
    <w:rsid w:val="0038107F"/>
    <w:rsid w:val="003819C1"/>
    <w:rsid w:val="00381AEB"/>
    <w:rsid w:val="003920EE"/>
    <w:rsid w:val="0039611D"/>
    <w:rsid w:val="003972FE"/>
    <w:rsid w:val="003C10AF"/>
    <w:rsid w:val="003C1E29"/>
    <w:rsid w:val="003C5922"/>
    <w:rsid w:val="003E3205"/>
    <w:rsid w:val="003E63FF"/>
    <w:rsid w:val="003F0C49"/>
    <w:rsid w:val="003F4E57"/>
    <w:rsid w:val="003F6431"/>
    <w:rsid w:val="004110E3"/>
    <w:rsid w:val="004263F3"/>
    <w:rsid w:val="004344E7"/>
    <w:rsid w:val="0044097A"/>
    <w:rsid w:val="00446915"/>
    <w:rsid w:val="00457ACE"/>
    <w:rsid w:val="00462671"/>
    <w:rsid w:val="0047793D"/>
    <w:rsid w:val="0049121B"/>
    <w:rsid w:val="004A34E7"/>
    <w:rsid w:val="004A3688"/>
    <w:rsid w:val="004D1726"/>
    <w:rsid w:val="004D394E"/>
    <w:rsid w:val="004E3E17"/>
    <w:rsid w:val="004F09E8"/>
    <w:rsid w:val="00504F07"/>
    <w:rsid w:val="0051200F"/>
    <w:rsid w:val="0052374B"/>
    <w:rsid w:val="00526026"/>
    <w:rsid w:val="00527D07"/>
    <w:rsid w:val="00534EAE"/>
    <w:rsid w:val="00540C3D"/>
    <w:rsid w:val="005503CD"/>
    <w:rsid w:val="00554C9C"/>
    <w:rsid w:val="0056546A"/>
    <w:rsid w:val="0056730B"/>
    <w:rsid w:val="00592CBC"/>
    <w:rsid w:val="005A5603"/>
    <w:rsid w:val="005B098D"/>
    <w:rsid w:val="005B0FD7"/>
    <w:rsid w:val="005C07A0"/>
    <w:rsid w:val="005C27F4"/>
    <w:rsid w:val="005D251D"/>
    <w:rsid w:val="005D69EA"/>
    <w:rsid w:val="005E58D1"/>
    <w:rsid w:val="005E6727"/>
    <w:rsid w:val="005F340C"/>
    <w:rsid w:val="00620DD4"/>
    <w:rsid w:val="006453A3"/>
    <w:rsid w:val="00650A75"/>
    <w:rsid w:val="00672055"/>
    <w:rsid w:val="00676963"/>
    <w:rsid w:val="0069024D"/>
    <w:rsid w:val="00695291"/>
    <w:rsid w:val="00696EE9"/>
    <w:rsid w:val="006D4032"/>
    <w:rsid w:val="006D692A"/>
    <w:rsid w:val="006E4BCB"/>
    <w:rsid w:val="0070332F"/>
    <w:rsid w:val="0071091C"/>
    <w:rsid w:val="00724B29"/>
    <w:rsid w:val="00725A0C"/>
    <w:rsid w:val="007477AA"/>
    <w:rsid w:val="00753651"/>
    <w:rsid w:val="0077338F"/>
    <w:rsid w:val="00780353"/>
    <w:rsid w:val="007C34BB"/>
    <w:rsid w:val="007D3FE7"/>
    <w:rsid w:val="007D47E1"/>
    <w:rsid w:val="007E0750"/>
    <w:rsid w:val="008049E0"/>
    <w:rsid w:val="00825550"/>
    <w:rsid w:val="00827BAE"/>
    <w:rsid w:val="008336F3"/>
    <w:rsid w:val="008455C4"/>
    <w:rsid w:val="0086081D"/>
    <w:rsid w:val="00860CF0"/>
    <w:rsid w:val="00861E6E"/>
    <w:rsid w:val="008669AF"/>
    <w:rsid w:val="008670F7"/>
    <w:rsid w:val="008A256D"/>
    <w:rsid w:val="008B6365"/>
    <w:rsid w:val="008C5730"/>
    <w:rsid w:val="008D098E"/>
    <w:rsid w:val="008E7D08"/>
    <w:rsid w:val="00901276"/>
    <w:rsid w:val="00906688"/>
    <w:rsid w:val="00907DCD"/>
    <w:rsid w:val="009224D5"/>
    <w:rsid w:val="00933606"/>
    <w:rsid w:val="009348B2"/>
    <w:rsid w:val="00946346"/>
    <w:rsid w:val="009525E8"/>
    <w:rsid w:val="00954A76"/>
    <w:rsid w:val="00965280"/>
    <w:rsid w:val="00971CF2"/>
    <w:rsid w:val="00986C27"/>
    <w:rsid w:val="00987BAD"/>
    <w:rsid w:val="00994193"/>
    <w:rsid w:val="009A0D5F"/>
    <w:rsid w:val="009B0ED4"/>
    <w:rsid w:val="009B464C"/>
    <w:rsid w:val="009C4FAF"/>
    <w:rsid w:val="009C58A1"/>
    <w:rsid w:val="009D5600"/>
    <w:rsid w:val="009D75BB"/>
    <w:rsid w:val="009E19EB"/>
    <w:rsid w:val="009E396A"/>
    <w:rsid w:val="009E4A42"/>
    <w:rsid w:val="009F1A68"/>
    <w:rsid w:val="00A00359"/>
    <w:rsid w:val="00A13932"/>
    <w:rsid w:val="00A20257"/>
    <w:rsid w:val="00A24022"/>
    <w:rsid w:val="00A25268"/>
    <w:rsid w:val="00A6269B"/>
    <w:rsid w:val="00A82121"/>
    <w:rsid w:val="00A9459C"/>
    <w:rsid w:val="00AA0EAC"/>
    <w:rsid w:val="00AA5E42"/>
    <w:rsid w:val="00AB4C05"/>
    <w:rsid w:val="00AB4D5E"/>
    <w:rsid w:val="00AE0FB2"/>
    <w:rsid w:val="00AF3D0E"/>
    <w:rsid w:val="00B22833"/>
    <w:rsid w:val="00B22D31"/>
    <w:rsid w:val="00B25254"/>
    <w:rsid w:val="00B25B06"/>
    <w:rsid w:val="00B35413"/>
    <w:rsid w:val="00B46A4F"/>
    <w:rsid w:val="00B76AAC"/>
    <w:rsid w:val="00B9026E"/>
    <w:rsid w:val="00B91851"/>
    <w:rsid w:val="00BA416A"/>
    <w:rsid w:val="00BC1070"/>
    <w:rsid w:val="00BD443B"/>
    <w:rsid w:val="00BD450D"/>
    <w:rsid w:val="00BE52A5"/>
    <w:rsid w:val="00C12C8B"/>
    <w:rsid w:val="00C41F31"/>
    <w:rsid w:val="00C426B9"/>
    <w:rsid w:val="00C4384B"/>
    <w:rsid w:val="00C56238"/>
    <w:rsid w:val="00C61B15"/>
    <w:rsid w:val="00C6203A"/>
    <w:rsid w:val="00C625EF"/>
    <w:rsid w:val="00C662E3"/>
    <w:rsid w:val="00C831EB"/>
    <w:rsid w:val="00C84506"/>
    <w:rsid w:val="00CB7673"/>
    <w:rsid w:val="00CC402A"/>
    <w:rsid w:val="00CC58C1"/>
    <w:rsid w:val="00D17C51"/>
    <w:rsid w:val="00D21ECD"/>
    <w:rsid w:val="00D25A28"/>
    <w:rsid w:val="00D27094"/>
    <w:rsid w:val="00D33C90"/>
    <w:rsid w:val="00D377F9"/>
    <w:rsid w:val="00D43ECA"/>
    <w:rsid w:val="00D530BD"/>
    <w:rsid w:val="00D61457"/>
    <w:rsid w:val="00D61C98"/>
    <w:rsid w:val="00D7276F"/>
    <w:rsid w:val="00D73012"/>
    <w:rsid w:val="00D7372C"/>
    <w:rsid w:val="00D84D3C"/>
    <w:rsid w:val="00DC7E90"/>
    <w:rsid w:val="00DD0521"/>
    <w:rsid w:val="00DD2A90"/>
    <w:rsid w:val="00DF1A69"/>
    <w:rsid w:val="00DF2DBF"/>
    <w:rsid w:val="00E02945"/>
    <w:rsid w:val="00E17BD3"/>
    <w:rsid w:val="00E31A0F"/>
    <w:rsid w:val="00E47994"/>
    <w:rsid w:val="00E50150"/>
    <w:rsid w:val="00E5489A"/>
    <w:rsid w:val="00E63DDC"/>
    <w:rsid w:val="00E80A33"/>
    <w:rsid w:val="00E8321F"/>
    <w:rsid w:val="00E92556"/>
    <w:rsid w:val="00E96711"/>
    <w:rsid w:val="00EA0D19"/>
    <w:rsid w:val="00EA59F0"/>
    <w:rsid w:val="00EA79EA"/>
    <w:rsid w:val="00EB31D1"/>
    <w:rsid w:val="00EC50FC"/>
    <w:rsid w:val="00EC7A55"/>
    <w:rsid w:val="00ED10B1"/>
    <w:rsid w:val="00ED1AE8"/>
    <w:rsid w:val="00ED29CC"/>
    <w:rsid w:val="00ED490A"/>
    <w:rsid w:val="00EE1518"/>
    <w:rsid w:val="00EE6FB7"/>
    <w:rsid w:val="00EF10DE"/>
    <w:rsid w:val="00EF4FB9"/>
    <w:rsid w:val="00F12012"/>
    <w:rsid w:val="00F13792"/>
    <w:rsid w:val="00F34CFA"/>
    <w:rsid w:val="00F36BA5"/>
    <w:rsid w:val="00F50415"/>
    <w:rsid w:val="00F61B42"/>
    <w:rsid w:val="00F62CED"/>
    <w:rsid w:val="00F67B73"/>
    <w:rsid w:val="00F80230"/>
    <w:rsid w:val="00F93AED"/>
    <w:rsid w:val="00F94DF6"/>
    <w:rsid w:val="00FA2838"/>
    <w:rsid w:val="00FA7365"/>
    <w:rsid w:val="00FC2B15"/>
    <w:rsid w:val="00FD1E41"/>
    <w:rsid w:val="00FE32C7"/>
    <w:rsid w:val="00FE41FE"/>
    <w:rsid w:val="00FE6371"/>
    <w:rsid w:val="00FF4D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CA050-BD85-4280-998E-69AA6756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730"/>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10"/>
    <w:next w:val="10"/>
    <w:semiHidden/>
    <w:qFormat/>
    <w:pPr>
      <w:keepNext/>
      <w:spacing w:before="240" w:after="60"/>
      <w:outlineLvl w:val="1"/>
    </w:pPr>
    <w:rPr>
      <w:rFonts w:ascii="Cambria" w:hAnsi="Cambria"/>
      <w:b/>
      <w:bCs/>
      <w:i/>
      <w:iCs/>
      <w:sz w:val="28"/>
      <w:szCs w:val="28"/>
    </w:rPr>
  </w:style>
  <w:style w:type="paragraph" w:styleId="3">
    <w:name w:val="heading 3"/>
    <w:basedOn w:val="10"/>
    <w:next w:val="a"/>
    <w:semiHidden/>
    <w:qFormat/>
    <w:pPr>
      <w:spacing w:before="100" w:beforeAutospacing="1" w:after="100" w:afterAutospacing="1"/>
      <w:outlineLvl w:val="2"/>
    </w:pPr>
    <w:rPr>
      <w:b/>
      <w:bCs/>
      <w:sz w:val="27"/>
      <w:szCs w:val="27"/>
    </w:rPr>
  </w:style>
  <w:style w:type="paragraph" w:styleId="4">
    <w:name w:val="heading 4"/>
    <w:basedOn w:val="a"/>
    <w:next w:val="a"/>
    <w:semiHidden/>
    <w:qFormat/>
    <w:pPr>
      <w:keepNext/>
      <w:keepLines/>
      <w:spacing w:before="240" w:after="40"/>
      <w:outlineLvl w:val="3"/>
    </w:pPr>
    <w:rPr>
      <w:b/>
      <w:sz w:val="24"/>
      <w:szCs w:val="24"/>
    </w:rPr>
  </w:style>
  <w:style w:type="paragraph" w:styleId="5">
    <w:name w:val="heading 5"/>
    <w:basedOn w:val="a"/>
    <w:next w:val="a"/>
    <w:semiHidden/>
    <w:qFormat/>
    <w:pPr>
      <w:keepNext/>
      <w:keepLines/>
      <w:spacing w:before="220" w:after="40"/>
      <w:outlineLvl w:val="4"/>
    </w:pPr>
    <w:rPr>
      <w:b/>
      <w:sz w:val="22"/>
    </w:rPr>
  </w:style>
  <w:style w:type="paragraph" w:styleId="6">
    <w:name w:val="heading 6"/>
    <w:basedOn w:val="a"/>
    <w:next w:val="a"/>
    <w:semiHidden/>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keepNext/>
      <w:keepLines/>
      <w:spacing w:before="480" w:after="120"/>
    </w:pPr>
    <w:rPr>
      <w:b/>
      <w:sz w:val="72"/>
      <w:szCs w:val="72"/>
    </w:rPr>
  </w:style>
  <w:style w:type="paragraph" w:customStyle="1" w:styleId="10">
    <w:name w:val="Звичайний1"/>
    <w:pPr>
      <w:suppressAutoHyphens/>
      <w:spacing w:line="1" w:lineRule="atLeast"/>
      <w:ind w:left="-1" w:hanging="1"/>
      <w:outlineLvl w:val="0"/>
    </w:pPr>
    <w:rPr>
      <w:position w:val="-1"/>
      <w:sz w:val="24"/>
      <w:szCs w:val="24"/>
      <w:lang w:val="ru-RU"/>
    </w:rPr>
  </w:style>
  <w:style w:type="paragraph" w:customStyle="1" w:styleId="11111211112">
    <w:name w:val="Звичайний (веб);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Знак1 Знак2"/>
    <w:basedOn w:val="10"/>
    <w:pPr>
      <w:spacing w:before="100" w:beforeAutospacing="1" w:after="100" w:afterAutospacing="1"/>
    </w:pPr>
  </w:style>
  <w:style w:type="paragraph" w:customStyle="1" w:styleId="11">
    <w:name w:val="Знак Знак Знак Знак Знак Знак Знак Знак1"/>
    <w:basedOn w:val="10"/>
    <w:rPr>
      <w:rFonts w:ascii="Verdana" w:hAnsi="Verdana"/>
      <w:sz w:val="20"/>
      <w:szCs w:val="20"/>
      <w:lang w:val="en-US" w:eastAsia="en-US"/>
    </w:rPr>
  </w:style>
  <w:style w:type="paragraph" w:customStyle="1" w:styleId="12">
    <w:name w:val="Верхній колонтитул1"/>
    <w:basedOn w:val="10"/>
    <w:pPr>
      <w:tabs>
        <w:tab w:val="center" w:pos="4677"/>
        <w:tab w:val="right" w:pos="9355"/>
      </w:tabs>
    </w:pPr>
  </w:style>
  <w:style w:type="paragraph" w:customStyle="1" w:styleId="13">
    <w:name w:val="Нижній колонтитул1"/>
    <w:basedOn w:val="10"/>
    <w:pPr>
      <w:tabs>
        <w:tab w:val="center" w:pos="4677"/>
        <w:tab w:val="right" w:pos="9355"/>
      </w:tabs>
    </w:pPr>
  </w:style>
  <w:style w:type="paragraph" w:customStyle="1" w:styleId="CharCharCharChar1">
    <w:name w:val="Char Знак Знак Char Знак Знак Char Знак Знак Char Знак Знак Знак Знак Знак1 Знак"/>
    <w:basedOn w:val="10"/>
    <w:rPr>
      <w:rFonts w:ascii="Verdana" w:hAnsi="Verdana"/>
      <w:sz w:val="20"/>
      <w:szCs w:val="20"/>
      <w:lang w:val="en-US" w:eastAsia="en-US"/>
    </w:rPr>
  </w:style>
  <w:style w:type="paragraph" w:customStyle="1" w:styleId="a4">
    <w:name w:val="Знак Знак Знак Знак Знак Знак Знак"/>
    <w:basedOn w:val="10"/>
    <w:pPr>
      <w:spacing w:after="120"/>
      <w:ind w:firstLine="709"/>
      <w:jc w:val="both"/>
    </w:pPr>
    <w:rPr>
      <w:rFonts w:ascii="Verdana" w:hAnsi="Verdana"/>
      <w:sz w:val="20"/>
      <w:szCs w:val="20"/>
      <w:lang w:val="en-US" w:eastAsia="en-US"/>
    </w:rPr>
  </w:style>
  <w:style w:type="paragraph" w:customStyle="1" w:styleId="14">
    <w:name w:val="Текст у виносці1"/>
    <w:basedOn w:val="10"/>
    <w:rPr>
      <w:rFonts w:ascii="Tahoma" w:hAnsi="Tahoma"/>
      <w:sz w:val="16"/>
      <w:szCs w:val="16"/>
    </w:rPr>
  </w:style>
  <w:style w:type="paragraph" w:customStyle="1" w:styleId="CharCharCharChar">
    <w:name w:val="Char Знак Знак Char Знак Знак Char Знак Знак Char Знак Знак Знак Знак Знак Знак"/>
    <w:basedOn w:val="10"/>
    <w:rPr>
      <w:rFonts w:ascii="Verdana" w:hAnsi="Verdana"/>
      <w:sz w:val="20"/>
      <w:szCs w:val="20"/>
      <w:lang w:val="en-US" w:eastAsia="en-US"/>
    </w:rPr>
  </w:style>
  <w:style w:type="paragraph" w:customStyle="1" w:styleId="15">
    <w:name w:val="Текст виноски1"/>
    <w:basedOn w:val="10"/>
    <w:rPr>
      <w:sz w:val="20"/>
      <w:szCs w:val="20"/>
    </w:rPr>
  </w:style>
  <w:style w:type="paragraph" w:customStyle="1" w:styleId="16">
    <w:name w:val="Знак Знак1 Знак"/>
    <w:basedOn w:val="10"/>
    <w:rPr>
      <w:rFonts w:ascii="Verdana" w:hAnsi="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w:basedOn w:val="10"/>
    <w:rPr>
      <w:rFonts w:ascii="Verdana" w:hAnsi="Verdana"/>
      <w:sz w:val="20"/>
      <w:szCs w:val="20"/>
      <w:lang w:val="en-US" w:eastAsia="en-US"/>
    </w:rPr>
  </w:style>
  <w:style w:type="paragraph" w:customStyle="1" w:styleId="CharCharCharChar2">
    <w:name w:val="Char Знак Знак Char Знак Знак Char Знак Знак Char Знак Знак Знак Знак"/>
    <w:basedOn w:val="10"/>
    <w:rPr>
      <w:rFonts w:ascii="Verdana" w:hAnsi="Verdana"/>
      <w:sz w:val="20"/>
      <w:szCs w:val="20"/>
      <w:lang w:val="en-US" w:eastAsia="en-US"/>
    </w:rPr>
  </w:style>
  <w:style w:type="paragraph" w:customStyle="1" w:styleId="StyleZakonu">
    <w:name w:val="StyleZakonu"/>
    <w:basedOn w:val="10"/>
    <w:pPr>
      <w:spacing w:after="60" w:line="220" w:lineRule="atLeast"/>
      <w:ind w:firstLine="284"/>
      <w:jc w:val="both"/>
    </w:pPr>
    <w:rPr>
      <w:sz w:val="20"/>
      <w:szCs w:val="20"/>
      <w:lang w:val="uk-UA"/>
    </w:rPr>
  </w:style>
  <w:style w:type="paragraph" w:customStyle="1" w:styleId="a5">
    <w:name w:val="Знак Знак Знак Знак Знак Знак Знак Знак"/>
    <w:basedOn w:val="10"/>
    <w:rPr>
      <w:rFonts w:ascii="Verdana" w:hAnsi="Verdana"/>
      <w:sz w:val="20"/>
      <w:szCs w:val="20"/>
      <w:lang w:val="en-US" w:eastAsia="en-US"/>
    </w:rPr>
  </w:style>
  <w:style w:type="paragraph" w:customStyle="1" w:styleId="a6">
    <w:name w:val="Знак Знак Знак Знак Знак Знак Знак Знак Знак Знак Знак Знак Знак Знак"/>
    <w:basedOn w:val="10"/>
    <w:rPr>
      <w:rFonts w:ascii="Verdana" w:hAnsi="Verdana"/>
      <w:sz w:val="20"/>
      <w:szCs w:val="20"/>
      <w:lang w:val="en-US" w:eastAsia="en-US"/>
    </w:rPr>
  </w:style>
  <w:style w:type="paragraph" w:customStyle="1" w:styleId="CharCharCharChar3">
    <w:name w:val="Char Знак Знак Char Знак Знак Char Знак Знак Char Знак Знак Знак Знак Знак"/>
    <w:basedOn w:val="10"/>
    <w:rPr>
      <w:rFonts w:ascii="Verdana" w:hAnsi="Verdana"/>
      <w:sz w:val="20"/>
      <w:szCs w:val="20"/>
      <w:lang w:val="en-US" w:eastAsia="en-US"/>
    </w:rPr>
  </w:style>
  <w:style w:type="paragraph" w:customStyle="1" w:styleId="Style2">
    <w:name w:val="Style 2"/>
    <w:basedOn w:val="10"/>
    <w:pPr>
      <w:widowControl w:val="0"/>
      <w:shd w:val="clear" w:color="auto" w:fill="FFFFFF"/>
      <w:spacing w:after="540" w:line="307" w:lineRule="atLeast"/>
      <w:jc w:val="center"/>
    </w:pPr>
    <w:rPr>
      <w:sz w:val="26"/>
      <w:szCs w:val="26"/>
    </w:rPr>
  </w:style>
  <w:style w:type="paragraph" w:customStyle="1" w:styleId="a7">
    <w:name w:val="Знак Знак Знак Знак Знак Знак"/>
    <w:basedOn w:val="10"/>
    <w:rPr>
      <w:rFonts w:ascii="Verdana" w:hAnsi="Verdana"/>
      <w:sz w:val="20"/>
      <w:szCs w:val="20"/>
      <w:lang w:val="en-US" w:eastAsia="en-US"/>
    </w:rPr>
  </w:style>
  <w:style w:type="paragraph" w:customStyle="1" w:styleId="21">
    <w:name w:val="Основний текст 21"/>
    <w:basedOn w:val="10"/>
    <w:pPr>
      <w:ind w:right="-2" w:firstLine="567"/>
      <w:jc w:val="both"/>
    </w:pPr>
    <w:rPr>
      <w:i/>
      <w:iCs/>
      <w:sz w:val="28"/>
      <w:szCs w:val="28"/>
      <w:lang w:val="uk-UA"/>
    </w:rPr>
  </w:style>
  <w:style w:type="paragraph" w:customStyle="1" w:styleId="17">
    <w:name w:val="Текст примітки1"/>
    <w:basedOn w:val="10"/>
    <w:qFormat/>
    <w:rPr>
      <w:sz w:val="20"/>
      <w:szCs w:val="20"/>
    </w:rPr>
  </w:style>
  <w:style w:type="paragraph" w:customStyle="1" w:styleId="18">
    <w:name w:val="Тема примітки1"/>
    <w:basedOn w:val="17"/>
    <w:next w:val="17"/>
    <w:qFormat/>
    <w:rPr>
      <w:b/>
      <w:bCs/>
    </w:rPr>
  </w:style>
  <w:style w:type="paragraph" w:styleId="a8">
    <w:name w:val="Subtitle"/>
    <w:basedOn w:val="a"/>
    <w:next w:val="a"/>
    <w:pPr>
      <w:keepNext/>
      <w:keepLines/>
      <w:spacing w:before="360" w:after="80"/>
    </w:pPr>
    <w:rPr>
      <w:rFonts w:ascii="Georgia" w:hAnsi="Georgia"/>
      <w:i/>
      <w:color w:val="666666"/>
      <w:sz w:val="48"/>
      <w:szCs w:val="48"/>
    </w:rPr>
  </w:style>
  <w:style w:type="paragraph" w:styleId="a9">
    <w:name w:val="footnote text"/>
    <w:link w:val="aa"/>
    <w:semiHidden/>
    <w:rPr>
      <w:szCs w:val="20"/>
    </w:rPr>
  </w:style>
  <w:style w:type="paragraph" w:styleId="ab">
    <w:name w:val="endnote text"/>
    <w:link w:val="ac"/>
    <w:semiHidden/>
    <w:rPr>
      <w:szCs w:val="20"/>
    </w:rPr>
  </w:style>
  <w:style w:type="character" w:styleId="ad">
    <w:name w:val="line number"/>
    <w:basedOn w:val="a0"/>
    <w:semiHidden/>
  </w:style>
  <w:style w:type="character" w:styleId="ae">
    <w:name w:val="Hyperlink"/>
    <w:rPr>
      <w:color w:val="0000FF"/>
      <w:u w:val="single"/>
    </w:rPr>
  </w:style>
  <w:style w:type="character" w:customStyle="1" w:styleId="19">
    <w:name w:val="Шрифт абзацу за промовчанням;Знак Знак Знак Знак Знак Знак Знак Знак1 Знак"/>
    <w:rPr>
      <w:w w:val="100"/>
      <w:position w:val="-1"/>
      <w:vertAlign w:val="baseline"/>
      <w:cs w:val="0"/>
    </w:rPr>
  </w:style>
  <w:style w:type="character" w:customStyle="1" w:styleId="111111112112">
    <w:name w:val="Звичайний (веб) Знак;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Знак1 Знак2 Знак"/>
    <w:rPr>
      <w:w w:val="100"/>
      <w:position w:val="-1"/>
      <w:sz w:val="24"/>
      <w:szCs w:val="24"/>
      <w:vertAlign w:val="baseline"/>
      <w:cs w:val="0"/>
      <w:lang w:val="ru-RU" w:eastAsia="ru-RU" w:bidi="ar-SA"/>
    </w:rPr>
  </w:style>
  <w:style w:type="character" w:customStyle="1" w:styleId="1a">
    <w:name w:val="Номер сторінки1"/>
    <w:basedOn w:val="19"/>
    <w:rPr>
      <w:w w:val="100"/>
      <w:position w:val="-1"/>
      <w:vertAlign w:val="baseline"/>
      <w:cs w:val="0"/>
    </w:rPr>
  </w:style>
  <w:style w:type="character" w:customStyle="1" w:styleId="1b">
    <w:name w:val="Знак виноски1"/>
    <w:rPr>
      <w:w w:val="100"/>
      <w:position w:val="-1"/>
      <w:vertAlign w:val="superscript"/>
      <w:cs w:val="0"/>
    </w:rPr>
  </w:style>
  <w:style w:type="character" w:customStyle="1" w:styleId="FontStyle15">
    <w:name w:val="Font Style15"/>
    <w:rPr>
      <w:rFonts w:ascii="Times New Roman" w:hAnsi="Times New Roman"/>
      <w:w w:val="100"/>
      <w:position w:val="-1"/>
      <w:sz w:val="26"/>
      <w:szCs w:val="26"/>
      <w:vertAlign w:val="baseline"/>
      <w:cs w:val="0"/>
    </w:rPr>
  </w:style>
  <w:style w:type="character" w:customStyle="1" w:styleId="StyleZakonu0">
    <w:name w:val="StyleZakonu Знак"/>
    <w:rPr>
      <w:w w:val="100"/>
      <w:position w:val="-1"/>
      <w:vertAlign w:val="baseline"/>
      <w:cs w:val="0"/>
      <w:lang w:val="uk-UA" w:eastAsia="ru-RU" w:bidi="ar-SA"/>
    </w:rPr>
  </w:style>
  <w:style w:type="character" w:customStyle="1" w:styleId="CharStyle3">
    <w:name w:val="Char Style 3"/>
    <w:rPr>
      <w:w w:val="100"/>
      <w:position w:val="-1"/>
      <w:sz w:val="26"/>
      <w:szCs w:val="26"/>
      <w:shd w:val="clear" w:color="auto" w:fill="FFFFFF"/>
      <w:vertAlign w:val="baseline"/>
      <w:cs w:val="0"/>
    </w:rPr>
  </w:style>
  <w:style w:type="character" w:customStyle="1" w:styleId="20">
    <w:name w:val="Заголовок 2 Знак"/>
    <w:rPr>
      <w:rFonts w:ascii="Cambria" w:hAnsi="Cambria"/>
      <w:b/>
      <w:bCs/>
      <w:i/>
      <w:iCs/>
      <w:w w:val="100"/>
      <w:position w:val="-1"/>
      <w:sz w:val="28"/>
      <w:szCs w:val="28"/>
      <w:vertAlign w:val="baseline"/>
      <w:cs w:val="0"/>
      <w:lang w:val="ru-RU" w:eastAsia="ru-RU"/>
    </w:rPr>
  </w:style>
  <w:style w:type="character" w:customStyle="1" w:styleId="22">
    <w:name w:val="Основний текст 2 Знак"/>
    <w:rPr>
      <w:i/>
      <w:iCs/>
      <w:w w:val="100"/>
      <w:position w:val="-1"/>
      <w:sz w:val="28"/>
      <w:szCs w:val="28"/>
      <w:vertAlign w:val="baseline"/>
      <w:cs w:val="0"/>
      <w:lang w:eastAsia="ru-RU"/>
    </w:rPr>
  </w:style>
  <w:style w:type="character" w:customStyle="1" w:styleId="1c">
    <w:name w:val="Знак примітки1"/>
    <w:qFormat/>
    <w:rPr>
      <w:w w:val="100"/>
      <w:position w:val="-1"/>
      <w:sz w:val="16"/>
      <w:szCs w:val="16"/>
      <w:vertAlign w:val="baseline"/>
      <w:cs w:val="0"/>
    </w:rPr>
  </w:style>
  <w:style w:type="character" w:customStyle="1" w:styleId="af">
    <w:name w:val="Текст примітки Знак"/>
    <w:rPr>
      <w:w w:val="100"/>
      <w:position w:val="-1"/>
      <w:vertAlign w:val="baseline"/>
      <w:cs w:val="0"/>
      <w:lang w:val="ru-RU" w:eastAsia="ru-RU"/>
    </w:rPr>
  </w:style>
  <w:style w:type="character" w:customStyle="1" w:styleId="af0">
    <w:name w:val="Тема примітки Знак"/>
    <w:rPr>
      <w:b/>
      <w:bCs/>
      <w:w w:val="100"/>
      <w:position w:val="-1"/>
      <w:vertAlign w:val="baseline"/>
      <w:cs w:val="0"/>
      <w:lang w:val="ru-RU" w:eastAsia="ru-RU"/>
    </w:rPr>
  </w:style>
  <w:style w:type="character" w:styleId="af1">
    <w:name w:val="footnote reference"/>
    <w:semiHidden/>
    <w:rPr>
      <w:vertAlign w:val="superscript"/>
    </w:rPr>
  </w:style>
  <w:style w:type="character" w:customStyle="1" w:styleId="aa">
    <w:name w:val="Текст виноски Знак"/>
    <w:link w:val="a9"/>
    <w:semiHidden/>
    <w:rPr>
      <w:sz w:val="20"/>
      <w:szCs w:val="20"/>
    </w:rPr>
  </w:style>
  <w:style w:type="character" w:styleId="af2">
    <w:name w:val="endnote reference"/>
    <w:semiHidden/>
    <w:rPr>
      <w:vertAlign w:val="superscript"/>
    </w:rPr>
  </w:style>
  <w:style w:type="character" w:customStyle="1" w:styleId="ac">
    <w:name w:val="Текст кінцевої виноски Знак"/>
    <w:link w:val="ab"/>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d">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1e">
    <w:name w:val="Звичайна таблиця1"/>
    <w:pPr>
      <w:suppressAutoHyphens/>
      <w:spacing w:line="1" w:lineRule="atLeast"/>
      <w:ind w:left="-1" w:hanging="1"/>
      <w:outlineLvl w:val="0"/>
    </w:pPr>
    <w:rPr>
      <w:position w:val="-1"/>
    </w:rPr>
    <w:tblPr>
      <w:tblInd w:w="0" w:type="dxa"/>
      <w:tblCellMar>
        <w:top w:w="0" w:type="dxa"/>
        <w:left w:w="108" w:type="dxa"/>
        <w:bottom w:w="0" w:type="dxa"/>
        <w:right w:w="108" w:type="dxa"/>
      </w:tblCellMar>
    </w:tblPr>
  </w:style>
  <w:style w:type="table" w:customStyle="1" w:styleId="1f">
    <w:name w:val="1"/>
    <w:basedOn w:val="TableNormal"/>
    <w:tblPr>
      <w:tblStyleRowBandSize w:val="1"/>
      <w:tblStyleColBandSize w:val="1"/>
      <w:tblCellMar>
        <w:left w:w="108" w:type="dxa"/>
        <w:right w:w="108" w:type="dxa"/>
      </w:tblCellMar>
    </w:tblPr>
  </w:style>
  <w:style w:type="numbering" w:customStyle="1" w:styleId="1f0">
    <w:name w:val="Немає списку1"/>
  </w:style>
  <w:style w:type="paragraph" w:styleId="af3">
    <w:name w:val="footer"/>
    <w:basedOn w:val="a"/>
    <w:link w:val="af4"/>
    <w:uiPriority w:val="99"/>
    <w:unhideWhenUsed/>
    <w:rsid w:val="00462671"/>
    <w:pPr>
      <w:tabs>
        <w:tab w:val="center" w:pos="4819"/>
        <w:tab w:val="right" w:pos="9639"/>
      </w:tabs>
    </w:pPr>
  </w:style>
  <w:style w:type="character" w:customStyle="1" w:styleId="af4">
    <w:name w:val="Нижній колонтитул Знак"/>
    <w:basedOn w:val="a0"/>
    <w:link w:val="af3"/>
    <w:uiPriority w:val="99"/>
    <w:rsid w:val="00462671"/>
  </w:style>
  <w:style w:type="paragraph" w:styleId="af5">
    <w:name w:val="header"/>
    <w:basedOn w:val="a"/>
    <w:link w:val="af6"/>
    <w:uiPriority w:val="99"/>
    <w:unhideWhenUsed/>
    <w:rsid w:val="00462671"/>
    <w:pPr>
      <w:tabs>
        <w:tab w:val="center" w:pos="4819"/>
        <w:tab w:val="right" w:pos="9639"/>
      </w:tabs>
    </w:pPr>
  </w:style>
  <w:style w:type="character" w:customStyle="1" w:styleId="af6">
    <w:name w:val="Верхній колонтитул Знак"/>
    <w:basedOn w:val="a0"/>
    <w:link w:val="af5"/>
    <w:uiPriority w:val="99"/>
    <w:rsid w:val="00462671"/>
  </w:style>
  <w:style w:type="paragraph" w:customStyle="1" w:styleId="rvps2">
    <w:name w:val="rvps2"/>
    <w:basedOn w:val="a"/>
    <w:rsid w:val="004A34E7"/>
    <w:pPr>
      <w:spacing w:before="100" w:beforeAutospacing="1" w:after="100" w:afterAutospacing="1"/>
    </w:pPr>
    <w:rPr>
      <w:sz w:val="24"/>
      <w:szCs w:val="24"/>
    </w:rPr>
  </w:style>
  <w:style w:type="paragraph" w:styleId="af7">
    <w:name w:val="Body Text"/>
    <w:basedOn w:val="a"/>
    <w:link w:val="af8"/>
    <w:uiPriority w:val="1"/>
    <w:qFormat/>
    <w:rsid w:val="004A34E7"/>
    <w:pPr>
      <w:widowControl w:val="0"/>
      <w:autoSpaceDE w:val="0"/>
      <w:autoSpaceDN w:val="0"/>
      <w:ind w:left="361"/>
      <w:jc w:val="both"/>
    </w:pPr>
    <w:rPr>
      <w:sz w:val="28"/>
      <w:szCs w:val="28"/>
      <w:lang w:eastAsia="en-US"/>
    </w:rPr>
  </w:style>
  <w:style w:type="character" w:customStyle="1" w:styleId="af8">
    <w:name w:val="Основний текст Знак"/>
    <w:basedOn w:val="a0"/>
    <w:link w:val="af7"/>
    <w:uiPriority w:val="1"/>
    <w:rsid w:val="004A34E7"/>
    <w:rPr>
      <w:sz w:val="28"/>
      <w:szCs w:val="28"/>
      <w:lang w:eastAsia="en-US"/>
    </w:rPr>
  </w:style>
  <w:style w:type="paragraph" w:styleId="af9">
    <w:name w:val="List Paragraph"/>
    <w:basedOn w:val="a"/>
    <w:uiPriority w:val="34"/>
    <w:qFormat/>
    <w:rsid w:val="004A34E7"/>
    <w:pPr>
      <w:spacing w:after="160" w:line="259" w:lineRule="auto"/>
      <w:ind w:left="720"/>
      <w:contextualSpacing/>
    </w:pPr>
    <w:rPr>
      <w:rFonts w:asciiTheme="minorHAnsi" w:eastAsiaTheme="minorHAnsi" w:hAnsiTheme="minorHAnsi" w:cstheme="minorBidi"/>
      <w:sz w:val="22"/>
      <w:lang w:eastAsia="en-US"/>
    </w:rPr>
  </w:style>
  <w:style w:type="paragraph" w:customStyle="1" w:styleId="rvps14">
    <w:name w:val="rvps14"/>
    <w:basedOn w:val="a"/>
    <w:rsid w:val="009D75BB"/>
    <w:pPr>
      <w:spacing w:before="100" w:beforeAutospacing="1" w:after="100" w:afterAutospacing="1"/>
    </w:pPr>
    <w:rPr>
      <w:sz w:val="24"/>
      <w:szCs w:val="24"/>
      <w:lang w:val="ru-RU" w:eastAsia="ru-RU"/>
    </w:rPr>
  </w:style>
  <w:style w:type="paragraph" w:customStyle="1" w:styleId="rvps12">
    <w:name w:val="rvps12"/>
    <w:basedOn w:val="a"/>
    <w:rsid w:val="009D75BB"/>
    <w:pPr>
      <w:spacing w:before="100" w:beforeAutospacing="1" w:after="100" w:afterAutospacing="1"/>
    </w:pPr>
    <w:rPr>
      <w:sz w:val="24"/>
      <w:szCs w:val="24"/>
      <w:lang w:val="ru-RU" w:eastAsia="ru-RU"/>
    </w:rPr>
  </w:style>
  <w:style w:type="paragraph" w:styleId="afa">
    <w:name w:val="Normal (Web)"/>
    <w:aliases w:val="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Знак,Знак11"/>
    <w:basedOn w:val="a"/>
    <w:link w:val="afb"/>
    <w:uiPriority w:val="99"/>
    <w:rsid w:val="00F61B42"/>
    <w:pPr>
      <w:spacing w:before="100" w:beforeAutospacing="1" w:after="100" w:afterAutospacing="1"/>
    </w:pPr>
    <w:rPr>
      <w:rFonts w:eastAsia="Calibri"/>
      <w:color w:val="000000"/>
      <w:sz w:val="24"/>
      <w:szCs w:val="20"/>
      <w:lang w:val="x-none" w:eastAsia="ru-RU"/>
    </w:rPr>
  </w:style>
  <w:style w:type="character" w:customStyle="1" w:styleId="afb">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Знак Знак,Знак11 Знак"/>
    <w:link w:val="afa"/>
    <w:locked/>
    <w:rsid w:val="00F61B42"/>
    <w:rPr>
      <w:rFonts w:eastAsia="Calibri"/>
      <w:color w:val="000000"/>
      <w:sz w:val="24"/>
      <w:szCs w:val="20"/>
      <w:lang w:val="x-none" w:eastAsia="ru-RU"/>
    </w:rPr>
  </w:style>
  <w:style w:type="table" w:styleId="afc">
    <w:name w:val="Table Grid"/>
    <w:basedOn w:val="a1"/>
    <w:uiPriority w:val="59"/>
    <w:rsid w:val="00AB4C05"/>
    <w:rPr>
      <w:rFonts w:ascii="Calibri" w:hAnsi="Calibri"/>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1"/>
    <w:rsid w:val="005A5603"/>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rsid w:val="005A5603"/>
    <w:rPr>
      <w:rFonts w:ascii="Calibri" w:hAnsi="Calibr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alloon Text"/>
    <w:basedOn w:val="a"/>
    <w:link w:val="afe"/>
    <w:uiPriority w:val="99"/>
    <w:semiHidden/>
    <w:unhideWhenUsed/>
    <w:rsid w:val="00B35413"/>
    <w:rPr>
      <w:rFonts w:ascii="Segoe UI" w:hAnsi="Segoe UI" w:cs="Segoe UI"/>
      <w:sz w:val="18"/>
      <w:szCs w:val="18"/>
    </w:rPr>
  </w:style>
  <w:style w:type="character" w:customStyle="1" w:styleId="afe">
    <w:name w:val="Текст у виносці Знак"/>
    <w:basedOn w:val="a0"/>
    <w:link w:val="afd"/>
    <w:uiPriority w:val="99"/>
    <w:semiHidden/>
    <w:rsid w:val="00B3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9984">
      <w:bodyDiv w:val="1"/>
      <w:marLeft w:val="0"/>
      <w:marRight w:val="0"/>
      <w:marTop w:val="0"/>
      <w:marBottom w:val="0"/>
      <w:divBdr>
        <w:top w:val="none" w:sz="0" w:space="0" w:color="auto"/>
        <w:left w:val="none" w:sz="0" w:space="0" w:color="auto"/>
        <w:bottom w:val="none" w:sz="0" w:space="0" w:color="auto"/>
        <w:right w:val="none" w:sz="0" w:space="0" w:color="auto"/>
      </w:divBdr>
    </w:div>
    <w:div w:id="759105570">
      <w:bodyDiv w:val="1"/>
      <w:marLeft w:val="0"/>
      <w:marRight w:val="0"/>
      <w:marTop w:val="0"/>
      <w:marBottom w:val="0"/>
      <w:divBdr>
        <w:top w:val="none" w:sz="0" w:space="0" w:color="auto"/>
        <w:left w:val="none" w:sz="0" w:space="0" w:color="auto"/>
        <w:bottom w:val="none" w:sz="0" w:space="0" w:color="auto"/>
        <w:right w:val="none" w:sz="0" w:space="0" w:color="auto"/>
      </w:divBdr>
    </w:div>
    <w:div w:id="781261981">
      <w:bodyDiv w:val="1"/>
      <w:marLeft w:val="0"/>
      <w:marRight w:val="0"/>
      <w:marTop w:val="0"/>
      <w:marBottom w:val="0"/>
      <w:divBdr>
        <w:top w:val="none" w:sz="0" w:space="0" w:color="auto"/>
        <w:left w:val="none" w:sz="0" w:space="0" w:color="auto"/>
        <w:bottom w:val="none" w:sz="0" w:space="0" w:color="auto"/>
        <w:right w:val="none" w:sz="0" w:space="0" w:color="auto"/>
      </w:divBdr>
    </w:div>
    <w:div w:id="885064030">
      <w:bodyDiv w:val="1"/>
      <w:marLeft w:val="0"/>
      <w:marRight w:val="0"/>
      <w:marTop w:val="0"/>
      <w:marBottom w:val="0"/>
      <w:divBdr>
        <w:top w:val="none" w:sz="0" w:space="0" w:color="auto"/>
        <w:left w:val="none" w:sz="0" w:space="0" w:color="auto"/>
        <w:bottom w:val="none" w:sz="0" w:space="0" w:color="auto"/>
        <w:right w:val="none" w:sz="0" w:space="0" w:color="auto"/>
      </w:divBdr>
    </w:div>
    <w:div w:id="1423525843">
      <w:bodyDiv w:val="1"/>
      <w:marLeft w:val="0"/>
      <w:marRight w:val="0"/>
      <w:marTop w:val="0"/>
      <w:marBottom w:val="0"/>
      <w:divBdr>
        <w:top w:val="none" w:sz="0" w:space="0" w:color="auto"/>
        <w:left w:val="none" w:sz="0" w:space="0" w:color="auto"/>
        <w:bottom w:val="none" w:sz="0" w:space="0" w:color="auto"/>
        <w:right w:val="none" w:sz="0" w:space="0" w:color="auto"/>
      </w:divBdr>
    </w:div>
    <w:div w:id="1488781913">
      <w:bodyDiv w:val="1"/>
      <w:marLeft w:val="0"/>
      <w:marRight w:val="0"/>
      <w:marTop w:val="0"/>
      <w:marBottom w:val="0"/>
      <w:divBdr>
        <w:top w:val="none" w:sz="0" w:space="0" w:color="auto"/>
        <w:left w:val="none" w:sz="0" w:space="0" w:color="auto"/>
        <w:bottom w:val="none" w:sz="0" w:space="0" w:color="auto"/>
        <w:right w:val="none" w:sz="0" w:space="0" w:color="auto"/>
      </w:divBdr>
    </w:div>
    <w:div w:id="1999923623">
      <w:bodyDiv w:val="1"/>
      <w:marLeft w:val="0"/>
      <w:marRight w:val="0"/>
      <w:marTop w:val="0"/>
      <w:marBottom w:val="0"/>
      <w:divBdr>
        <w:top w:val="none" w:sz="0" w:space="0" w:color="auto"/>
        <w:left w:val="none" w:sz="0" w:space="0" w:color="auto"/>
        <w:bottom w:val="none" w:sz="0" w:space="0" w:color="auto"/>
        <w:right w:val="none" w:sz="0" w:space="0" w:color="auto"/>
      </w:divBdr>
    </w:div>
    <w:div w:id="2126726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H6kxD7TUP7B0gCwXrqfEDKHmJQ==">AMUW2mUskA+4IhcRmDZRqhbiFA+EyaSSKODt1VKUyDXSGvEmfZs5w5sDpI7NCRedeJ5JKG7feDvHTvcuUhuQXtJnNJPrpXITQZldJsoMu/9hTLis+BGgMiU0Xz2FuL2QPlZyssv90+24EBCX0pYkewRvQpnBxHvSEJnSXvx4H+VA0+ajS1AwtRRzuZfhpmw6yC210zzslkADaPQ01OccgSbShllnPuX+vwS+sygFJ06dEOBtHPkfRGU=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F2CCC3-7AEC-4DC1-9111-07701CD9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26667</Words>
  <Characters>15201</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Ministry of Finance of Ukraine</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d16-rochnyak</dc:creator>
  <cp:keywords/>
  <dc:description/>
  <cp:lastModifiedBy>Сенченко Вікторія Миколаївна</cp:lastModifiedBy>
  <cp:revision>2</cp:revision>
  <cp:lastPrinted>2023-01-24T13:16:00Z</cp:lastPrinted>
  <dcterms:created xsi:type="dcterms:W3CDTF">2023-01-25T12:21:00Z</dcterms:created>
  <dcterms:modified xsi:type="dcterms:W3CDTF">2023-01-25T12:21:00Z</dcterms:modified>
</cp:coreProperties>
</file>