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31175" w:rsidRPr="00630DFC" w:rsidTr="00606F0C">
        <w:tc>
          <w:tcPr>
            <w:tcW w:w="4857" w:type="dxa"/>
            <w:shd w:val="clear" w:color="auto" w:fill="auto"/>
          </w:tcPr>
          <w:p w:rsidR="00E76AB1" w:rsidRPr="00231175" w:rsidRDefault="00E76AB1" w:rsidP="006953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857" w:type="dxa"/>
            <w:shd w:val="clear" w:color="auto" w:fill="auto"/>
          </w:tcPr>
          <w:p w:rsidR="00E76AB1" w:rsidRPr="00231175" w:rsidRDefault="00E76AB1" w:rsidP="0023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E76AB1" w:rsidRPr="00231175" w:rsidRDefault="00E76AB1" w:rsidP="00630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Міністерства фінансів України  </w:t>
            </w:r>
            <w:r w:rsidR="0063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 квітня</w:t>
            </w:r>
            <w:r w:rsidRPr="0023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63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23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231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  <w:p w:rsidR="00E76AB1" w:rsidRPr="00231175" w:rsidRDefault="00E76AB1" w:rsidP="006953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3961" w:rsidRPr="00231175" w:rsidRDefault="00E76AB1" w:rsidP="00A37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Узагальнююча податкова консультація </w:t>
      </w:r>
    </w:p>
    <w:p w:rsidR="00E76AB1" w:rsidRPr="00231175" w:rsidRDefault="00E76AB1" w:rsidP="006953F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необхідності </w:t>
      </w:r>
      <w:r w:rsidR="003D0B7D" w:rsidRPr="00231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коригування фінансового результату до оподаткування у зв’язку із використанням резерву при здійсненні прощення </w:t>
      </w:r>
      <w:r w:rsidR="00DD69BA" w:rsidRPr="00231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фінансовою установою </w:t>
      </w:r>
      <w:r w:rsidR="003D0B7D" w:rsidRPr="00231175">
        <w:rPr>
          <w:rFonts w:ascii="Times New Roman" w:hAnsi="Times New Roman" w:cs="Times New Roman"/>
          <w:b/>
          <w:sz w:val="28"/>
          <w:szCs w:val="28"/>
          <w:lang w:val="uk-UA"/>
        </w:rPr>
        <w:t>заборгованості боржника</w:t>
      </w:r>
    </w:p>
    <w:p w:rsidR="003D0B7D" w:rsidRPr="00231175" w:rsidRDefault="003D0B7D" w:rsidP="006953F1">
      <w:pPr>
        <w:pStyle w:val="a3"/>
        <w:spacing w:before="0" w:beforeAutospacing="0" w:after="120" w:afterAutospacing="0"/>
        <w:ind w:firstLine="709"/>
        <w:jc w:val="both"/>
        <w:rPr>
          <w:strike/>
          <w:sz w:val="28"/>
          <w:szCs w:val="28"/>
          <w:lang w:val="uk-UA"/>
        </w:rPr>
      </w:pPr>
    </w:p>
    <w:p w:rsidR="00871C40" w:rsidRPr="00231175" w:rsidRDefault="003D0B7D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Відповідно до статті 605 Цивільного Кодексу України</w:t>
      </w:r>
      <w:r w:rsidR="00871C40" w:rsidRPr="00231175">
        <w:rPr>
          <w:sz w:val="28"/>
          <w:szCs w:val="28"/>
          <w:lang w:val="uk-UA"/>
        </w:rPr>
        <w:t xml:space="preserve"> зобов'язання припиняється внаслідок звільнення (прощення боргу) кредитором боржника від його обов'язків, якщо це не порушує прав третіх осіб щодо майна кредитора.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  <w:lang w:val="uk-UA"/>
        </w:rPr>
      </w:pPr>
    </w:p>
    <w:p w:rsidR="003D0B7D" w:rsidRPr="00231175" w:rsidRDefault="00871C40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Таким чином,</w:t>
      </w:r>
      <w:r w:rsidR="003D0B7D" w:rsidRPr="00231175">
        <w:rPr>
          <w:sz w:val="28"/>
          <w:szCs w:val="28"/>
          <w:lang w:val="uk-UA"/>
        </w:rPr>
        <w:t xml:space="preserve"> прощення заборгованості є одним з видів припинення зобов'язання.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815C3C" w:rsidRPr="00231175" w:rsidRDefault="003D0B7D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 xml:space="preserve">Згідно </w:t>
      </w:r>
      <w:r w:rsidR="00815C3C" w:rsidRPr="00231175">
        <w:rPr>
          <w:sz w:val="28"/>
          <w:szCs w:val="28"/>
          <w:lang w:val="uk-UA"/>
        </w:rPr>
        <w:t xml:space="preserve">з </w:t>
      </w:r>
      <w:r w:rsidRPr="00231175">
        <w:rPr>
          <w:sz w:val="28"/>
          <w:szCs w:val="28"/>
          <w:lang w:val="uk-UA"/>
        </w:rPr>
        <w:t>підпункт</w:t>
      </w:r>
      <w:r w:rsidR="00815C3C" w:rsidRPr="00231175">
        <w:rPr>
          <w:sz w:val="28"/>
          <w:szCs w:val="28"/>
          <w:lang w:val="uk-UA"/>
        </w:rPr>
        <w:t>ом</w:t>
      </w:r>
      <w:r w:rsidRPr="00231175">
        <w:rPr>
          <w:sz w:val="28"/>
          <w:szCs w:val="28"/>
          <w:lang w:val="uk-UA"/>
        </w:rPr>
        <w:t xml:space="preserve"> 139.3.2 пункту 139.3 статті 139 Податкового </w:t>
      </w:r>
      <w:r w:rsidR="0054623D" w:rsidRPr="00231175">
        <w:rPr>
          <w:sz w:val="28"/>
          <w:szCs w:val="28"/>
          <w:lang w:val="uk-UA"/>
        </w:rPr>
        <w:t>к</w:t>
      </w:r>
      <w:r w:rsidRPr="00231175">
        <w:rPr>
          <w:sz w:val="28"/>
          <w:szCs w:val="28"/>
          <w:lang w:val="uk-UA"/>
        </w:rPr>
        <w:t>одексу України (далі – Кодекс) використання резерву у зв</w:t>
      </w:r>
      <w:r w:rsidR="00B24812" w:rsidRPr="00231175">
        <w:rPr>
          <w:sz w:val="28"/>
          <w:szCs w:val="28"/>
          <w:lang w:val="uk-UA"/>
        </w:rPr>
        <w:t>'</w:t>
      </w:r>
      <w:r w:rsidRPr="00231175">
        <w:rPr>
          <w:sz w:val="28"/>
          <w:szCs w:val="28"/>
          <w:lang w:val="uk-UA"/>
        </w:rPr>
        <w:t xml:space="preserve">язку із припиненням визнання активу згідно з вимогами міжнародних стандартів фінансової звітності не змінює фінансовий результат до оподаткування, крім випадків, визначених підпунктами 139.3.3 та 139.3.4 цього пункту. 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3D0B7D" w:rsidRPr="00231175" w:rsidRDefault="003D0B7D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 xml:space="preserve">Відтак, </w:t>
      </w:r>
      <w:r w:rsidR="00B24812" w:rsidRPr="00231175">
        <w:rPr>
          <w:sz w:val="28"/>
          <w:szCs w:val="28"/>
          <w:lang w:val="uk-UA"/>
        </w:rPr>
        <w:t xml:space="preserve">цей </w:t>
      </w:r>
      <w:r w:rsidRPr="00231175">
        <w:rPr>
          <w:sz w:val="28"/>
          <w:szCs w:val="28"/>
          <w:lang w:val="uk-UA"/>
        </w:rPr>
        <w:t>підпункт передбачає можливість застосування підпунктів 139.3.3 та 139.3.4 пункту 139.3 статті 139 Кодексу до випадків припинення визнання активу.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3D0B7D" w:rsidRPr="00231175" w:rsidRDefault="003D0B7D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 xml:space="preserve">Відповідно до </w:t>
      </w:r>
      <w:r w:rsidR="00953237" w:rsidRPr="00231175">
        <w:rPr>
          <w:sz w:val="28"/>
          <w:szCs w:val="28"/>
          <w:lang w:val="uk-UA"/>
        </w:rPr>
        <w:t xml:space="preserve">підпункту </w:t>
      </w:r>
      <w:r w:rsidRPr="00231175">
        <w:rPr>
          <w:sz w:val="28"/>
          <w:szCs w:val="28"/>
          <w:lang w:val="uk-UA"/>
        </w:rPr>
        <w:t>2 підпункту 139.3.3 пункту 139.3 статті 139 Кодексу</w:t>
      </w:r>
      <w:r w:rsidR="00953237" w:rsidRPr="00231175">
        <w:rPr>
          <w:sz w:val="28"/>
          <w:szCs w:val="28"/>
          <w:lang w:val="uk-UA"/>
        </w:rPr>
        <w:t>,</w:t>
      </w:r>
      <w:r w:rsidRPr="00231175">
        <w:rPr>
          <w:sz w:val="28"/>
          <w:szCs w:val="28"/>
          <w:lang w:val="uk-UA"/>
        </w:rPr>
        <w:t xml:space="preserve"> </w:t>
      </w:r>
      <w:r w:rsidR="00953237" w:rsidRPr="00231175">
        <w:rPr>
          <w:sz w:val="28"/>
          <w:szCs w:val="28"/>
          <w:lang w:val="uk-UA"/>
        </w:rPr>
        <w:t>у</w:t>
      </w:r>
      <w:r w:rsidRPr="00231175">
        <w:rPr>
          <w:sz w:val="28"/>
          <w:szCs w:val="28"/>
          <w:lang w:val="uk-UA"/>
        </w:rPr>
        <w:t xml:space="preserve"> редакції, що діяла до </w:t>
      </w:r>
      <w:r w:rsidR="00871C40" w:rsidRPr="00231175">
        <w:rPr>
          <w:sz w:val="28"/>
          <w:szCs w:val="28"/>
          <w:lang w:val="uk-UA"/>
        </w:rPr>
        <w:t>01 січня 2018 року</w:t>
      </w:r>
      <w:r w:rsidRPr="00231175">
        <w:rPr>
          <w:sz w:val="28"/>
          <w:szCs w:val="28"/>
          <w:lang w:val="uk-UA"/>
        </w:rPr>
        <w:t>, фінансовий результат до оподаткування збільшується на суму використання резерву для списання (відшкодування) активу, який не відповідає ознакам, визначеним </w:t>
      </w:r>
      <w:hyperlink r:id="rId8" w:anchor="n271" w:history="1">
        <w:r w:rsidRPr="00231175">
          <w:rPr>
            <w:sz w:val="28"/>
            <w:szCs w:val="28"/>
            <w:lang w:val="uk-UA"/>
          </w:rPr>
          <w:t>підпунктом 14.1.11</w:t>
        </w:r>
      </w:hyperlink>
      <w:r w:rsidRPr="00231175">
        <w:rPr>
          <w:sz w:val="28"/>
          <w:szCs w:val="28"/>
          <w:lang w:val="uk-UA"/>
        </w:rPr>
        <w:t> пункту 14.1 статті 14 цього Кодексу, крім суми, що списується за рахунок тієї частини резерву, на яку збільшувався фінансовий результат до оподаткування у зв</w:t>
      </w:r>
      <w:r w:rsidR="00B24812" w:rsidRPr="00231175">
        <w:rPr>
          <w:sz w:val="28"/>
          <w:szCs w:val="28"/>
          <w:lang w:val="uk-UA"/>
        </w:rPr>
        <w:t>'</w:t>
      </w:r>
      <w:r w:rsidRPr="00231175">
        <w:rPr>
          <w:sz w:val="28"/>
          <w:szCs w:val="28"/>
          <w:lang w:val="uk-UA"/>
        </w:rPr>
        <w:t>язку з перевищенням над лімітом.</w:t>
      </w:r>
    </w:p>
    <w:p w:rsidR="00231175" w:rsidRPr="00630DFC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C80787" w:rsidRPr="00014CAA" w:rsidRDefault="00C8078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Таким чином, у податкових (звітних) періодах до 01 січня 2018 року у випадку використання сформованого резерву у зв</w:t>
      </w:r>
      <w:r w:rsidR="00B24812" w:rsidRPr="00231175">
        <w:rPr>
          <w:sz w:val="28"/>
          <w:szCs w:val="28"/>
          <w:lang w:val="uk-UA"/>
        </w:rPr>
        <w:t>'</w:t>
      </w:r>
      <w:r w:rsidRPr="00231175">
        <w:rPr>
          <w:sz w:val="28"/>
          <w:szCs w:val="28"/>
          <w:lang w:val="uk-UA"/>
        </w:rPr>
        <w:t xml:space="preserve">язку з прощенням </w:t>
      </w:r>
      <w:r w:rsidRPr="00014CAA">
        <w:rPr>
          <w:sz w:val="28"/>
          <w:szCs w:val="28"/>
          <w:lang w:val="uk-UA"/>
        </w:rPr>
        <w:t>заборгованості боржника фінансова установа має оцінити, чи відповідає заборгованість на момент її прощення ознакам, визначеним підпунктом 14.1.11 пункту 14.1 статті 14 Кодексу</w:t>
      </w:r>
      <w:r w:rsidR="00135635" w:rsidRPr="00014CAA">
        <w:rPr>
          <w:sz w:val="28"/>
          <w:szCs w:val="28"/>
          <w:lang w:val="uk-UA"/>
        </w:rPr>
        <w:t xml:space="preserve"> у редакції, що діяла до 01 січня 2018 року</w:t>
      </w:r>
      <w:r w:rsidRPr="00014CAA">
        <w:rPr>
          <w:sz w:val="28"/>
          <w:szCs w:val="28"/>
          <w:lang w:val="uk-UA"/>
        </w:rPr>
        <w:t xml:space="preserve">. У </w:t>
      </w:r>
      <w:r w:rsidR="00B24812" w:rsidRPr="00014CAA">
        <w:rPr>
          <w:sz w:val="28"/>
          <w:szCs w:val="28"/>
          <w:lang w:val="uk-UA"/>
        </w:rPr>
        <w:t>разі</w:t>
      </w:r>
      <w:r w:rsidRPr="00014CAA">
        <w:rPr>
          <w:sz w:val="28"/>
          <w:szCs w:val="28"/>
          <w:lang w:val="uk-UA"/>
        </w:rPr>
        <w:t xml:space="preserve"> якщо прощенню підлягає заборгованість, що не відповідає ознакам, визначеним підпунктом 14.1.11 пункту 14.1 статі 14 Кодексу</w:t>
      </w:r>
      <w:r w:rsidR="00135635" w:rsidRPr="00014CAA">
        <w:rPr>
          <w:sz w:val="28"/>
          <w:szCs w:val="28"/>
          <w:lang w:val="uk-UA"/>
        </w:rPr>
        <w:t xml:space="preserve"> у редакції, що діяла до 01 січня 2018 року</w:t>
      </w:r>
      <w:r w:rsidRPr="00014CAA">
        <w:rPr>
          <w:sz w:val="28"/>
          <w:szCs w:val="28"/>
          <w:lang w:val="uk-UA"/>
        </w:rPr>
        <w:t>, фінансовий результат до оподаткування збільшується на суму використаного резерву, крім суми, що списується за рахунок тієї частини резерву, на яку збільшувався фінансовий результат до оподаткування у зв</w:t>
      </w:r>
      <w:r w:rsidR="00B24812" w:rsidRPr="00014CAA">
        <w:rPr>
          <w:sz w:val="28"/>
          <w:szCs w:val="28"/>
          <w:lang w:val="uk-UA"/>
        </w:rPr>
        <w:t>'</w:t>
      </w:r>
      <w:r w:rsidRPr="00014CAA">
        <w:rPr>
          <w:sz w:val="28"/>
          <w:szCs w:val="28"/>
          <w:lang w:val="uk-UA"/>
        </w:rPr>
        <w:t>язку з перевищенням над лімітом.</w:t>
      </w:r>
    </w:p>
    <w:p w:rsidR="00953237" w:rsidRDefault="0095323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014CAA">
        <w:rPr>
          <w:sz w:val="28"/>
          <w:szCs w:val="28"/>
          <w:lang w:val="uk-UA"/>
        </w:rPr>
        <w:lastRenderedPageBreak/>
        <w:t xml:space="preserve">Законом України від </w:t>
      </w:r>
      <w:r w:rsidR="00135635" w:rsidRPr="00014CAA">
        <w:rPr>
          <w:sz w:val="28"/>
          <w:szCs w:val="28"/>
          <w:lang w:val="uk-UA"/>
        </w:rPr>
        <w:t>07 грудня 2017 року</w:t>
      </w:r>
      <w:r w:rsidRPr="00014CAA">
        <w:rPr>
          <w:sz w:val="28"/>
          <w:szCs w:val="28"/>
          <w:lang w:val="uk-UA"/>
        </w:rPr>
        <w:t xml:space="preserve"> №</w:t>
      </w:r>
      <w:r w:rsidR="00C43342" w:rsidRPr="00014CAA">
        <w:rPr>
          <w:sz w:val="28"/>
          <w:szCs w:val="28"/>
          <w:lang w:val="uk-UA"/>
        </w:rPr>
        <w:t> </w:t>
      </w:r>
      <w:r w:rsidRPr="00014CAA">
        <w:rPr>
          <w:sz w:val="28"/>
          <w:szCs w:val="28"/>
          <w:lang w:val="uk-UA"/>
        </w:rPr>
        <w:t xml:space="preserve">2245-VIII </w:t>
      </w:r>
      <w:r w:rsidRPr="00014CAA">
        <w:rPr>
          <w:lang w:val="uk-UA"/>
        </w:rPr>
        <w:t>«</w:t>
      </w:r>
      <w:r w:rsidRPr="00014CAA">
        <w:rPr>
          <w:sz w:val="28"/>
          <w:szCs w:val="28"/>
          <w:lang w:val="uk-UA"/>
        </w:rPr>
        <w:t xml:space="preserve">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було, зокрема </w:t>
      </w:r>
      <w:r w:rsidR="00B24812" w:rsidRPr="00014CAA">
        <w:rPr>
          <w:sz w:val="28"/>
          <w:szCs w:val="28"/>
          <w:lang w:val="uk-UA"/>
        </w:rPr>
        <w:t xml:space="preserve">внесено </w:t>
      </w:r>
      <w:r w:rsidRPr="00014CAA">
        <w:rPr>
          <w:sz w:val="28"/>
          <w:szCs w:val="28"/>
          <w:lang w:val="uk-UA"/>
        </w:rPr>
        <w:t>зміни до підпунктів 14.1.11 пункту 14.1 статті 14 та підпункту 139.3.3 пункту 139.3 статті 139 Кодексу, а саме:</w:t>
      </w:r>
    </w:p>
    <w:p w:rsidR="0050113D" w:rsidRPr="0050113D" w:rsidRDefault="0050113D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2"/>
          <w:szCs w:val="12"/>
          <w:lang w:val="uk-UA"/>
        </w:rPr>
      </w:pPr>
    </w:p>
    <w:p w:rsidR="00135635" w:rsidRPr="00231175" w:rsidRDefault="00135635" w:rsidP="0050113D">
      <w:pPr>
        <w:pStyle w:val="a3"/>
        <w:spacing w:before="24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014CAA">
        <w:rPr>
          <w:sz w:val="28"/>
          <w:szCs w:val="28"/>
          <w:lang w:val="uk-UA"/>
        </w:rPr>
        <w:t xml:space="preserve">підпункт </w:t>
      </w:r>
      <w:r w:rsidR="00014CAA" w:rsidRPr="00014CAA">
        <w:rPr>
          <w:sz w:val="28"/>
          <w:szCs w:val="28"/>
          <w:lang w:val="uk-UA"/>
        </w:rPr>
        <w:t>«</w:t>
      </w:r>
      <w:r w:rsidRPr="00014CAA">
        <w:rPr>
          <w:sz w:val="28"/>
          <w:szCs w:val="28"/>
          <w:lang w:val="uk-UA"/>
        </w:rPr>
        <w:t>г</w:t>
      </w:r>
      <w:r w:rsidR="00014CAA" w:rsidRPr="00014CAA">
        <w:rPr>
          <w:sz w:val="28"/>
          <w:szCs w:val="28"/>
          <w:lang w:val="uk-UA"/>
        </w:rPr>
        <w:t>»</w:t>
      </w:r>
      <w:r w:rsidRPr="00014CAA">
        <w:rPr>
          <w:sz w:val="28"/>
          <w:szCs w:val="28"/>
          <w:lang w:val="uk-UA"/>
        </w:rPr>
        <w:t xml:space="preserve"> підпункту 14.1.11 пункту 14.1 статті 14 Кодексу виключено;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C80787" w:rsidRPr="00231175" w:rsidRDefault="00C8078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підпункт 139.3.3 пункту 139.3 статті 139 Кодексу викладено в новій редакції.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C80787" w:rsidRPr="00231175" w:rsidRDefault="0095323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Відповідно до підпункту 139.3.3 пункту 139.3 статті 139 Кодексу, у редакції, що діє після 01</w:t>
      </w:r>
      <w:r w:rsidR="00871C40" w:rsidRPr="00231175">
        <w:rPr>
          <w:sz w:val="28"/>
          <w:szCs w:val="28"/>
          <w:lang w:val="uk-UA"/>
        </w:rPr>
        <w:t xml:space="preserve"> січня </w:t>
      </w:r>
      <w:r w:rsidRPr="00231175">
        <w:rPr>
          <w:sz w:val="28"/>
          <w:szCs w:val="28"/>
          <w:lang w:val="uk-UA"/>
        </w:rPr>
        <w:t>2018</w:t>
      </w:r>
      <w:r w:rsidR="00871C40" w:rsidRPr="00231175">
        <w:rPr>
          <w:sz w:val="28"/>
          <w:szCs w:val="28"/>
          <w:lang w:val="uk-UA"/>
        </w:rPr>
        <w:t xml:space="preserve"> року</w:t>
      </w:r>
      <w:r w:rsidRPr="00231175">
        <w:rPr>
          <w:sz w:val="28"/>
          <w:szCs w:val="28"/>
          <w:lang w:val="uk-UA"/>
        </w:rPr>
        <w:t xml:space="preserve">, </w:t>
      </w:r>
      <w:r w:rsidR="00C80787" w:rsidRPr="00231175">
        <w:rPr>
          <w:sz w:val="28"/>
          <w:szCs w:val="28"/>
          <w:lang w:val="uk-UA"/>
        </w:rPr>
        <w:t>фінансовий результат до оподаткування збільшується: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C80787" w:rsidRPr="00231175" w:rsidRDefault="00C8078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1) на суму використання резерву для списання (відшкодування) активу, який не відповідає ознакам, визначеним підпунктом 14.1.11 пункту 14.1 статті 14 цього Кодексу;</w:t>
      </w:r>
    </w:p>
    <w:p w:rsidR="00231175" w:rsidRPr="00135635" w:rsidRDefault="00231175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C80787" w:rsidRPr="00231175" w:rsidRDefault="00C8078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2) на суму використання резерву у зв'язку із припиненням визнання активу при прощенні заборгованості фізичних осіб, які є пов'язаними з таким кредитором або перебувають з таким кредитором у трудових відносинах, або перебували з таким кредитором у трудових відносинах</w:t>
      </w:r>
      <w:r w:rsidR="009763E9" w:rsidRPr="00231175">
        <w:rPr>
          <w:sz w:val="28"/>
          <w:szCs w:val="28"/>
          <w:lang w:val="uk-UA"/>
        </w:rPr>
        <w:t>,</w:t>
      </w:r>
      <w:r w:rsidRPr="00231175">
        <w:rPr>
          <w:sz w:val="28"/>
          <w:szCs w:val="28"/>
          <w:lang w:val="uk-UA"/>
        </w:rPr>
        <w:t xml:space="preserve"> і період між датою припинення трудових відносин таких осіб та датою прощення їхньої заборгованості не перевищує три роки.</w:t>
      </w:r>
    </w:p>
    <w:p w:rsidR="00953237" w:rsidRPr="00231175" w:rsidRDefault="00C80787" w:rsidP="00A3748E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>Сума використання резерву у зв'язку із припиненням визнання активу при прощенні кредитором заборгованості інших осіб, не визначених підпунктом 2 цього підпункту, не змінює фінансовий результат до оподаткування.</w:t>
      </w:r>
    </w:p>
    <w:p w:rsidR="00231175" w:rsidRPr="00135635" w:rsidRDefault="00231175" w:rsidP="00B24812">
      <w:pPr>
        <w:pStyle w:val="a3"/>
        <w:spacing w:before="0" w:beforeAutospacing="0" w:after="120" w:afterAutospacing="0"/>
        <w:ind w:firstLine="709"/>
        <w:contextualSpacing/>
        <w:jc w:val="both"/>
        <w:rPr>
          <w:sz w:val="10"/>
          <w:szCs w:val="10"/>
        </w:rPr>
      </w:pPr>
    </w:p>
    <w:p w:rsidR="00DE7B28" w:rsidRPr="00231175" w:rsidRDefault="00C80787" w:rsidP="00B24812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31175">
        <w:rPr>
          <w:sz w:val="28"/>
          <w:szCs w:val="28"/>
          <w:lang w:val="uk-UA"/>
        </w:rPr>
        <w:t xml:space="preserve">Таким чином, </w:t>
      </w:r>
      <w:r w:rsidR="001C1E9E" w:rsidRPr="00231175">
        <w:rPr>
          <w:sz w:val="28"/>
          <w:szCs w:val="28"/>
          <w:lang w:val="uk-UA"/>
        </w:rPr>
        <w:t>фінансовий результат до оподаткування збільшується на  сум</w:t>
      </w:r>
      <w:r w:rsidR="00E62011">
        <w:rPr>
          <w:sz w:val="28"/>
          <w:szCs w:val="28"/>
          <w:lang w:val="uk-UA"/>
        </w:rPr>
        <w:t>у</w:t>
      </w:r>
      <w:r w:rsidR="001C1E9E" w:rsidRPr="00231175">
        <w:rPr>
          <w:sz w:val="28"/>
          <w:szCs w:val="28"/>
          <w:lang w:val="uk-UA"/>
        </w:rPr>
        <w:t xml:space="preserve"> використаного резерву </w:t>
      </w:r>
      <w:r w:rsidR="00DE7B28" w:rsidRPr="00231175">
        <w:rPr>
          <w:sz w:val="28"/>
          <w:szCs w:val="28"/>
          <w:lang w:val="uk-UA"/>
        </w:rPr>
        <w:t xml:space="preserve">у податкових (звітних) періодах після 01 січня </w:t>
      </w:r>
      <w:r w:rsidR="00B24812" w:rsidRPr="00231175">
        <w:rPr>
          <w:sz w:val="28"/>
          <w:szCs w:val="28"/>
          <w:lang w:val="uk-UA"/>
        </w:rPr>
        <w:br/>
      </w:r>
      <w:r w:rsidR="00DE7B28" w:rsidRPr="00231175">
        <w:rPr>
          <w:sz w:val="28"/>
          <w:szCs w:val="28"/>
          <w:lang w:val="uk-UA"/>
        </w:rPr>
        <w:t>2018 року,</w:t>
      </w:r>
      <w:r w:rsidR="001C1E9E" w:rsidRPr="00231175">
        <w:rPr>
          <w:sz w:val="28"/>
          <w:szCs w:val="28"/>
          <w:lang w:val="uk-UA"/>
        </w:rPr>
        <w:t xml:space="preserve"> </w:t>
      </w:r>
      <w:r w:rsidR="00DE7B28" w:rsidRPr="00231175">
        <w:rPr>
          <w:sz w:val="28"/>
          <w:szCs w:val="28"/>
          <w:lang w:val="uk-UA"/>
        </w:rPr>
        <w:t>у</w:t>
      </w:r>
      <w:r w:rsidRPr="00231175">
        <w:rPr>
          <w:sz w:val="28"/>
          <w:szCs w:val="28"/>
          <w:lang w:val="uk-UA"/>
        </w:rPr>
        <w:t xml:space="preserve"> випадку, якщо</w:t>
      </w:r>
      <w:r w:rsidR="00756DBC" w:rsidRPr="00231175">
        <w:rPr>
          <w:sz w:val="28"/>
          <w:szCs w:val="28"/>
          <w:lang w:val="uk-UA"/>
        </w:rPr>
        <w:t xml:space="preserve"> прощенню підлягає</w:t>
      </w:r>
      <w:r w:rsidR="00231175" w:rsidRPr="00135635">
        <w:rPr>
          <w:sz w:val="28"/>
          <w:szCs w:val="28"/>
        </w:rPr>
        <w:t xml:space="preserve"> </w:t>
      </w:r>
      <w:r w:rsidR="00B24812" w:rsidRPr="00231175">
        <w:rPr>
          <w:sz w:val="28"/>
          <w:szCs w:val="28"/>
          <w:lang w:val="uk-UA"/>
        </w:rPr>
        <w:t>заборгованість фізичних осіб, які є пов'язаними з таким кредитором або перебувають з таким кредитором у трудових відносинах, або перебували з таким кредитором у трудових відносинах</w:t>
      </w:r>
      <w:r w:rsidR="009763E9" w:rsidRPr="00231175">
        <w:rPr>
          <w:sz w:val="28"/>
          <w:szCs w:val="28"/>
          <w:lang w:val="uk-UA"/>
        </w:rPr>
        <w:t>,</w:t>
      </w:r>
      <w:r w:rsidR="00B24812" w:rsidRPr="00231175">
        <w:rPr>
          <w:sz w:val="28"/>
          <w:szCs w:val="28"/>
          <w:lang w:val="uk-UA"/>
        </w:rPr>
        <w:t xml:space="preserve"> і період між датою припинення трудових відносин таких осіб та датою прощення їхньої заборгованості не перевищує три роки.</w:t>
      </w:r>
    </w:p>
    <w:p w:rsidR="00983961" w:rsidRPr="00231175" w:rsidRDefault="00983961" w:rsidP="00231175">
      <w:pPr>
        <w:pStyle w:val="a3"/>
        <w:spacing w:before="0" w:beforeAutospacing="0" w:after="120" w:afterAutospacing="0"/>
        <w:contextualSpacing/>
        <w:jc w:val="both"/>
        <w:rPr>
          <w:sz w:val="28"/>
          <w:szCs w:val="28"/>
          <w:lang w:val="uk-UA"/>
        </w:rPr>
      </w:pPr>
    </w:p>
    <w:tbl>
      <w:tblPr>
        <w:tblW w:w="525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9"/>
        <w:gridCol w:w="5502"/>
      </w:tblGrid>
      <w:tr w:rsidR="00231175" w:rsidRPr="00231175" w:rsidTr="00C43342">
        <w:trPr>
          <w:tblCellSpacing w:w="22" w:type="dxa"/>
        </w:trPr>
        <w:tc>
          <w:tcPr>
            <w:tcW w:w="2345" w:type="pct"/>
            <w:vAlign w:val="bottom"/>
            <w:hideMark/>
          </w:tcPr>
          <w:p w:rsidR="00C43342" w:rsidRPr="00231175" w:rsidRDefault="00C43342" w:rsidP="006953F1">
            <w:pPr>
              <w:spacing w:after="12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11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В. о. директора Департаменту податкової політики </w:t>
            </w:r>
          </w:p>
        </w:tc>
        <w:tc>
          <w:tcPr>
            <w:tcW w:w="2589" w:type="pct"/>
            <w:vAlign w:val="bottom"/>
            <w:hideMark/>
          </w:tcPr>
          <w:p w:rsidR="00C43342" w:rsidRPr="00231175" w:rsidRDefault="00C43342" w:rsidP="006953F1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11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</w:t>
            </w:r>
            <w:r w:rsidR="006953F1" w:rsidRPr="002311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 w:rsidRPr="002311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 В. П. Овчаренко</w:t>
            </w:r>
          </w:p>
        </w:tc>
      </w:tr>
    </w:tbl>
    <w:p w:rsidR="00E76AB1" w:rsidRPr="00231175" w:rsidRDefault="00E76AB1" w:rsidP="006953F1">
      <w:pPr>
        <w:pStyle w:val="a3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sectPr w:rsidR="00E76AB1" w:rsidRPr="00231175" w:rsidSect="005D1DC6">
      <w:headerReference w:type="default" r:id="rId9"/>
      <w:pgSz w:w="12240" w:h="15840"/>
      <w:pgMar w:top="964" w:right="709" w:bottom="90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64" w:rsidRDefault="00F56B64" w:rsidP="005D1DC6">
      <w:pPr>
        <w:spacing w:after="0" w:line="240" w:lineRule="auto"/>
      </w:pPr>
      <w:r>
        <w:separator/>
      </w:r>
    </w:p>
  </w:endnote>
  <w:endnote w:type="continuationSeparator" w:id="0">
    <w:p w:rsidR="00F56B64" w:rsidRDefault="00F56B64" w:rsidP="005D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64" w:rsidRDefault="00F56B64" w:rsidP="005D1DC6">
      <w:pPr>
        <w:spacing w:after="0" w:line="240" w:lineRule="auto"/>
      </w:pPr>
      <w:r>
        <w:separator/>
      </w:r>
    </w:p>
  </w:footnote>
  <w:footnote w:type="continuationSeparator" w:id="0">
    <w:p w:rsidR="00F56B64" w:rsidRDefault="00F56B64" w:rsidP="005D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90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DC6" w:rsidRPr="00231175" w:rsidRDefault="00554515">
        <w:pPr>
          <w:pStyle w:val="ab"/>
          <w:jc w:val="center"/>
          <w:rPr>
            <w:rFonts w:ascii="Times New Roman" w:hAnsi="Times New Roman" w:cs="Times New Roman"/>
          </w:rPr>
        </w:pPr>
        <w:r w:rsidRPr="00231175">
          <w:rPr>
            <w:rFonts w:ascii="Times New Roman" w:hAnsi="Times New Roman" w:cs="Times New Roman"/>
          </w:rPr>
          <w:fldChar w:fldCharType="begin"/>
        </w:r>
        <w:r w:rsidR="005D1DC6" w:rsidRPr="00231175">
          <w:rPr>
            <w:rFonts w:ascii="Times New Roman" w:hAnsi="Times New Roman" w:cs="Times New Roman"/>
          </w:rPr>
          <w:instrText xml:space="preserve"> PAGE   \* MERGEFORMAT </w:instrText>
        </w:r>
        <w:r w:rsidRPr="00231175">
          <w:rPr>
            <w:rFonts w:ascii="Times New Roman" w:hAnsi="Times New Roman" w:cs="Times New Roman"/>
          </w:rPr>
          <w:fldChar w:fldCharType="separate"/>
        </w:r>
        <w:r w:rsidR="007C5707">
          <w:rPr>
            <w:rFonts w:ascii="Times New Roman" w:hAnsi="Times New Roman" w:cs="Times New Roman"/>
            <w:noProof/>
          </w:rPr>
          <w:t>2</w:t>
        </w:r>
        <w:r w:rsidRPr="002311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C6" w:rsidRDefault="005D1DC6">
    <w:pPr>
      <w:pStyle w:val="ab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ременко Галина Дмитрівна">
    <w15:presenceInfo w15:providerId="AD" w15:userId="S-1-5-21-361117315-3885442963-1194371841-34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B1"/>
    <w:rsid w:val="00014CAA"/>
    <w:rsid w:val="00135635"/>
    <w:rsid w:val="001C1E9E"/>
    <w:rsid w:val="00231175"/>
    <w:rsid w:val="002E58DC"/>
    <w:rsid w:val="003D0B7D"/>
    <w:rsid w:val="00416263"/>
    <w:rsid w:val="0050113D"/>
    <w:rsid w:val="0054623D"/>
    <w:rsid w:val="00554515"/>
    <w:rsid w:val="005B0EB2"/>
    <w:rsid w:val="005C65DB"/>
    <w:rsid w:val="005D1DC6"/>
    <w:rsid w:val="005D425C"/>
    <w:rsid w:val="005F7D3B"/>
    <w:rsid w:val="00630DFC"/>
    <w:rsid w:val="006938A7"/>
    <w:rsid w:val="006953F1"/>
    <w:rsid w:val="006C3438"/>
    <w:rsid w:val="00756DBC"/>
    <w:rsid w:val="007C5707"/>
    <w:rsid w:val="00815C3C"/>
    <w:rsid w:val="00871C40"/>
    <w:rsid w:val="008E4418"/>
    <w:rsid w:val="008E64CE"/>
    <w:rsid w:val="00926611"/>
    <w:rsid w:val="00953237"/>
    <w:rsid w:val="009740CF"/>
    <w:rsid w:val="009763E9"/>
    <w:rsid w:val="00983961"/>
    <w:rsid w:val="00A07562"/>
    <w:rsid w:val="00A3748E"/>
    <w:rsid w:val="00B24812"/>
    <w:rsid w:val="00B861C4"/>
    <w:rsid w:val="00C43342"/>
    <w:rsid w:val="00C80787"/>
    <w:rsid w:val="00D53FA3"/>
    <w:rsid w:val="00DD69BA"/>
    <w:rsid w:val="00DE50E6"/>
    <w:rsid w:val="00DE7B28"/>
    <w:rsid w:val="00DF28B7"/>
    <w:rsid w:val="00E05025"/>
    <w:rsid w:val="00E36C6A"/>
    <w:rsid w:val="00E62011"/>
    <w:rsid w:val="00E76AB1"/>
    <w:rsid w:val="00EB40F8"/>
    <w:rsid w:val="00F055EB"/>
    <w:rsid w:val="00F30647"/>
    <w:rsid w:val="00F51884"/>
    <w:rsid w:val="00F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E76A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2E58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58DC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E58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58DC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E58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E58D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D1D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D1DC6"/>
  </w:style>
  <w:style w:type="paragraph" w:styleId="ad">
    <w:name w:val="footer"/>
    <w:basedOn w:val="a"/>
    <w:link w:val="ae"/>
    <w:uiPriority w:val="99"/>
    <w:unhideWhenUsed/>
    <w:rsid w:val="005D1D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D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E76A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2E58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58DC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E58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58DC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E58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E58D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D1D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D1DC6"/>
  </w:style>
  <w:style w:type="paragraph" w:styleId="ad">
    <w:name w:val="footer"/>
    <w:basedOn w:val="a"/>
    <w:link w:val="ae"/>
    <w:uiPriority w:val="99"/>
    <w:unhideWhenUsed/>
    <w:rsid w:val="005D1D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D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r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B1F5-56C2-4A22-AD18-0B0DA4BA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2826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Користувач Windows</cp:lastModifiedBy>
  <cp:revision>2</cp:revision>
  <cp:lastPrinted>2018-03-29T08:55:00Z</cp:lastPrinted>
  <dcterms:created xsi:type="dcterms:W3CDTF">2018-04-03T14:07:00Z</dcterms:created>
  <dcterms:modified xsi:type="dcterms:W3CDTF">2018-04-03T14:07:00Z</dcterms:modified>
</cp:coreProperties>
</file>