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F5" w:rsidRPr="00C82385" w:rsidRDefault="004B1984" w:rsidP="00585082">
      <w:pPr>
        <w:spacing w:after="0"/>
        <w:ind w:firstLine="567"/>
        <w:contextualSpacing/>
        <w:jc w:val="center"/>
        <w:rPr>
          <w:rFonts w:ascii="Times New Roman" w:hAnsi="Times New Roman"/>
          <w:b/>
          <w:sz w:val="28"/>
          <w:szCs w:val="28"/>
        </w:rPr>
      </w:pPr>
      <w:r w:rsidRPr="00C82385">
        <w:rPr>
          <w:rFonts w:ascii="Times New Roman" w:hAnsi="Times New Roman"/>
          <w:b/>
          <w:sz w:val="28"/>
          <w:szCs w:val="28"/>
        </w:rPr>
        <w:t>Обґрунтування технічних та якісних характеристик предмета закупівлі, розміру</w:t>
      </w:r>
    </w:p>
    <w:p w:rsidR="002013F5" w:rsidRPr="00C82385" w:rsidRDefault="004B1984" w:rsidP="00585082">
      <w:pPr>
        <w:spacing w:after="0"/>
        <w:ind w:firstLine="567"/>
        <w:contextualSpacing/>
        <w:jc w:val="center"/>
        <w:rPr>
          <w:rFonts w:ascii="Times New Roman" w:hAnsi="Times New Roman"/>
          <w:b/>
          <w:sz w:val="28"/>
          <w:szCs w:val="28"/>
        </w:rPr>
      </w:pPr>
      <w:r w:rsidRPr="00C82385">
        <w:rPr>
          <w:rFonts w:ascii="Times New Roman" w:hAnsi="Times New Roman"/>
          <w:b/>
          <w:sz w:val="28"/>
          <w:szCs w:val="28"/>
        </w:rPr>
        <w:t>бюджетного призначення, очікуваної вартості предмета закупівлі</w:t>
      </w:r>
    </w:p>
    <w:p w:rsidR="002013F5" w:rsidRPr="00C82385" w:rsidRDefault="004B1984" w:rsidP="00585082">
      <w:pPr>
        <w:spacing w:after="0"/>
        <w:ind w:firstLine="567"/>
        <w:contextualSpacing/>
        <w:jc w:val="center"/>
        <w:rPr>
          <w:rFonts w:ascii="Times New Roman" w:hAnsi="Times New Roman"/>
          <w:sz w:val="28"/>
          <w:szCs w:val="28"/>
        </w:rPr>
      </w:pPr>
      <w:r w:rsidRPr="00C82385">
        <w:rPr>
          <w:rFonts w:ascii="Times New Roman" w:hAnsi="Times New Roman"/>
          <w:sz w:val="28"/>
          <w:szCs w:val="28"/>
        </w:rPr>
        <w:t>(відповідно до пункту 4</w:t>
      </w:r>
      <w:r w:rsidRPr="00C82385">
        <w:rPr>
          <w:rFonts w:ascii="Times New Roman" w:hAnsi="Times New Roman"/>
          <w:sz w:val="28"/>
          <w:szCs w:val="28"/>
          <w:vertAlign w:val="superscript"/>
        </w:rPr>
        <w:t>1</w:t>
      </w:r>
      <w:r w:rsidRPr="00C82385">
        <w:rPr>
          <w:rFonts w:ascii="Times New Roman" w:hAnsi="Times New Roman"/>
          <w:sz w:val="28"/>
          <w:szCs w:val="28"/>
        </w:rPr>
        <w:t xml:space="preserve"> постанови Кабінету Міністрів України </w:t>
      </w:r>
      <w:r w:rsidR="00804402">
        <w:rPr>
          <w:rFonts w:ascii="Times New Roman" w:hAnsi="Times New Roman"/>
          <w:sz w:val="28"/>
          <w:szCs w:val="28"/>
        </w:rPr>
        <w:br/>
      </w:r>
      <w:bookmarkStart w:id="0" w:name="_GoBack"/>
      <w:bookmarkEnd w:id="0"/>
      <w:r w:rsidRPr="00C82385">
        <w:rPr>
          <w:rFonts w:ascii="Times New Roman" w:hAnsi="Times New Roman"/>
          <w:sz w:val="28"/>
          <w:szCs w:val="28"/>
        </w:rPr>
        <w:t>від 11.10.2016 № 710</w:t>
      </w:r>
    </w:p>
    <w:p w:rsidR="002013F5" w:rsidRPr="00C82385" w:rsidRDefault="004B1984" w:rsidP="00585082">
      <w:pPr>
        <w:spacing w:after="0"/>
        <w:ind w:firstLine="567"/>
        <w:contextualSpacing/>
        <w:jc w:val="center"/>
        <w:rPr>
          <w:rFonts w:ascii="Times New Roman" w:hAnsi="Times New Roman"/>
          <w:sz w:val="28"/>
          <w:szCs w:val="28"/>
        </w:rPr>
      </w:pPr>
      <w:r w:rsidRPr="00C82385">
        <w:rPr>
          <w:rFonts w:ascii="Times New Roman" w:hAnsi="Times New Roman"/>
          <w:sz w:val="28"/>
          <w:szCs w:val="28"/>
        </w:rPr>
        <w:t>«Про ефективне використання державних коштів» (зі змінами))</w:t>
      </w:r>
      <w:r w:rsidRPr="00C82385">
        <w:rPr>
          <w:rFonts w:ascii="Times New Roman" w:hAnsi="Times New Roman"/>
          <w:sz w:val="28"/>
          <w:szCs w:val="28"/>
        </w:rPr>
        <w:br/>
      </w:r>
    </w:p>
    <w:p w:rsidR="002013F5" w:rsidRPr="00C82385" w:rsidRDefault="004B1984" w:rsidP="00585082">
      <w:pPr>
        <w:pStyle w:val="a3"/>
        <w:numPr>
          <w:ilvl w:val="0"/>
          <w:numId w:val="3"/>
        </w:numPr>
        <w:spacing w:after="0"/>
        <w:ind w:left="0" w:firstLine="567"/>
        <w:jc w:val="both"/>
        <w:rPr>
          <w:rFonts w:ascii="Times New Roman" w:hAnsi="Times New Roman"/>
          <w:b/>
          <w:sz w:val="28"/>
          <w:szCs w:val="28"/>
        </w:rPr>
      </w:pPr>
      <w:r w:rsidRPr="00C82385">
        <w:rPr>
          <w:rFonts w:ascii="Times New Roman" w:hAnsi="Times New Roman"/>
          <w:b/>
          <w:sz w:val="28"/>
          <w:szCs w:val="28"/>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2013F5" w:rsidRPr="00C82385" w:rsidRDefault="004B1984" w:rsidP="00585082">
      <w:pPr>
        <w:pStyle w:val="a3"/>
        <w:spacing w:after="0"/>
        <w:ind w:left="0" w:firstLine="567"/>
        <w:jc w:val="both"/>
        <w:rPr>
          <w:rFonts w:ascii="Times New Roman" w:hAnsi="Times New Roman"/>
          <w:sz w:val="28"/>
          <w:szCs w:val="28"/>
        </w:rPr>
      </w:pPr>
      <w:r w:rsidRPr="00C82385">
        <w:rPr>
          <w:rFonts w:ascii="Times New Roman" w:hAnsi="Times New Roman"/>
          <w:sz w:val="28"/>
          <w:szCs w:val="28"/>
        </w:rPr>
        <w:t>Міністерство фінансів України</w:t>
      </w:r>
    </w:p>
    <w:p w:rsidR="002013F5" w:rsidRPr="00C82385" w:rsidRDefault="004B1984" w:rsidP="00585082">
      <w:pPr>
        <w:pStyle w:val="a3"/>
        <w:spacing w:after="0"/>
        <w:ind w:left="0" w:firstLine="567"/>
        <w:jc w:val="both"/>
        <w:rPr>
          <w:rFonts w:ascii="Times New Roman" w:hAnsi="Times New Roman"/>
          <w:sz w:val="28"/>
          <w:szCs w:val="28"/>
        </w:rPr>
      </w:pPr>
      <w:r w:rsidRPr="00C82385">
        <w:rPr>
          <w:rFonts w:ascii="Times New Roman" w:hAnsi="Times New Roman"/>
          <w:sz w:val="28"/>
          <w:szCs w:val="28"/>
        </w:rPr>
        <w:t>01008, м. Київ, вул. Грушевського, 12/2</w:t>
      </w:r>
    </w:p>
    <w:p w:rsidR="002013F5" w:rsidRPr="00C82385" w:rsidRDefault="004B1984" w:rsidP="00585082">
      <w:pPr>
        <w:pStyle w:val="a3"/>
        <w:spacing w:after="0"/>
        <w:ind w:left="0" w:firstLine="567"/>
        <w:jc w:val="both"/>
        <w:rPr>
          <w:rFonts w:ascii="Times New Roman" w:hAnsi="Times New Roman"/>
          <w:sz w:val="28"/>
          <w:szCs w:val="28"/>
        </w:rPr>
      </w:pPr>
      <w:r w:rsidRPr="00C82385">
        <w:rPr>
          <w:rFonts w:ascii="Times New Roman" w:hAnsi="Times New Roman"/>
          <w:sz w:val="28"/>
          <w:szCs w:val="28"/>
        </w:rPr>
        <w:t>код за ЄДРПОУ 00013480</w:t>
      </w:r>
    </w:p>
    <w:p w:rsidR="002013F5" w:rsidRPr="00C82385" w:rsidRDefault="004B1984" w:rsidP="00585082">
      <w:pPr>
        <w:pStyle w:val="a3"/>
        <w:spacing w:after="0"/>
        <w:ind w:left="0" w:firstLine="567"/>
        <w:jc w:val="both"/>
        <w:rPr>
          <w:rFonts w:ascii="Times New Roman" w:hAnsi="Times New Roman"/>
          <w:sz w:val="28"/>
          <w:szCs w:val="28"/>
        </w:rPr>
      </w:pPr>
      <w:r w:rsidRPr="00C82385">
        <w:rPr>
          <w:rFonts w:ascii="Times New Roman" w:hAnsi="Times New Roman"/>
          <w:sz w:val="28"/>
          <w:szCs w:val="28"/>
        </w:rPr>
        <w:t>категорія замовника – орган державної влади.</w:t>
      </w:r>
    </w:p>
    <w:p w:rsidR="002013F5" w:rsidRPr="00C82385" w:rsidRDefault="002013F5" w:rsidP="00585082">
      <w:pPr>
        <w:pStyle w:val="a3"/>
        <w:spacing w:after="0"/>
        <w:ind w:left="0" w:firstLine="567"/>
        <w:jc w:val="both"/>
        <w:rPr>
          <w:rFonts w:ascii="Times New Roman" w:hAnsi="Times New Roman"/>
          <w:sz w:val="28"/>
          <w:szCs w:val="28"/>
        </w:rPr>
      </w:pPr>
    </w:p>
    <w:p w:rsidR="002013F5" w:rsidRPr="00C82385" w:rsidRDefault="004B1984" w:rsidP="00585082">
      <w:pPr>
        <w:pStyle w:val="a3"/>
        <w:numPr>
          <w:ilvl w:val="0"/>
          <w:numId w:val="3"/>
        </w:numPr>
        <w:spacing w:after="0"/>
        <w:ind w:left="0" w:firstLine="567"/>
        <w:jc w:val="both"/>
        <w:rPr>
          <w:rFonts w:ascii="Times New Roman" w:hAnsi="Times New Roman"/>
          <w:b/>
          <w:sz w:val="28"/>
          <w:szCs w:val="28"/>
        </w:rPr>
      </w:pPr>
      <w:r w:rsidRPr="00C82385">
        <w:rPr>
          <w:rFonts w:ascii="Times New Roman" w:hAnsi="Times New Roman"/>
          <w:b/>
          <w:sz w:val="28"/>
          <w:szCs w:val="28"/>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D4679E" w:rsidRPr="00C82385" w:rsidRDefault="008759B8" w:rsidP="00585082">
      <w:pPr>
        <w:widowControl w:val="0"/>
        <w:tabs>
          <w:tab w:val="left" w:pos="993"/>
        </w:tabs>
        <w:spacing w:before="2" w:after="0" w:line="240" w:lineRule="auto"/>
        <w:ind w:firstLine="567"/>
        <w:jc w:val="both"/>
        <w:rPr>
          <w:rFonts w:ascii="Times New Roman" w:hAnsi="Times New Roman"/>
          <w:sz w:val="28"/>
          <w:szCs w:val="28"/>
        </w:rPr>
      </w:pPr>
      <w:r w:rsidRPr="008759B8">
        <w:rPr>
          <w:rFonts w:ascii="Times New Roman" w:hAnsi="Times New Roman"/>
          <w:sz w:val="28"/>
          <w:szCs w:val="28"/>
        </w:rPr>
        <w:t xml:space="preserve">Надання послуг з доступу до мережі Інтернет 1 </w:t>
      </w:r>
      <w:proofErr w:type="spellStart"/>
      <w:r w:rsidRPr="008759B8">
        <w:rPr>
          <w:rFonts w:ascii="Times New Roman" w:hAnsi="Times New Roman"/>
          <w:sz w:val="28"/>
          <w:szCs w:val="28"/>
        </w:rPr>
        <w:t>Гбіт</w:t>
      </w:r>
      <w:proofErr w:type="spellEnd"/>
      <w:r w:rsidRPr="008759B8">
        <w:rPr>
          <w:rFonts w:ascii="Times New Roman" w:hAnsi="Times New Roman"/>
          <w:sz w:val="28"/>
          <w:szCs w:val="28"/>
        </w:rPr>
        <w:t>/с</w:t>
      </w:r>
      <w:r w:rsidRPr="008759B8">
        <w:rPr>
          <w:rFonts w:ascii="Times New Roman" w:hAnsi="Times New Roman"/>
          <w:sz w:val="28"/>
          <w:szCs w:val="28"/>
          <w:lang w:val="ru-RU"/>
        </w:rPr>
        <w:t xml:space="preserve"> </w:t>
      </w:r>
      <w:r w:rsidR="00A80400" w:rsidRPr="00C82385">
        <w:rPr>
          <w:rFonts w:ascii="Times New Roman" w:hAnsi="Times New Roman"/>
          <w:sz w:val="28"/>
          <w:szCs w:val="28"/>
        </w:rPr>
        <w:t xml:space="preserve">за кодом ДК 021:2015: </w:t>
      </w:r>
      <w:r w:rsidRPr="008759B8">
        <w:rPr>
          <w:rFonts w:ascii="Times New Roman" w:hAnsi="Times New Roman"/>
          <w:sz w:val="28"/>
          <w:szCs w:val="28"/>
        </w:rPr>
        <w:t>72410000-7: Послуги провайдерів</w:t>
      </w:r>
    </w:p>
    <w:p w:rsidR="00A80400" w:rsidRPr="00C82385" w:rsidRDefault="00A80400" w:rsidP="00585082">
      <w:pPr>
        <w:widowControl w:val="0"/>
        <w:tabs>
          <w:tab w:val="left" w:pos="993"/>
        </w:tabs>
        <w:spacing w:before="2" w:after="0" w:line="240" w:lineRule="auto"/>
        <w:ind w:firstLine="567"/>
        <w:jc w:val="both"/>
        <w:rPr>
          <w:rFonts w:ascii="Times New Roman" w:hAnsi="Times New Roman"/>
          <w:sz w:val="28"/>
          <w:szCs w:val="28"/>
        </w:rPr>
      </w:pPr>
    </w:p>
    <w:p w:rsidR="002013F5" w:rsidRPr="00C82385" w:rsidRDefault="004B1984" w:rsidP="008759B8">
      <w:pPr>
        <w:pStyle w:val="a3"/>
        <w:widowControl w:val="0"/>
        <w:numPr>
          <w:ilvl w:val="0"/>
          <w:numId w:val="3"/>
        </w:numPr>
        <w:tabs>
          <w:tab w:val="left" w:pos="709"/>
        </w:tabs>
        <w:spacing w:before="2" w:after="0" w:line="240" w:lineRule="auto"/>
        <w:jc w:val="both"/>
        <w:rPr>
          <w:rFonts w:ascii="Times New Roman" w:hAnsi="Times New Roman"/>
          <w:sz w:val="28"/>
          <w:szCs w:val="28"/>
        </w:rPr>
      </w:pPr>
      <w:r w:rsidRPr="00C82385">
        <w:rPr>
          <w:rFonts w:ascii="Times New Roman" w:hAnsi="Times New Roman"/>
          <w:b/>
          <w:sz w:val="28"/>
          <w:szCs w:val="28"/>
          <w:lang w:eastAsia="ru-RU"/>
        </w:rPr>
        <w:t>Ідентифікатор закупівлі:</w:t>
      </w:r>
      <w:r w:rsidR="008759B8" w:rsidRPr="008759B8">
        <w:t xml:space="preserve"> </w:t>
      </w:r>
      <w:r w:rsidR="008759B8" w:rsidRPr="008759B8">
        <w:rPr>
          <w:rFonts w:ascii="Times New Roman" w:hAnsi="Times New Roman"/>
          <w:sz w:val="28"/>
          <w:szCs w:val="28"/>
          <w:lang w:eastAsia="ru-RU"/>
        </w:rPr>
        <w:t>UA-2023-02-13-015712-a</w:t>
      </w:r>
      <w:r w:rsidR="00717E54" w:rsidRPr="008759B8">
        <w:rPr>
          <w:rFonts w:ascii="Times New Roman" w:hAnsi="Times New Roman"/>
          <w:sz w:val="28"/>
          <w:szCs w:val="28"/>
          <w:lang w:eastAsia="ru-RU"/>
        </w:rPr>
        <w:t>.</w:t>
      </w:r>
    </w:p>
    <w:p w:rsidR="002013F5" w:rsidRPr="00C82385" w:rsidRDefault="002013F5" w:rsidP="00585082">
      <w:pPr>
        <w:widowControl w:val="0"/>
        <w:tabs>
          <w:tab w:val="left" w:pos="993"/>
        </w:tabs>
        <w:spacing w:before="2" w:after="0" w:line="240" w:lineRule="auto"/>
        <w:ind w:firstLine="567"/>
        <w:jc w:val="both"/>
        <w:rPr>
          <w:rFonts w:ascii="Times New Roman" w:hAnsi="Times New Roman"/>
          <w:sz w:val="28"/>
          <w:szCs w:val="28"/>
        </w:rPr>
      </w:pPr>
    </w:p>
    <w:p w:rsidR="002013F5" w:rsidRPr="00C82385" w:rsidRDefault="004B1984" w:rsidP="00585082">
      <w:pPr>
        <w:pStyle w:val="a3"/>
        <w:numPr>
          <w:ilvl w:val="0"/>
          <w:numId w:val="3"/>
        </w:numPr>
        <w:spacing w:after="0"/>
        <w:ind w:left="0" w:firstLine="567"/>
        <w:jc w:val="both"/>
        <w:rPr>
          <w:rFonts w:ascii="Times New Roman" w:hAnsi="Times New Roman"/>
          <w:sz w:val="28"/>
          <w:szCs w:val="28"/>
        </w:rPr>
      </w:pPr>
      <w:r w:rsidRPr="00C82385">
        <w:rPr>
          <w:rFonts w:ascii="Times New Roman" w:hAnsi="Times New Roman"/>
          <w:b/>
          <w:sz w:val="28"/>
          <w:szCs w:val="28"/>
        </w:rPr>
        <w:t>Обґрунтування технічних та якісних характеристик предмета закупівлі:</w:t>
      </w:r>
    </w:p>
    <w:p w:rsidR="008759B8" w:rsidRPr="008759B8" w:rsidRDefault="008759B8" w:rsidP="008759B8">
      <w:pPr>
        <w:pStyle w:val="a3"/>
        <w:spacing w:after="0"/>
        <w:ind w:left="0" w:firstLine="567"/>
        <w:jc w:val="both"/>
        <w:rPr>
          <w:rFonts w:ascii="Times New Roman" w:hAnsi="Times New Roman"/>
          <w:sz w:val="28"/>
          <w:szCs w:val="28"/>
        </w:rPr>
      </w:pPr>
      <w:r w:rsidRPr="008759B8">
        <w:rPr>
          <w:rFonts w:ascii="Times New Roman" w:hAnsi="Times New Roman"/>
          <w:sz w:val="28"/>
          <w:szCs w:val="28"/>
        </w:rPr>
        <w:t xml:space="preserve">Із метою забезпечення сталої роботи та доступу до мережі Інтернет на усіх майданчиках (вул. Грушевського 12/2, вул. Межигірська 11, вул. Отто Шмідта 26), де розміщені працівники структурних підрозділів Міністерства фінансів України (далі – Мінфін), надаються послуги з доступу до мережі Інтернет на швидкості 1 </w:t>
      </w:r>
      <w:proofErr w:type="spellStart"/>
      <w:r w:rsidRPr="008759B8">
        <w:rPr>
          <w:rFonts w:ascii="Times New Roman" w:hAnsi="Times New Roman"/>
          <w:sz w:val="28"/>
          <w:szCs w:val="28"/>
        </w:rPr>
        <w:t>Гбіт</w:t>
      </w:r>
      <w:proofErr w:type="spellEnd"/>
      <w:r w:rsidRPr="008759B8">
        <w:rPr>
          <w:rFonts w:ascii="Times New Roman" w:hAnsi="Times New Roman"/>
          <w:sz w:val="28"/>
          <w:szCs w:val="28"/>
        </w:rPr>
        <w:t xml:space="preserve">/с, а також статичні IP адреси. </w:t>
      </w:r>
    </w:p>
    <w:p w:rsidR="008759B8" w:rsidRPr="008759B8" w:rsidRDefault="008759B8" w:rsidP="008759B8">
      <w:pPr>
        <w:pStyle w:val="a3"/>
        <w:spacing w:after="0"/>
        <w:ind w:left="0" w:firstLine="567"/>
        <w:jc w:val="both"/>
        <w:rPr>
          <w:rFonts w:ascii="Times New Roman" w:hAnsi="Times New Roman"/>
          <w:sz w:val="28"/>
          <w:szCs w:val="28"/>
        </w:rPr>
      </w:pPr>
      <w:r w:rsidRPr="008759B8">
        <w:rPr>
          <w:rFonts w:ascii="Times New Roman" w:hAnsi="Times New Roman"/>
          <w:sz w:val="28"/>
          <w:szCs w:val="28"/>
        </w:rPr>
        <w:tab/>
        <w:t xml:space="preserve">Використовуючи IP-адреси, Мінфін  забезпечує безпечний віддалений доступ до ІАС Мінфіну (Реєстр заяв про повернення суми бюджетного відшкодування податку на додану вартість, ІАС «Прозорий бюджет», Єдиний веб-портал використання публічних коштів, ІАС управління плануванням та виконанням місцевих бюджетів "LOGICA", ІАС «Держбюджет» і т. д.). </w:t>
      </w:r>
    </w:p>
    <w:p w:rsidR="00585082" w:rsidRDefault="008759B8" w:rsidP="008759B8">
      <w:pPr>
        <w:pStyle w:val="a3"/>
        <w:spacing w:after="0"/>
        <w:ind w:left="0" w:firstLine="567"/>
        <w:jc w:val="both"/>
        <w:rPr>
          <w:rFonts w:ascii="Times New Roman" w:hAnsi="Times New Roman"/>
          <w:sz w:val="28"/>
          <w:szCs w:val="28"/>
        </w:rPr>
      </w:pPr>
      <w:r w:rsidRPr="008759B8">
        <w:rPr>
          <w:rFonts w:ascii="Times New Roman" w:hAnsi="Times New Roman"/>
          <w:sz w:val="28"/>
          <w:szCs w:val="28"/>
        </w:rPr>
        <w:tab/>
        <w:t xml:space="preserve">Враховуючи вищезазначене, задля забезпечення у 2023 році неперервності роботи структурних підрозділів Мінфіну та постійного доступу до інформаційних ресурсів Мінфіну для громадян, органів державної влади та установ сфери управління Мінфіну, виникла необхідність у закупівлі послуг з доступу до мережі Інтернет 1 </w:t>
      </w:r>
      <w:proofErr w:type="spellStart"/>
      <w:r w:rsidRPr="008759B8">
        <w:rPr>
          <w:rFonts w:ascii="Times New Roman" w:hAnsi="Times New Roman"/>
          <w:sz w:val="28"/>
          <w:szCs w:val="28"/>
        </w:rPr>
        <w:t>Гбіт</w:t>
      </w:r>
      <w:proofErr w:type="spellEnd"/>
      <w:r w:rsidRPr="008759B8">
        <w:rPr>
          <w:rFonts w:ascii="Times New Roman" w:hAnsi="Times New Roman"/>
          <w:sz w:val="28"/>
          <w:szCs w:val="28"/>
        </w:rPr>
        <w:t>/с на 2023 рік.</w:t>
      </w:r>
    </w:p>
    <w:p w:rsidR="00422126" w:rsidRPr="00C82385" w:rsidRDefault="00422126" w:rsidP="008759B8">
      <w:pPr>
        <w:pStyle w:val="a3"/>
        <w:spacing w:after="0"/>
        <w:ind w:left="0" w:firstLine="567"/>
        <w:jc w:val="both"/>
        <w:rPr>
          <w:rFonts w:ascii="Times New Roman" w:hAnsi="Times New Roman"/>
          <w:sz w:val="28"/>
          <w:szCs w:val="28"/>
        </w:rPr>
      </w:pPr>
    </w:p>
    <w:p w:rsidR="002013F5" w:rsidRPr="00C82385" w:rsidRDefault="004B1984" w:rsidP="00585082">
      <w:pPr>
        <w:pStyle w:val="a3"/>
        <w:numPr>
          <w:ilvl w:val="0"/>
          <w:numId w:val="3"/>
        </w:numPr>
        <w:spacing w:after="0"/>
        <w:ind w:left="0" w:firstLine="567"/>
        <w:jc w:val="both"/>
        <w:rPr>
          <w:rFonts w:ascii="Times New Roman" w:hAnsi="Times New Roman"/>
          <w:b/>
          <w:sz w:val="28"/>
          <w:szCs w:val="28"/>
        </w:rPr>
      </w:pPr>
      <w:r w:rsidRPr="00C82385">
        <w:rPr>
          <w:rFonts w:ascii="Times New Roman" w:hAnsi="Times New Roman"/>
          <w:b/>
          <w:sz w:val="28"/>
          <w:szCs w:val="28"/>
        </w:rPr>
        <w:t>Обґрунтування розміру бюджетного призначення:</w:t>
      </w:r>
    </w:p>
    <w:p w:rsidR="002013F5" w:rsidRPr="00C82385" w:rsidRDefault="004B1984" w:rsidP="00FC1F4F">
      <w:pPr>
        <w:widowControl w:val="0"/>
        <w:tabs>
          <w:tab w:val="left" w:pos="993"/>
        </w:tabs>
        <w:spacing w:before="2" w:after="0" w:line="240" w:lineRule="auto"/>
        <w:ind w:firstLine="567"/>
        <w:jc w:val="both"/>
        <w:rPr>
          <w:rFonts w:ascii="Times New Roman" w:hAnsi="Times New Roman"/>
          <w:sz w:val="28"/>
          <w:szCs w:val="28"/>
        </w:rPr>
      </w:pPr>
      <w:r w:rsidRPr="00C82385">
        <w:rPr>
          <w:rFonts w:ascii="Times New Roman" w:hAnsi="Times New Roman"/>
          <w:sz w:val="28"/>
          <w:szCs w:val="28"/>
        </w:rPr>
        <w:t>Розмір бюджетного призначення для предмета закупівлі: «</w:t>
      </w:r>
      <w:r w:rsidR="00FC1F4F" w:rsidRPr="008759B8">
        <w:rPr>
          <w:rFonts w:ascii="Times New Roman" w:hAnsi="Times New Roman"/>
          <w:sz w:val="28"/>
          <w:szCs w:val="28"/>
        </w:rPr>
        <w:t xml:space="preserve">Надання послуг з </w:t>
      </w:r>
      <w:r w:rsidR="00FC1F4F" w:rsidRPr="008759B8">
        <w:rPr>
          <w:rFonts w:ascii="Times New Roman" w:hAnsi="Times New Roman"/>
          <w:sz w:val="28"/>
          <w:szCs w:val="28"/>
        </w:rPr>
        <w:lastRenderedPageBreak/>
        <w:t xml:space="preserve">доступу до мережі Інтернет 1 </w:t>
      </w:r>
      <w:proofErr w:type="spellStart"/>
      <w:r w:rsidR="00FC1F4F" w:rsidRPr="008759B8">
        <w:rPr>
          <w:rFonts w:ascii="Times New Roman" w:hAnsi="Times New Roman"/>
          <w:sz w:val="28"/>
          <w:szCs w:val="28"/>
        </w:rPr>
        <w:t>Гбіт</w:t>
      </w:r>
      <w:proofErr w:type="spellEnd"/>
      <w:r w:rsidR="00FC1F4F" w:rsidRPr="008759B8">
        <w:rPr>
          <w:rFonts w:ascii="Times New Roman" w:hAnsi="Times New Roman"/>
          <w:sz w:val="28"/>
          <w:szCs w:val="28"/>
        </w:rPr>
        <w:t>/с</w:t>
      </w:r>
      <w:r w:rsidR="00FC1F4F" w:rsidRPr="008759B8">
        <w:rPr>
          <w:rFonts w:ascii="Times New Roman" w:hAnsi="Times New Roman"/>
          <w:sz w:val="28"/>
          <w:szCs w:val="28"/>
          <w:lang w:val="ru-RU"/>
        </w:rPr>
        <w:t xml:space="preserve"> </w:t>
      </w:r>
      <w:r w:rsidR="00FC1F4F" w:rsidRPr="00C82385">
        <w:rPr>
          <w:rFonts w:ascii="Times New Roman" w:hAnsi="Times New Roman"/>
          <w:sz w:val="28"/>
          <w:szCs w:val="28"/>
        </w:rPr>
        <w:t xml:space="preserve">за кодом ДК 021:2015: </w:t>
      </w:r>
      <w:r w:rsidR="00FC1F4F" w:rsidRPr="008759B8">
        <w:rPr>
          <w:rFonts w:ascii="Times New Roman" w:hAnsi="Times New Roman"/>
          <w:sz w:val="28"/>
          <w:szCs w:val="28"/>
        </w:rPr>
        <w:t>72410000-7: Послуги провайдерів</w:t>
      </w:r>
      <w:r w:rsidRPr="00C82385">
        <w:rPr>
          <w:rFonts w:ascii="Times New Roman" w:hAnsi="Times New Roman"/>
          <w:sz w:val="28"/>
          <w:szCs w:val="28"/>
        </w:rPr>
        <w:t>»</w:t>
      </w:r>
      <w:r w:rsidR="00C150D3" w:rsidRPr="00C82385">
        <w:rPr>
          <w:rFonts w:ascii="Times New Roman" w:hAnsi="Times New Roman"/>
          <w:sz w:val="28"/>
          <w:szCs w:val="28"/>
        </w:rPr>
        <w:t xml:space="preserve"> визначено</w:t>
      </w:r>
      <w:r w:rsidRPr="00C82385">
        <w:rPr>
          <w:rFonts w:ascii="Times New Roman" w:hAnsi="Times New Roman"/>
          <w:sz w:val="28"/>
          <w:szCs w:val="28"/>
        </w:rPr>
        <w:t xml:space="preserve"> відповідно до розрахунку видатків до кошторису на 2023 рік Міністерства фінансів України за КПКВК 3501010.</w:t>
      </w:r>
    </w:p>
    <w:p w:rsidR="002013F5" w:rsidRPr="00C82385" w:rsidRDefault="002013F5" w:rsidP="00585082">
      <w:pPr>
        <w:widowControl w:val="0"/>
        <w:tabs>
          <w:tab w:val="left" w:pos="426"/>
        </w:tabs>
        <w:spacing w:before="2" w:after="0" w:line="240" w:lineRule="auto"/>
        <w:ind w:firstLine="567"/>
        <w:jc w:val="both"/>
        <w:rPr>
          <w:rFonts w:ascii="Times New Roman" w:hAnsi="Times New Roman"/>
          <w:sz w:val="28"/>
          <w:szCs w:val="28"/>
        </w:rPr>
      </w:pPr>
    </w:p>
    <w:p w:rsidR="002013F5" w:rsidRPr="00C82385" w:rsidRDefault="004B1984" w:rsidP="00585082">
      <w:pPr>
        <w:pStyle w:val="a3"/>
        <w:numPr>
          <w:ilvl w:val="0"/>
          <w:numId w:val="3"/>
        </w:numPr>
        <w:spacing w:after="0"/>
        <w:ind w:left="0" w:firstLine="567"/>
        <w:jc w:val="both"/>
        <w:rPr>
          <w:rFonts w:ascii="Times New Roman" w:hAnsi="Times New Roman"/>
          <w:b/>
          <w:sz w:val="28"/>
          <w:szCs w:val="28"/>
        </w:rPr>
      </w:pPr>
      <w:r w:rsidRPr="00C82385">
        <w:rPr>
          <w:rFonts w:ascii="Times New Roman" w:hAnsi="Times New Roman"/>
          <w:b/>
          <w:sz w:val="28"/>
          <w:szCs w:val="28"/>
        </w:rPr>
        <w:t>Обґрунтування очікуваної вартості закупівлі:</w:t>
      </w:r>
    </w:p>
    <w:p w:rsidR="00422126" w:rsidRPr="00422126" w:rsidRDefault="00422126" w:rsidP="00FC1F4F">
      <w:pPr>
        <w:spacing w:after="0"/>
        <w:ind w:firstLine="567"/>
        <w:jc w:val="both"/>
        <w:rPr>
          <w:rFonts w:ascii="Times New Roman" w:hAnsi="Times New Roman"/>
          <w:sz w:val="28"/>
          <w:szCs w:val="28"/>
        </w:rPr>
      </w:pPr>
      <w:r w:rsidRPr="00422126">
        <w:rPr>
          <w:rFonts w:ascii="Times New Roman" w:hAnsi="Times New Roman"/>
          <w:sz w:val="28"/>
          <w:szCs w:val="28"/>
        </w:rPr>
        <w:t xml:space="preserve">Проведено порівняння ринкових цін із використанням відкритих джерел інформації для визначення очікуваної вартості предмета закупівлі послуг з доступу до мережі Інтернет 1 </w:t>
      </w:r>
      <w:proofErr w:type="spellStart"/>
      <w:r w:rsidRPr="00422126">
        <w:rPr>
          <w:rFonts w:ascii="Times New Roman" w:hAnsi="Times New Roman"/>
          <w:sz w:val="28"/>
          <w:szCs w:val="28"/>
        </w:rPr>
        <w:t>Гбіт</w:t>
      </w:r>
      <w:proofErr w:type="spellEnd"/>
      <w:r w:rsidRPr="00422126">
        <w:rPr>
          <w:rFonts w:ascii="Times New Roman" w:hAnsi="Times New Roman"/>
          <w:sz w:val="28"/>
          <w:szCs w:val="28"/>
        </w:rPr>
        <w:t>/с, а також зібрано комерційні пропозиції постачальників, що наведені у таблиці.</w:t>
      </w:r>
    </w:p>
    <w:p w:rsidR="00422126" w:rsidRPr="00422126" w:rsidRDefault="00422126" w:rsidP="00FC1F4F">
      <w:pPr>
        <w:spacing w:after="0"/>
        <w:ind w:firstLine="567"/>
        <w:jc w:val="both"/>
        <w:rPr>
          <w:rFonts w:ascii="Times New Roman" w:hAnsi="Times New Roman"/>
          <w:sz w:val="28"/>
          <w:szCs w:val="28"/>
        </w:rPr>
      </w:pPr>
      <w:r w:rsidRPr="00422126">
        <w:rPr>
          <w:rFonts w:ascii="Times New Roman" w:hAnsi="Times New Roman"/>
          <w:sz w:val="28"/>
          <w:szCs w:val="28"/>
        </w:rPr>
        <w:t>Очікувану вартість предмета закупівлі визначено з використанням методу порівняння ринкових цін, який передбачає визначення очікуваної вартості на підставі даних ринку, а саме інформації з отриманих цінових пропозицій на момент вивчення ринку.</w:t>
      </w:r>
    </w:p>
    <w:p w:rsidR="00422126" w:rsidRPr="00422126" w:rsidRDefault="00422126" w:rsidP="00FC1F4F">
      <w:pPr>
        <w:spacing w:after="0"/>
        <w:ind w:firstLine="567"/>
        <w:jc w:val="both"/>
        <w:rPr>
          <w:rFonts w:ascii="Times New Roman" w:hAnsi="Times New Roman"/>
          <w:sz w:val="28"/>
          <w:szCs w:val="28"/>
        </w:rPr>
      </w:pPr>
      <w:r w:rsidRPr="00422126">
        <w:rPr>
          <w:rFonts w:ascii="Times New Roman" w:hAnsi="Times New Roman"/>
          <w:sz w:val="28"/>
          <w:szCs w:val="28"/>
        </w:rPr>
        <w:t>Згідно із застосованим методом було направлено запити цінових пропозицій до трьох учасників ринку, які є уповноваженими розповсюджувачами послуг відповідно до предмету закупівлі, та отримано відповідні комерційні пропозиції:</w:t>
      </w:r>
    </w:p>
    <w:p w:rsidR="00422126" w:rsidRPr="00422126" w:rsidRDefault="00422126" w:rsidP="00422126">
      <w:pPr>
        <w:ind w:firstLine="567"/>
        <w:jc w:val="both"/>
        <w:rPr>
          <w:rFonts w:ascii="Times New Roman" w:hAnsi="Times New Roman"/>
          <w:sz w:val="28"/>
          <w:szCs w:val="28"/>
        </w:rPr>
      </w:pPr>
    </w:p>
    <w:tbl>
      <w:tblPr>
        <w:tblStyle w:val="a9"/>
        <w:tblW w:w="0" w:type="auto"/>
        <w:tblInd w:w="567" w:type="dxa"/>
        <w:tblLook w:val="04A0" w:firstRow="1" w:lastRow="0" w:firstColumn="1" w:lastColumn="0" w:noHBand="0" w:noVBand="1"/>
      </w:tblPr>
      <w:tblGrid>
        <w:gridCol w:w="562"/>
        <w:gridCol w:w="3261"/>
        <w:gridCol w:w="2551"/>
        <w:gridCol w:w="2552"/>
      </w:tblGrid>
      <w:tr w:rsidR="00422126" w:rsidRPr="00876152" w:rsidTr="00B377EE">
        <w:tc>
          <w:tcPr>
            <w:tcW w:w="562" w:type="dxa"/>
          </w:tcPr>
          <w:p w:rsidR="00422126" w:rsidRPr="00876152" w:rsidRDefault="00422126" w:rsidP="00B377EE">
            <w:pPr>
              <w:pStyle w:val="a3"/>
              <w:tabs>
                <w:tab w:val="left" w:pos="851"/>
                <w:tab w:val="left" w:pos="993"/>
              </w:tabs>
              <w:ind w:left="0"/>
              <w:jc w:val="center"/>
              <w:rPr>
                <w:color w:val="000000" w:themeColor="text1"/>
                <w:sz w:val="22"/>
                <w:szCs w:val="22"/>
                <w:lang w:val="uk-UA"/>
              </w:rPr>
            </w:pPr>
            <w:r w:rsidRPr="00876152">
              <w:rPr>
                <w:color w:val="000000" w:themeColor="text1"/>
                <w:sz w:val="22"/>
                <w:szCs w:val="22"/>
                <w:lang w:val="uk-UA"/>
              </w:rPr>
              <w:t>№ п\п</w:t>
            </w:r>
          </w:p>
        </w:tc>
        <w:tc>
          <w:tcPr>
            <w:tcW w:w="3261" w:type="dxa"/>
          </w:tcPr>
          <w:p w:rsidR="00422126" w:rsidRPr="00876152" w:rsidRDefault="00422126" w:rsidP="00B377EE">
            <w:pPr>
              <w:pStyle w:val="a3"/>
              <w:tabs>
                <w:tab w:val="left" w:pos="851"/>
                <w:tab w:val="left" w:pos="993"/>
              </w:tabs>
              <w:ind w:left="0"/>
              <w:jc w:val="center"/>
              <w:rPr>
                <w:color w:val="000000" w:themeColor="text1"/>
                <w:sz w:val="22"/>
                <w:szCs w:val="22"/>
                <w:lang w:val="uk-UA"/>
              </w:rPr>
            </w:pPr>
            <w:r w:rsidRPr="00876152">
              <w:rPr>
                <w:color w:val="000000" w:themeColor="text1"/>
                <w:sz w:val="22"/>
                <w:szCs w:val="22"/>
                <w:lang w:val="uk-UA"/>
              </w:rPr>
              <w:t>Постачальник</w:t>
            </w:r>
          </w:p>
        </w:tc>
        <w:tc>
          <w:tcPr>
            <w:tcW w:w="2551" w:type="dxa"/>
          </w:tcPr>
          <w:p w:rsidR="00422126" w:rsidRPr="00876152" w:rsidRDefault="00422126" w:rsidP="00B377EE">
            <w:pPr>
              <w:pStyle w:val="a3"/>
              <w:tabs>
                <w:tab w:val="left" w:pos="851"/>
                <w:tab w:val="left" w:pos="993"/>
              </w:tabs>
              <w:ind w:left="0"/>
              <w:jc w:val="center"/>
              <w:rPr>
                <w:color w:val="000000" w:themeColor="text1"/>
                <w:sz w:val="22"/>
                <w:szCs w:val="22"/>
                <w:lang w:val="uk-UA"/>
              </w:rPr>
            </w:pPr>
            <w:r w:rsidRPr="00876152">
              <w:rPr>
                <w:color w:val="000000" w:themeColor="text1"/>
                <w:sz w:val="22"/>
                <w:szCs w:val="22"/>
                <w:lang w:val="uk-UA"/>
              </w:rPr>
              <w:t>Ціна пропозиції, грн</w:t>
            </w:r>
          </w:p>
        </w:tc>
        <w:tc>
          <w:tcPr>
            <w:tcW w:w="2552" w:type="dxa"/>
          </w:tcPr>
          <w:p w:rsidR="00422126" w:rsidRPr="00876152" w:rsidRDefault="00422126" w:rsidP="00B377EE">
            <w:pPr>
              <w:pStyle w:val="a3"/>
              <w:tabs>
                <w:tab w:val="left" w:pos="851"/>
                <w:tab w:val="left" w:pos="993"/>
              </w:tabs>
              <w:ind w:left="0"/>
              <w:jc w:val="center"/>
              <w:rPr>
                <w:color w:val="000000" w:themeColor="text1"/>
                <w:sz w:val="22"/>
                <w:szCs w:val="22"/>
                <w:lang w:val="uk-UA"/>
              </w:rPr>
            </w:pPr>
            <w:r w:rsidRPr="00876152">
              <w:rPr>
                <w:color w:val="000000" w:themeColor="text1"/>
                <w:sz w:val="22"/>
                <w:szCs w:val="22"/>
                <w:lang w:val="uk-UA"/>
              </w:rPr>
              <w:t>Дата надання пропозиції</w:t>
            </w:r>
          </w:p>
        </w:tc>
      </w:tr>
      <w:tr w:rsidR="00422126" w:rsidRPr="00876152" w:rsidTr="00B377EE">
        <w:tc>
          <w:tcPr>
            <w:tcW w:w="562" w:type="dxa"/>
          </w:tcPr>
          <w:p w:rsidR="00422126" w:rsidRPr="00876152" w:rsidRDefault="00422126" w:rsidP="00B377EE">
            <w:pPr>
              <w:pStyle w:val="a3"/>
              <w:tabs>
                <w:tab w:val="left" w:pos="851"/>
                <w:tab w:val="left" w:pos="993"/>
              </w:tabs>
              <w:ind w:left="0"/>
              <w:jc w:val="both"/>
              <w:rPr>
                <w:color w:val="000000" w:themeColor="text1"/>
                <w:sz w:val="28"/>
                <w:szCs w:val="28"/>
                <w:lang w:val="uk-UA"/>
              </w:rPr>
            </w:pPr>
            <w:r w:rsidRPr="00876152">
              <w:rPr>
                <w:color w:val="000000" w:themeColor="text1"/>
                <w:sz w:val="28"/>
                <w:szCs w:val="28"/>
                <w:lang w:val="uk-UA"/>
              </w:rPr>
              <w:t>1.</w:t>
            </w:r>
          </w:p>
        </w:tc>
        <w:tc>
          <w:tcPr>
            <w:tcW w:w="3261" w:type="dxa"/>
          </w:tcPr>
          <w:p w:rsidR="00422126" w:rsidRPr="00876152" w:rsidRDefault="00422126" w:rsidP="00B377EE">
            <w:pPr>
              <w:pStyle w:val="a3"/>
              <w:tabs>
                <w:tab w:val="left" w:pos="851"/>
                <w:tab w:val="left" w:pos="993"/>
              </w:tabs>
              <w:ind w:left="0"/>
              <w:jc w:val="both"/>
              <w:rPr>
                <w:color w:val="000000" w:themeColor="text1"/>
                <w:lang w:val="uk-UA"/>
              </w:rPr>
            </w:pPr>
            <w:r w:rsidRPr="00844D2A">
              <w:rPr>
                <w:color w:val="000000" w:themeColor="text1"/>
                <w:sz w:val="28"/>
                <w:lang w:val="uk-UA"/>
              </w:rPr>
              <w:t>ПрАТ «ДАТА ГРУП»</w:t>
            </w:r>
          </w:p>
        </w:tc>
        <w:tc>
          <w:tcPr>
            <w:tcW w:w="2551" w:type="dxa"/>
          </w:tcPr>
          <w:p w:rsidR="00422126" w:rsidRPr="00876152" w:rsidRDefault="00422126" w:rsidP="00B377EE">
            <w:pPr>
              <w:pStyle w:val="a3"/>
              <w:tabs>
                <w:tab w:val="left" w:pos="851"/>
                <w:tab w:val="left" w:pos="993"/>
              </w:tabs>
              <w:ind w:left="0"/>
              <w:jc w:val="both"/>
              <w:rPr>
                <w:color w:val="000000" w:themeColor="text1"/>
                <w:sz w:val="28"/>
                <w:szCs w:val="28"/>
                <w:lang w:val="uk-UA"/>
              </w:rPr>
            </w:pPr>
            <w:r w:rsidRPr="00876152">
              <w:rPr>
                <w:color w:val="000000" w:themeColor="text1"/>
                <w:sz w:val="28"/>
                <w:szCs w:val="28"/>
                <w:lang w:val="uk-UA"/>
              </w:rPr>
              <w:t>1</w:t>
            </w:r>
            <w:r>
              <w:rPr>
                <w:color w:val="000000" w:themeColor="text1"/>
                <w:sz w:val="28"/>
                <w:szCs w:val="28"/>
                <w:lang w:val="uk-UA"/>
              </w:rPr>
              <w:t>20</w:t>
            </w:r>
            <w:r w:rsidRPr="00876152">
              <w:rPr>
                <w:color w:val="000000" w:themeColor="text1"/>
                <w:sz w:val="28"/>
                <w:szCs w:val="28"/>
                <w:lang w:val="uk-UA"/>
              </w:rPr>
              <w:t> 000,00</w:t>
            </w:r>
          </w:p>
        </w:tc>
        <w:tc>
          <w:tcPr>
            <w:tcW w:w="2552" w:type="dxa"/>
          </w:tcPr>
          <w:p w:rsidR="00422126" w:rsidRPr="00876152" w:rsidRDefault="00422126" w:rsidP="00B377EE">
            <w:pPr>
              <w:pStyle w:val="a3"/>
              <w:tabs>
                <w:tab w:val="left" w:pos="851"/>
                <w:tab w:val="left" w:pos="993"/>
              </w:tabs>
              <w:ind w:left="0"/>
              <w:jc w:val="both"/>
              <w:rPr>
                <w:color w:val="000000" w:themeColor="text1"/>
                <w:sz w:val="28"/>
                <w:szCs w:val="28"/>
                <w:lang w:val="uk-UA"/>
              </w:rPr>
            </w:pPr>
            <w:r w:rsidRPr="00876152">
              <w:rPr>
                <w:color w:val="000000" w:themeColor="text1"/>
                <w:sz w:val="28"/>
                <w:szCs w:val="28"/>
                <w:lang w:val="uk-UA"/>
              </w:rPr>
              <w:t>15.12.2022</w:t>
            </w:r>
          </w:p>
        </w:tc>
      </w:tr>
      <w:tr w:rsidR="00422126" w:rsidRPr="00876152" w:rsidTr="00B377EE">
        <w:tc>
          <w:tcPr>
            <w:tcW w:w="562" w:type="dxa"/>
          </w:tcPr>
          <w:p w:rsidR="00422126" w:rsidRPr="00876152" w:rsidRDefault="00422126" w:rsidP="00B377EE">
            <w:pPr>
              <w:pStyle w:val="a3"/>
              <w:tabs>
                <w:tab w:val="left" w:pos="851"/>
                <w:tab w:val="left" w:pos="993"/>
              </w:tabs>
              <w:ind w:left="0"/>
              <w:jc w:val="both"/>
              <w:rPr>
                <w:color w:val="000000" w:themeColor="text1"/>
                <w:sz w:val="28"/>
                <w:szCs w:val="28"/>
                <w:lang w:val="uk-UA"/>
              </w:rPr>
            </w:pPr>
            <w:r w:rsidRPr="00876152">
              <w:rPr>
                <w:color w:val="000000" w:themeColor="text1"/>
                <w:sz w:val="28"/>
                <w:szCs w:val="28"/>
                <w:lang w:val="uk-UA"/>
              </w:rPr>
              <w:t>2.</w:t>
            </w:r>
          </w:p>
        </w:tc>
        <w:tc>
          <w:tcPr>
            <w:tcW w:w="3261" w:type="dxa"/>
          </w:tcPr>
          <w:p w:rsidR="00422126" w:rsidRPr="00876152" w:rsidRDefault="00422126" w:rsidP="00B377EE">
            <w:pPr>
              <w:pStyle w:val="a3"/>
              <w:tabs>
                <w:tab w:val="left" w:pos="851"/>
                <w:tab w:val="left" w:pos="993"/>
              </w:tabs>
              <w:ind w:left="0"/>
              <w:jc w:val="both"/>
              <w:rPr>
                <w:color w:val="000000" w:themeColor="text1"/>
                <w:sz w:val="28"/>
                <w:szCs w:val="28"/>
                <w:lang w:val="uk-UA"/>
              </w:rPr>
            </w:pPr>
            <w:r w:rsidRPr="00876152">
              <w:rPr>
                <w:color w:val="000000" w:themeColor="text1"/>
                <w:sz w:val="28"/>
                <w:szCs w:val="28"/>
                <w:lang w:val="uk-UA"/>
              </w:rPr>
              <w:t>ТОВ «УКРКОМ»</w:t>
            </w:r>
          </w:p>
        </w:tc>
        <w:tc>
          <w:tcPr>
            <w:tcW w:w="2551" w:type="dxa"/>
          </w:tcPr>
          <w:p w:rsidR="00422126" w:rsidRPr="00876152" w:rsidRDefault="00422126" w:rsidP="00B377EE">
            <w:pPr>
              <w:pStyle w:val="a3"/>
              <w:tabs>
                <w:tab w:val="left" w:pos="851"/>
                <w:tab w:val="left" w:pos="993"/>
              </w:tabs>
              <w:ind w:left="0"/>
              <w:jc w:val="both"/>
              <w:rPr>
                <w:color w:val="000000" w:themeColor="text1"/>
                <w:sz w:val="28"/>
                <w:szCs w:val="28"/>
                <w:lang w:val="uk-UA"/>
              </w:rPr>
            </w:pPr>
            <w:r>
              <w:rPr>
                <w:color w:val="000000" w:themeColor="text1"/>
                <w:sz w:val="28"/>
                <w:szCs w:val="28"/>
                <w:lang w:val="uk-UA"/>
              </w:rPr>
              <w:t>52 800</w:t>
            </w:r>
            <w:r w:rsidRPr="00876152">
              <w:rPr>
                <w:color w:val="000000" w:themeColor="text1"/>
                <w:sz w:val="28"/>
                <w:szCs w:val="28"/>
                <w:lang w:val="uk-UA"/>
              </w:rPr>
              <w:t>,00</w:t>
            </w:r>
          </w:p>
        </w:tc>
        <w:tc>
          <w:tcPr>
            <w:tcW w:w="2552" w:type="dxa"/>
          </w:tcPr>
          <w:p w:rsidR="00422126" w:rsidRPr="00876152" w:rsidRDefault="00422126" w:rsidP="00B377EE">
            <w:pPr>
              <w:pStyle w:val="a3"/>
              <w:tabs>
                <w:tab w:val="left" w:pos="851"/>
                <w:tab w:val="left" w:pos="993"/>
              </w:tabs>
              <w:ind w:left="0"/>
              <w:jc w:val="both"/>
              <w:rPr>
                <w:color w:val="000000" w:themeColor="text1"/>
                <w:sz w:val="28"/>
                <w:szCs w:val="28"/>
                <w:lang w:val="uk-UA"/>
              </w:rPr>
            </w:pPr>
            <w:r w:rsidRPr="00876152">
              <w:rPr>
                <w:color w:val="000000" w:themeColor="text1"/>
                <w:sz w:val="28"/>
                <w:szCs w:val="28"/>
                <w:lang w:val="uk-UA"/>
              </w:rPr>
              <w:t>16.12.2022</w:t>
            </w:r>
          </w:p>
        </w:tc>
      </w:tr>
      <w:tr w:rsidR="00422126" w:rsidRPr="00876152" w:rsidTr="00B377EE">
        <w:tc>
          <w:tcPr>
            <w:tcW w:w="562" w:type="dxa"/>
          </w:tcPr>
          <w:p w:rsidR="00422126" w:rsidRPr="00876152" w:rsidRDefault="00422126" w:rsidP="00B377EE">
            <w:pPr>
              <w:pStyle w:val="a3"/>
              <w:tabs>
                <w:tab w:val="left" w:pos="851"/>
                <w:tab w:val="left" w:pos="993"/>
              </w:tabs>
              <w:ind w:left="0"/>
              <w:jc w:val="both"/>
              <w:rPr>
                <w:color w:val="000000" w:themeColor="text1"/>
                <w:sz w:val="28"/>
                <w:szCs w:val="28"/>
                <w:lang w:val="uk-UA"/>
              </w:rPr>
            </w:pPr>
            <w:r w:rsidRPr="00876152">
              <w:rPr>
                <w:color w:val="000000" w:themeColor="text1"/>
                <w:sz w:val="28"/>
                <w:szCs w:val="28"/>
                <w:lang w:val="uk-UA"/>
              </w:rPr>
              <w:t>3.</w:t>
            </w:r>
          </w:p>
        </w:tc>
        <w:tc>
          <w:tcPr>
            <w:tcW w:w="3261" w:type="dxa"/>
          </w:tcPr>
          <w:p w:rsidR="00422126" w:rsidRPr="00876152" w:rsidRDefault="00422126" w:rsidP="00B377EE">
            <w:pPr>
              <w:pStyle w:val="a3"/>
              <w:tabs>
                <w:tab w:val="left" w:pos="851"/>
                <w:tab w:val="left" w:pos="993"/>
              </w:tabs>
              <w:ind w:left="0"/>
              <w:jc w:val="both"/>
              <w:rPr>
                <w:color w:val="000000" w:themeColor="text1"/>
                <w:sz w:val="28"/>
                <w:szCs w:val="28"/>
                <w:lang w:val="uk-UA"/>
              </w:rPr>
            </w:pPr>
            <w:r w:rsidRPr="00876152">
              <w:rPr>
                <w:color w:val="000000" w:themeColor="text1"/>
                <w:sz w:val="28"/>
                <w:szCs w:val="28"/>
                <w:lang w:val="uk-UA"/>
              </w:rPr>
              <w:t>ТОВ «</w:t>
            </w:r>
            <w:proofErr w:type="spellStart"/>
            <w:r w:rsidRPr="00876152">
              <w:rPr>
                <w:color w:val="000000" w:themeColor="text1"/>
                <w:sz w:val="28"/>
                <w:szCs w:val="28"/>
                <w:lang w:val="uk-UA"/>
              </w:rPr>
              <w:t>Гігатранс</w:t>
            </w:r>
            <w:proofErr w:type="spellEnd"/>
            <w:r w:rsidRPr="00876152">
              <w:rPr>
                <w:color w:val="000000" w:themeColor="text1"/>
                <w:sz w:val="28"/>
                <w:szCs w:val="28"/>
                <w:lang w:val="uk-UA"/>
              </w:rPr>
              <w:t xml:space="preserve"> Україна»</w:t>
            </w:r>
          </w:p>
        </w:tc>
        <w:tc>
          <w:tcPr>
            <w:tcW w:w="2551" w:type="dxa"/>
          </w:tcPr>
          <w:p w:rsidR="00422126" w:rsidRPr="00876152" w:rsidRDefault="00422126" w:rsidP="00B377EE">
            <w:pPr>
              <w:pStyle w:val="a3"/>
              <w:tabs>
                <w:tab w:val="left" w:pos="851"/>
                <w:tab w:val="left" w:pos="993"/>
              </w:tabs>
              <w:ind w:left="0"/>
              <w:jc w:val="both"/>
              <w:rPr>
                <w:color w:val="000000" w:themeColor="text1"/>
                <w:sz w:val="28"/>
                <w:szCs w:val="28"/>
                <w:lang w:val="uk-UA"/>
              </w:rPr>
            </w:pPr>
            <w:r w:rsidRPr="00876152">
              <w:rPr>
                <w:color w:val="000000" w:themeColor="text1"/>
                <w:sz w:val="28"/>
                <w:szCs w:val="28"/>
                <w:lang w:val="uk-UA"/>
              </w:rPr>
              <w:t>1</w:t>
            </w:r>
            <w:r>
              <w:rPr>
                <w:color w:val="000000" w:themeColor="text1"/>
                <w:sz w:val="28"/>
                <w:szCs w:val="28"/>
                <w:lang w:val="uk-UA"/>
              </w:rPr>
              <w:t>0</w:t>
            </w:r>
            <w:r w:rsidRPr="00876152">
              <w:rPr>
                <w:color w:val="000000" w:themeColor="text1"/>
                <w:sz w:val="28"/>
                <w:szCs w:val="28"/>
                <w:lang w:val="uk-UA"/>
              </w:rPr>
              <w:t>0 000,00</w:t>
            </w:r>
          </w:p>
        </w:tc>
        <w:tc>
          <w:tcPr>
            <w:tcW w:w="2552" w:type="dxa"/>
          </w:tcPr>
          <w:p w:rsidR="00422126" w:rsidRPr="00876152" w:rsidRDefault="00422126" w:rsidP="00B377EE">
            <w:pPr>
              <w:pStyle w:val="a3"/>
              <w:tabs>
                <w:tab w:val="left" w:pos="851"/>
                <w:tab w:val="left" w:pos="993"/>
              </w:tabs>
              <w:ind w:left="0"/>
              <w:jc w:val="both"/>
              <w:rPr>
                <w:color w:val="000000" w:themeColor="text1"/>
                <w:sz w:val="28"/>
                <w:szCs w:val="28"/>
                <w:lang w:val="uk-UA"/>
              </w:rPr>
            </w:pPr>
            <w:r w:rsidRPr="00876152">
              <w:rPr>
                <w:color w:val="000000" w:themeColor="text1"/>
                <w:sz w:val="28"/>
                <w:szCs w:val="28"/>
                <w:lang w:val="uk-UA"/>
              </w:rPr>
              <w:t>22.12.2022</w:t>
            </w:r>
          </w:p>
        </w:tc>
      </w:tr>
    </w:tbl>
    <w:p w:rsidR="00422126" w:rsidRPr="00422126" w:rsidRDefault="00422126" w:rsidP="00422126">
      <w:pPr>
        <w:ind w:firstLine="567"/>
        <w:jc w:val="both"/>
        <w:rPr>
          <w:rFonts w:ascii="Times New Roman" w:hAnsi="Times New Roman"/>
          <w:sz w:val="28"/>
          <w:szCs w:val="28"/>
        </w:rPr>
      </w:pPr>
    </w:p>
    <w:p w:rsidR="002013F5" w:rsidRPr="00C82385" w:rsidRDefault="00422126" w:rsidP="00422126">
      <w:pPr>
        <w:ind w:firstLine="567"/>
        <w:jc w:val="both"/>
        <w:rPr>
          <w:rFonts w:ascii="Times New Roman" w:hAnsi="Times New Roman"/>
          <w:sz w:val="28"/>
          <w:szCs w:val="28"/>
        </w:rPr>
      </w:pPr>
      <w:r w:rsidRPr="00422126">
        <w:rPr>
          <w:rFonts w:ascii="Times New Roman" w:hAnsi="Times New Roman"/>
          <w:sz w:val="28"/>
          <w:szCs w:val="28"/>
        </w:rPr>
        <w:t>Враховуючи розрахунок місячної вартості послуги з даних комерційних пропозицій, зважаючи на строк надання послуги (10 місяців), очікувана вартість предмета закупівлі за середнім значенням відповідно до поданих комерційних пропозицій може становити 90 933,00,00 грн, але, враховуючи розмір бюджетного призначення на 2023 рік, що становить 72 000,00 грн та обсяг додаткової угоди від 12.01.2023 №180-І/13110-05/616-2, що становить 10 560,00 грн очікувана вартість предмета закупівлі складає 61 440,00 грн з урахуванням ПДВ.</w:t>
      </w:r>
    </w:p>
    <w:sectPr w:rsidR="002013F5" w:rsidRPr="00C82385">
      <w:pgSz w:w="11906" w:h="16838"/>
      <w:pgMar w:top="709" w:right="566"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B2B"/>
    <w:multiLevelType w:val="hybridMultilevel"/>
    <w:tmpl w:val="C0ECC9D6"/>
    <w:lvl w:ilvl="0" w:tplc="8E46AFC4">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DCE2480"/>
    <w:multiLevelType w:val="multilevel"/>
    <w:tmpl w:val="A2E23A42"/>
    <w:lvl w:ilvl="0">
      <w:start w:val="3"/>
      <w:numFmt w:val="decimal"/>
      <w:lvlText w:val="%1."/>
      <w:lvlJc w:val="left"/>
      <w:pPr>
        <w:ind w:left="281" w:hanging="281"/>
        <w:jc w:val="right"/>
      </w:pPr>
      <w:rPr>
        <w:rFonts w:ascii="Times New Roman" w:hAnsi="Times New Roman"/>
        <w:b/>
        <w:bCs/>
        <w:w w:val="100"/>
        <w:sz w:val="28"/>
        <w:szCs w:val="28"/>
        <w:lang w:val="uk-UA" w:eastAsia="en-US" w:bidi="ar-SA"/>
      </w:rPr>
    </w:lvl>
    <w:lvl w:ilvl="1">
      <w:start w:val="1"/>
      <w:numFmt w:val="decimal"/>
      <w:lvlText w:val="%1.%2."/>
      <w:lvlJc w:val="left"/>
      <w:pPr>
        <w:ind w:left="992" w:hanging="449"/>
      </w:pPr>
      <w:rPr>
        <w:rFonts w:ascii="Times New Roman" w:hAnsi="Times New Roman"/>
        <w:i/>
        <w:w w:val="100"/>
        <w:sz w:val="28"/>
        <w:szCs w:val="28"/>
        <w:lang w:val="uk-UA" w:eastAsia="en-US" w:bidi="ar-SA"/>
      </w:rPr>
    </w:lvl>
    <w:lvl w:ilvl="2">
      <w:start w:val="1"/>
      <w:numFmt w:val="bullet"/>
      <w:lvlText w:val="•"/>
      <w:lvlJc w:val="left"/>
      <w:pPr>
        <w:ind w:left="2018" w:hanging="449"/>
      </w:pPr>
      <w:rPr>
        <w:lang w:val="uk-UA" w:eastAsia="en-US" w:bidi="ar-SA"/>
      </w:rPr>
    </w:lvl>
    <w:lvl w:ilvl="3">
      <w:start w:val="1"/>
      <w:numFmt w:val="bullet"/>
      <w:lvlText w:val="•"/>
      <w:lvlJc w:val="left"/>
      <w:pPr>
        <w:ind w:left="3036" w:hanging="449"/>
      </w:pPr>
      <w:rPr>
        <w:lang w:val="uk-UA" w:eastAsia="en-US" w:bidi="ar-SA"/>
      </w:rPr>
    </w:lvl>
    <w:lvl w:ilvl="4">
      <w:start w:val="1"/>
      <w:numFmt w:val="bullet"/>
      <w:lvlText w:val="•"/>
      <w:lvlJc w:val="left"/>
      <w:pPr>
        <w:ind w:left="4055" w:hanging="449"/>
      </w:pPr>
      <w:rPr>
        <w:lang w:val="uk-UA" w:eastAsia="en-US" w:bidi="ar-SA"/>
      </w:rPr>
    </w:lvl>
    <w:lvl w:ilvl="5">
      <w:start w:val="1"/>
      <w:numFmt w:val="bullet"/>
      <w:lvlText w:val="•"/>
      <w:lvlJc w:val="left"/>
      <w:pPr>
        <w:ind w:left="5073" w:hanging="449"/>
      </w:pPr>
      <w:rPr>
        <w:lang w:val="uk-UA" w:eastAsia="en-US" w:bidi="ar-SA"/>
      </w:rPr>
    </w:lvl>
    <w:lvl w:ilvl="6">
      <w:start w:val="1"/>
      <w:numFmt w:val="bullet"/>
      <w:lvlText w:val="•"/>
      <w:lvlJc w:val="left"/>
      <w:pPr>
        <w:ind w:left="6092" w:hanging="449"/>
      </w:pPr>
      <w:rPr>
        <w:lang w:val="uk-UA" w:eastAsia="en-US" w:bidi="ar-SA"/>
      </w:rPr>
    </w:lvl>
    <w:lvl w:ilvl="7">
      <w:start w:val="1"/>
      <w:numFmt w:val="bullet"/>
      <w:lvlText w:val="•"/>
      <w:lvlJc w:val="left"/>
      <w:pPr>
        <w:ind w:left="7110" w:hanging="449"/>
      </w:pPr>
      <w:rPr>
        <w:lang w:val="uk-UA" w:eastAsia="en-US" w:bidi="ar-SA"/>
      </w:rPr>
    </w:lvl>
    <w:lvl w:ilvl="8">
      <w:start w:val="1"/>
      <w:numFmt w:val="bullet"/>
      <w:lvlText w:val="•"/>
      <w:lvlJc w:val="left"/>
      <w:pPr>
        <w:ind w:left="8129" w:hanging="449"/>
      </w:pPr>
      <w:rPr>
        <w:lang w:val="uk-UA" w:eastAsia="en-US" w:bidi="ar-SA"/>
      </w:rPr>
    </w:lvl>
  </w:abstractNum>
  <w:abstractNum w:abstractNumId="2" w15:restartNumberingAfterBreak="0">
    <w:nsid w:val="371972DA"/>
    <w:multiLevelType w:val="hybridMultilevel"/>
    <w:tmpl w:val="766436EC"/>
    <w:lvl w:ilvl="0" w:tplc="4E6E3028">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F5"/>
    <w:rsid w:val="000523E3"/>
    <w:rsid w:val="001F4F65"/>
    <w:rsid w:val="002013F5"/>
    <w:rsid w:val="00201B45"/>
    <w:rsid w:val="00290A77"/>
    <w:rsid w:val="00397685"/>
    <w:rsid w:val="00422126"/>
    <w:rsid w:val="004B1984"/>
    <w:rsid w:val="00511AB2"/>
    <w:rsid w:val="00563021"/>
    <w:rsid w:val="00585082"/>
    <w:rsid w:val="0064711A"/>
    <w:rsid w:val="00690967"/>
    <w:rsid w:val="006D5E63"/>
    <w:rsid w:val="00717E54"/>
    <w:rsid w:val="007B7B17"/>
    <w:rsid w:val="007D3965"/>
    <w:rsid w:val="007F0639"/>
    <w:rsid w:val="00804402"/>
    <w:rsid w:val="008547FF"/>
    <w:rsid w:val="008759B8"/>
    <w:rsid w:val="00905E49"/>
    <w:rsid w:val="00936AE9"/>
    <w:rsid w:val="009B38BB"/>
    <w:rsid w:val="009C2E8F"/>
    <w:rsid w:val="009E6F15"/>
    <w:rsid w:val="00A80400"/>
    <w:rsid w:val="00B22A11"/>
    <w:rsid w:val="00B31599"/>
    <w:rsid w:val="00BA5DA4"/>
    <w:rsid w:val="00BC4CA0"/>
    <w:rsid w:val="00C150D3"/>
    <w:rsid w:val="00C24888"/>
    <w:rsid w:val="00C82385"/>
    <w:rsid w:val="00CB760D"/>
    <w:rsid w:val="00D4679E"/>
    <w:rsid w:val="00D762FA"/>
    <w:rsid w:val="00D85917"/>
    <w:rsid w:val="00DC21DD"/>
    <w:rsid w:val="00E064A4"/>
    <w:rsid w:val="00E2764B"/>
    <w:rsid w:val="00E5502C"/>
    <w:rsid w:val="00F36863"/>
    <w:rsid w:val="00FC1F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3416"/>
  <w15:docId w15:val="{463701F6-FC02-42A8-8A54-BB115AC2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qFormat/>
    <w:pPr>
      <w:spacing w:after="0" w:line="240" w:lineRule="auto"/>
    </w:pPr>
  </w:style>
  <w:style w:type="paragraph" w:styleId="a5">
    <w:name w:val="Balloon Text"/>
    <w:basedOn w:val="a"/>
    <w:link w:val="a6"/>
    <w:semiHidden/>
    <w:pPr>
      <w:spacing w:after="0" w:line="240" w:lineRule="auto"/>
    </w:pPr>
    <w:rPr>
      <w:rFonts w:ascii="Segoe UI" w:hAnsi="Segoe UI"/>
      <w:sz w:val="18"/>
      <w:szCs w:val="18"/>
    </w:rPr>
  </w:style>
  <w:style w:type="character" w:styleId="a7">
    <w:name w:val="line number"/>
    <w:basedOn w:val="a0"/>
    <w:semiHidden/>
  </w:style>
  <w:style w:type="character" w:styleId="a8">
    <w:name w:val="Hyperlink"/>
    <w:rPr>
      <w:color w:val="0000FF"/>
      <w:u w:val="single"/>
    </w:rPr>
  </w:style>
  <w:style w:type="character" w:customStyle="1" w:styleId="a6">
    <w:name w:val="Текст у виносці Знак"/>
    <w:basedOn w:val="a0"/>
    <w:link w:val="a5"/>
    <w:semiHidden/>
    <w:rPr>
      <w:rFonts w:ascii="Segoe UI" w:hAnsi="Segoe UI"/>
      <w:sz w:val="18"/>
      <w:szCs w:val="18"/>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A8A94-8899-47B3-840B-334FC5DE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2509</Words>
  <Characters>1431</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Вакула Наталія Віталіївна</dc:creator>
  <cp:lastModifiedBy>Ярощук Ірина Вікторівна</cp:lastModifiedBy>
  <cp:revision>24</cp:revision>
  <cp:lastPrinted>2023-01-23T12:37:00Z</cp:lastPrinted>
  <dcterms:created xsi:type="dcterms:W3CDTF">2022-12-09T10:26:00Z</dcterms:created>
  <dcterms:modified xsi:type="dcterms:W3CDTF">2023-03-28T12:13:00Z</dcterms:modified>
</cp:coreProperties>
</file>