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C51" w:rsidRPr="005D34AD" w:rsidRDefault="001F161B" w:rsidP="001F1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34AD">
        <w:rPr>
          <w:rFonts w:ascii="Times New Roman" w:hAnsi="Times New Roman" w:cs="Times New Roman"/>
          <w:b/>
          <w:sz w:val="24"/>
          <w:szCs w:val="24"/>
        </w:rPr>
        <w:t>Обґрунтування</w:t>
      </w:r>
    </w:p>
    <w:p w:rsidR="001F161B" w:rsidRPr="005D34AD" w:rsidRDefault="001F161B" w:rsidP="001F161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4AD">
        <w:rPr>
          <w:rFonts w:ascii="Times New Roman" w:hAnsi="Times New Roman" w:cs="Times New Roman"/>
          <w:b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1F161B" w:rsidRPr="005D34AD" w:rsidRDefault="001F161B" w:rsidP="001F161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34AD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5D34A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D34AD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 від 11.10.2016 № 710 «Про ефективне використання державних коштів» (зі змінами)</w:t>
      </w:r>
    </w:p>
    <w:p w:rsidR="001F161B" w:rsidRPr="005D34AD" w:rsidRDefault="001F161B" w:rsidP="001F161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F161B" w:rsidRPr="005D34AD" w:rsidRDefault="001F161B" w:rsidP="00DC37B5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4AD">
        <w:rPr>
          <w:rFonts w:ascii="Times New Roman" w:hAnsi="Times New Roman" w:cs="Times New Roman"/>
          <w:b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</w:p>
    <w:p w:rsidR="006D3FF6" w:rsidRPr="005D34AD" w:rsidRDefault="006D3FF6" w:rsidP="006D3FF6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4AD">
        <w:rPr>
          <w:rFonts w:ascii="Times New Roman" w:hAnsi="Times New Roman" w:cs="Times New Roman"/>
          <w:sz w:val="24"/>
          <w:szCs w:val="24"/>
        </w:rPr>
        <w:t>Міністерство фінансів України</w:t>
      </w:r>
    </w:p>
    <w:p w:rsidR="006D3FF6" w:rsidRPr="005D34AD" w:rsidRDefault="006D3FF6" w:rsidP="006D3FF6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4AD">
        <w:rPr>
          <w:rFonts w:ascii="Times New Roman" w:hAnsi="Times New Roman" w:cs="Times New Roman"/>
          <w:sz w:val="24"/>
          <w:szCs w:val="24"/>
        </w:rPr>
        <w:t>01008, м. Київ, вул. Грушевського, 12/2,</w:t>
      </w:r>
    </w:p>
    <w:p w:rsidR="006D3FF6" w:rsidRPr="005D34AD" w:rsidRDefault="006D3FF6" w:rsidP="006D3FF6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4AD">
        <w:rPr>
          <w:rFonts w:ascii="Times New Roman" w:hAnsi="Times New Roman" w:cs="Times New Roman"/>
          <w:sz w:val="24"/>
          <w:szCs w:val="24"/>
        </w:rPr>
        <w:t>код за ЄДРПОУ 00013480</w:t>
      </w:r>
    </w:p>
    <w:p w:rsidR="006D3FF6" w:rsidRPr="005D34AD" w:rsidRDefault="006D3FF6" w:rsidP="006D3FF6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4AD">
        <w:rPr>
          <w:rFonts w:ascii="Times New Roman" w:hAnsi="Times New Roman" w:cs="Times New Roman"/>
          <w:sz w:val="24"/>
          <w:szCs w:val="24"/>
        </w:rPr>
        <w:t>категорія замовника – орган державної влади.</w:t>
      </w:r>
    </w:p>
    <w:p w:rsidR="001F161B" w:rsidRPr="005D34AD" w:rsidRDefault="00FB3C91" w:rsidP="00DC37B5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4AD">
        <w:rPr>
          <w:rFonts w:ascii="Times New Roman" w:hAnsi="Times New Roman" w:cs="Times New Roman"/>
          <w:b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0C49C4" w:rsidRPr="00D64A1B" w:rsidRDefault="000C49C4" w:rsidP="000C49C4">
      <w:pPr>
        <w:widowControl w:val="0"/>
        <w:tabs>
          <w:tab w:val="left" w:pos="993"/>
        </w:tabs>
        <w:autoSpaceDE w:val="0"/>
        <w:autoSpaceDN w:val="0"/>
        <w:spacing w:before="2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4A1B">
        <w:rPr>
          <w:rFonts w:ascii="Times New Roman" w:hAnsi="Times New Roman" w:cs="Times New Roman"/>
          <w:sz w:val="24"/>
          <w:szCs w:val="24"/>
        </w:rPr>
        <w:t>«Папір А4, папір А3 за кодом ДК 021:2015: 30190000-7 Офісне устаткування та приладдя різне»</w:t>
      </w:r>
    </w:p>
    <w:p w:rsidR="00813952" w:rsidRPr="005D34AD" w:rsidRDefault="00813952" w:rsidP="000C49C4">
      <w:pPr>
        <w:widowControl w:val="0"/>
        <w:tabs>
          <w:tab w:val="left" w:pos="993"/>
        </w:tabs>
        <w:autoSpaceDE w:val="0"/>
        <w:autoSpaceDN w:val="0"/>
        <w:spacing w:before="2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4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52214D" w:rsidRPr="0052214D">
        <w:rPr>
          <w:rFonts w:eastAsia="Times New Roman"/>
          <w:bCs/>
        </w:rPr>
        <w:t>UA-2022-11-29-014763-a</w:t>
      </w:r>
    </w:p>
    <w:p w:rsidR="00813952" w:rsidRPr="005D34AD" w:rsidRDefault="00FB3C91" w:rsidP="00256854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4AD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закупівлі:</w:t>
      </w:r>
    </w:p>
    <w:p w:rsidR="00D64A1B" w:rsidRDefault="00D64A1B" w:rsidP="00D64A1B">
      <w:pPr>
        <w:pStyle w:val="a3"/>
        <w:tabs>
          <w:tab w:val="left" w:pos="851"/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4A1B">
        <w:rPr>
          <w:rFonts w:ascii="Times New Roman" w:hAnsi="Times New Roman" w:cs="Times New Roman"/>
          <w:color w:val="000000" w:themeColor="text1"/>
          <w:sz w:val="24"/>
          <w:szCs w:val="24"/>
        </w:rPr>
        <w:t>Потреба у</w:t>
      </w:r>
      <w:r w:rsidRPr="00D64A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64A1B">
        <w:rPr>
          <w:rFonts w:ascii="Times New Roman" w:hAnsi="Times New Roman" w:cs="Times New Roman"/>
          <w:sz w:val="24"/>
          <w:szCs w:val="24"/>
        </w:rPr>
        <w:t>закупівлях паперу</w:t>
      </w:r>
      <w:r w:rsidR="0079571B">
        <w:rPr>
          <w:rFonts w:ascii="Times New Roman" w:hAnsi="Times New Roman" w:cs="Times New Roman"/>
          <w:sz w:val="24"/>
          <w:szCs w:val="24"/>
        </w:rPr>
        <w:t xml:space="preserve"> із технічними параметрами  паперу та якістю  класу А,В</w:t>
      </w:r>
      <w:r w:rsidRPr="00D64A1B">
        <w:rPr>
          <w:rFonts w:ascii="Times New Roman" w:hAnsi="Times New Roman" w:cs="Times New Roman"/>
          <w:sz w:val="24"/>
          <w:szCs w:val="24"/>
        </w:rPr>
        <w:t xml:space="preserve"> на 2022 рік визначена  за заявками структурних підрозділів Міністерства фінансів України протягом попередніх років та додаткових замовлень структурних підрозділів для переведення електронних документів до архіву у паперовому вигляді, для документів постійного зберігання, тиражування конкретних законодавчих актів і нормативних документів нового законодавства для забезпечення потреб апарату Міністерства фінансів України та надання до Кабінету Міністрів України, комітетів Верховної Ради України, та народних депутатів</w:t>
      </w:r>
      <w:r w:rsidR="00A23FC9">
        <w:rPr>
          <w:rFonts w:ascii="Times New Roman" w:hAnsi="Times New Roman" w:cs="Times New Roman"/>
          <w:sz w:val="24"/>
          <w:szCs w:val="24"/>
        </w:rPr>
        <w:t xml:space="preserve"> України із використанням </w:t>
      </w:r>
      <w:r w:rsidR="00A93CA5">
        <w:rPr>
          <w:rFonts w:ascii="Times New Roman" w:hAnsi="Times New Roman" w:cs="Times New Roman"/>
          <w:sz w:val="24"/>
          <w:szCs w:val="24"/>
        </w:rPr>
        <w:t xml:space="preserve">для друку та тиражування </w:t>
      </w:r>
      <w:r w:rsidR="0007586B">
        <w:rPr>
          <w:rFonts w:ascii="Times New Roman" w:hAnsi="Times New Roman" w:cs="Times New Roman"/>
          <w:sz w:val="24"/>
          <w:szCs w:val="24"/>
        </w:rPr>
        <w:t xml:space="preserve">сучасних </w:t>
      </w:r>
      <w:r w:rsidR="00A23FC9">
        <w:rPr>
          <w:rFonts w:ascii="Times New Roman" w:hAnsi="Times New Roman" w:cs="Times New Roman"/>
          <w:sz w:val="24"/>
          <w:szCs w:val="24"/>
        </w:rPr>
        <w:t>швидкісних ве</w:t>
      </w:r>
      <w:r w:rsidR="00A93CA5">
        <w:rPr>
          <w:rFonts w:ascii="Times New Roman" w:hAnsi="Times New Roman" w:cs="Times New Roman"/>
          <w:sz w:val="24"/>
          <w:szCs w:val="24"/>
        </w:rPr>
        <w:t>р</w:t>
      </w:r>
      <w:r w:rsidR="00A23FC9">
        <w:rPr>
          <w:rFonts w:ascii="Times New Roman" w:hAnsi="Times New Roman" w:cs="Times New Roman"/>
          <w:sz w:val="24"/>
          <w:szCs w:val="24"/>
        </w:rPr>
        <w:t>статів</w:t>
      </w:r>
      <w:r w:rsidR="0007586B">
        <w:rPr>
          <w:rFonts w:ascii="Times New Roman" w:hAnsi="Times New Roman" w:cs="Times New Roman"/>
          <w:sz w:val="24"/>
          <w:szCs w:val="24"/>
        </w:rPr>
        <w:t xml:space="preserve"> цифрового друку</w:t>
      </w:r>
      <w:r w:rsidR="0079571B">
        <w:rPr>
          <w:rFonts w:ascii="Times New Roman" w:hAnsi="Times New Roman" w:cs="Times New Roman"/>
          <w:sz w:val="24"/>
          <w:szCs w:val="24"/>
        </w:rPr>
        <w:t>.</w:t>
      </w:r>
    </w:p>
    <w:p w:rsidR="00FB3C91" w:rsidRPr="00D64A1B" w:rsidRDefault="00FB3C91" w:rsidP="00A93CA5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A1B">
        <w:rPr>
          <w:rFonts w:ascii="Times New Roman" w:hAnsi="Times New Roman" w:cs="Times New Roman"/>
          <w:b/>
          <w:sz w:val="24"/>
          <w:szCs w:val="24"/>
        </w:rPr>
        <w:t>Обґрунтування розміру бюджетного призначення:</w:t>
      </w:r>
    </w:p>
    <w:p w:rsidR="00DC37B5" w:rsidRPr="005D34AD" w:rsidRDefault="00DC37B5" w:rsidP="00AE69EE">
      <w:pPr>
        <w:widowControl w:val="0"/>
        <w:tabs>
          <w:tab w:val="left" w:pos="426"/>
        </w:tabs>
        <w:autoSpaceDE w:val="0"/>
        <w:autoSpaceDN w:val="0"/>
        <w:spacing w:before="2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4AD">
        <w:rPr>
          <w:rFonts w:ascii="Times New Roman" w:hAnsi="Times New Roman" w:cs="Times New Roman"/>
          <w:sz w:val="24"/>
          <w:szCs w:val="24"/>
        </w:rPr>
        <w:tab/>
      </w:r>
      <w:r w:rsidR="00AE69EE">
        <w:rPr>
          <w:rFonts w:ascii="Times New Roman" w:hAnsi="Times New Roman" w:cs="Times New Roman"/>
          <w:sz w:val="24"/>
          <w:szCs w:val="24"/>
        </w:rPr>
        <w:tab/>
      </w:r>
      <w:r w:rsidRPr="005D34AD">
        <w:rPr>
          <w:rFonts w:ascii="Times New Roman" w:hAnsi="Times New Roman" w:cs="Times New Roman"/>
          <w:sz w:val="24"/>
          <w:szCs w:val="24"/>
        </w:rPr>
        <w:t>Розмір бюджетного призначення для предмета закупівлі</w:t>
      </w:r>
      <w:r w:rsidR="00AE69EE">
        <w:rPr>
          <w:rFonts w:ascii="Times New Roman" w:hAnsi="Times New Roman" w:cs="Times New Roman"/>
          <w:sz w:val="24"/>
          <w:szCs w:val="24"/>
        </w:rPr>
        <w:t>:</w:t>
      </w:r>
      <w:r w:rsidRPr="005D34AD">
        <w:rPr>
          <w:rFonts w:ascii="Times New Roman" w:hAnsi="Times New Roman" w:cs="Times New Roman"/>
          <w:sz w:val="24"/>
          <w:szCs w:val="24"/>
        </w:rPr>
        <w:t xml:space="preserve"> </w:t>
      </w:r>
      <w:r w:rsidR="00D64A1B" w:rsidRPr="00D64A1B">
        <w:rPr>
          <w:rFonts w:ascii="Times New Roman" w:hAnsi="Times New Roman" w:cs="Times New Roman"/>
          <w:sz w:val="24"/>
          <w:szCs w:val="24"/>
        </w:rPr>
        <w:t>«Папір А4, папір А3 за кодом ДК 021:2015: 30190000-7 Офісне устаткування та приладдя різне»</w:t>
      </w:r>
      <w:r w:rsidR="00D64A1B">
        <w:rPr>
          <w:rFonts w:ascii="Times New Roman" w:hAnsi="Times New Roman" w:cs="Times New Roman"/>
          <w:sz w:val="24"/>
          <w:szCs w:val="24"/>
        </w:rPr>
        <w:t xml:space="preserve"> </w:t>
      </w:r>
      <w:r w:rsidRPr="005D34AD">
        <w:rPr>
          <w:rFonts w:ascii="Times New Roman" w:hAnsi="Times New Roman" w:cs="Times New Roman"/>
          <w:sz w:val="24"/>
          <w:szCs w:val="24"/>
        </w:rPr>
        <w:t>відповідає розрахунку видатків до кошторису на</w:t>
      </w:r>
      <w:r w:rsidR="0072069F" w:rsidRPr="005D34AD">
        <w:rPr>
          <w:rFonts w:ascii="Times New Roman" w:hAnsi="Times New Roman" w:cs="Times New Roman"/>
          <w:sz w:val="24"/>
          <w:szCs w:val="24"/>
        </w:rPr>
        <w:t xml:space="preserve"> 2022 рік Міністерства фінансів </w:t>
      </w:r>
      <w:r w:rsidRPr="005D34AD">
        <w:rPr>
          <w:rFonts w:ascii="Times New Roman" w:hAnsi="Times New Roman" w:cs="Times New Roman"/>
          <w:sz w:val="24"/>
          <w:szCs w:val="24"/>
        </w:rPr>
        <w:t xml:space="preserve">України </w:t>
      </w:r>
      <w:r w:rsidR="00D64A1B" w:rsidRPr="00D64A1B">
        <w:rPr>
          <w:rFonts w:ascii="Times New Roman" w:hAnsi="Times New Roman" w:cs="Times New Roman"/>
          <w:sz w:val="24"/>
          <w:szCs w:val="24"/>
        </w:rPr>
        <w:t>за КПКВК 3501010, КЕКВ 2210 «Предмети, матеріали, обладнання та інвентар»</w:t>
      </w:r>
      <w:r w:rsidRPr="00D64A1B">
        <w:rPr>
          <w:rFonts w:ascii="Times New Roman" w:hAnsi="Times New Roman" w:cs="Times New Roman"/>
          <w:sz w:val="24"/>
          <w:szCs w:val="24"/>
        </w:rPr>
        <w:t>.</w:t>
      </w:r>
    </w:p>
    <w:p w:rsidR="00FB3C91" w:rsidRPr="005D34AD" w:rsidRDefault="00FB3C91" w:rsidP="00D64A1B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4AD">
        <w:rPr>
          <w:rFonts w:ascii="Times New Roman" w:hAnsi="Times New Roman" w:cs="Times New Roman"/>
          <w:b/>
          <w:sz w:val="24"/>
          <w:szCs w:val="24"/>
        </w:rPr>
        <w:t>Обґрунтування очікуваної вартості закупівлі:</w:t>
      </w:r>
    </w:p>
    <w:p w:rsidR="005E1EB8" w:rsidRPr="005E1EB8" w:rsidRDefault="00AE69EE" w:rsidP="00AE69EE">
      <w:pPr>
        <w:pStyle w:val="a3"/>
        <w:tabs>
          <w:tab w:val="left" w:pos="426"/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1EB8">
        <w:rPr>
          <w:rFonts w:ascii="Times New Roman" w:hAnsi="Times New Roman" w:cs="Times New Roman"/>
          <w:sz w:val="24"/>
          <w:szCs w:val="24"/>
        </w:rPr>
        <w:tab/>
      </w:r>
      <w:r w:rsidR="005E1EB8" w:rsidRPr="005E1EB8">
        <w:rPr>
          <w:rFonts w:ascii="Times New Roman" w:hAnsi="Times New Roman" w:cs="Times New Roman"/>
          <w:sz w:val="24"/>
          <w:szCs w:val="24"/>
        </w:rPr>
        <w:t>Розрахунок очікуваної вартості предмета закупівлі проведено за допомогою методу порівняння ринкових цін</w:t>
      </w:r>
      <w:r w:rsidR="00445151">
        <w:rPr>
          <w:rFonts w:ascii="Times New Roman" w:hAnsi="Times New Roman" w:cs="Times New Roman"/>
          <w:sz w:val="24"/>
          <w:szCs w:val="24"/>
        </w:rPr>
        <w:t xml:space="preserve">, </w:t>
      </w:r>
      <w:r w:rsidR="00A93CA5" w:rsidRPr="005E1EB8">
        <w:rPr>
          <w:rFonts w:ascii="Times New Roman" w:hAnsi="Times New Roman" w:cs="Times New Roman"/>
          <w:sz w:val="24"/>
          <w:szCs w:val="24"/>
        </w:rPr>
        <w:t>листопад 2022 року</w:t>
      </w:r>
      <w:r w:rsidR="005E1EB8" w:rsidRPr="005E1EB8">
        <w:rPr>
          <w:rFonts w:ascii="Times New Roman" w:hAnsi="Times New Roman" w:cs="Times New Roman"/>
          <w:sz w:val="24"/>
          <w:szCs w:val="24"/>
        </w:rPr>
        <w:t xml:space="preserve">, аналізу цінової інформації, </w:t>
      </w:r>
      <w:r w:rsidR="00A93CA5">
        <w:rPr>
          <w:rFonts w:ascii="Times New Roman" w:hAnsi="Times New Roman" w:cs="Times New Roman"/>
          <w:sz w:val="24"/>
          <w:szCs w:val="24"/>
        </w:rPr>
        <w:t>і</w:t>
      </w:r>
      <w:r w:rsidR="005E1EB8" w:rsidRPr="005E1EB8">
        <w:rPr>
          <w:rFonts w:ascii="Times New Roman" w:hAnsi="Times New Roman" w:cs="Times New Roman"/>
          <w:sz w:val="24"/>
          <w:szCs w:val="24"/>
        </w:rPr>
        <w:t>з заст</w:t>
      </w:r>
      <w:r w:rsidR="00A93CA5">
        <w:rPr>
          <w:rFonts w:ascii="Times New Roman" w:hAnsi="Times New Roman" w:cs="Times New Roman"/>
          <w:sz w:val="24"/>
          <w:szCs w:val="24"/>
        </w:rPr>
        <w:t>осуванням середнього показника.</w:t>
      </w:r>
    </w:p>
    <w:p w:rsidR="005E1EB8" w:rsidRPr="006C7A04" w:rsidRDefault="005E1EB8" w:rsidP="0079571B">
      <w:pPr>
        <w:pStyle w:val="a3"/>
        <w:tabs>
          <w:tab w:val="left" w:pos="426"/>
          <w:tab w:val="left" w:pos="993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C7A04">
        <w:rPr>
          <w:rFonts w:ascii="Times New Roman" w:hAnsi="Times New Roman" w:cs="Times New Roman"/>
          <w:sz w:val="24"/>
          <w:szCs w:val="24"/>
        </w:rPr>
        <w:t>Розрахунок очікуваної вартості предмета закупівлі</w:t>
      </w:r>
    </w:p>
    <w:tbl>
      <w:tblPr>
        <w:tblW w:w="9715" w:type="dxa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1984"/>
        <w:gridCol w:w="1379"/>
        <w:gridCol w:w="1957"/>
      </w:tblGrid>
      <w:tr w:rsidR="005E1EB8" w:rsidRPr="00FE75BD" w:rsidTr="006C7A04">
        <w:trPr>
          <w:trHeight w:val="4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B8" w:rsidRPr="00FE75BD" w:rsidRDefault="005E1EB8" w:rsidP="00445151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FE75BD">
              <w:rPr>
                <w:rFonts w:ascii="Times New Roman" w:hAnsi="Times New Roman" w:cs="Times New Roman"/>
                <w:b/>
                <w:lang w:eastAsia="uk-UA"/>
              </w:rPr>
              <w:t>Назва товару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EB8" w:rsidRPr="00FE75BD" w:rsidRDefault="005E1EB8" w:rsidP="00445151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FE75BD">
              <w:rPr>
                <w:rFonts w:ascii="Times New Roman" w:hAnsi="Times New Roman" w:cs="Times New Roman"/>
                <w:b/>
                <w:lang w:eastAsia="uk-UA"/>
              </w:rPr>
              <w:t>Одиниця виміру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A04" w:rsidRPr="00FE75BD" w:rsidRDefault="006C7A04" w:rsidP="00445151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FE75BD">
              <w:rPr>
                <w:rFonts w:ascii="Times New Roman" w:hAnsi="Times New Roman" w:cs="Times New Roman"/>
                <w:b/>
                <w:lang w:eastAsia="uk-UA"/>
              </w:rPr>
              <w:t>Ціна, грн</w:t>
            </w:r>
            <w:r w:rsidR="005E1EB8" w:rsidRPr="00FE75BD">
              <w:rPr>
                <w:rFonts w:ascii="Times New Roman" w:hAnsi="Times New Roman" w:cs="Times New Roman"/>
                <w:b/>
                <w:lang w:eastAsia="uk-UA"/>
              </w:rPr>
              <w:t>,</w:t>
            </w:r>
          </w:p>
          <w:p w:rsidR="005E1EB8" w:rsidRPr="00FE75BD" w:rsidRDefault="005E1EB8" w:rsidP="00445151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FE75BD">
              <w:rPr>
                <w:rFonts w:ascii="Times New Roman" w:hAnsi="Times New Roman" w:cs="Times New Roman"/>
                <w:b/>
                <w:lang w:eastAsia="uk-UA"/>
              </w:rPr>
              <w:t>з ПДВ</w:t>
            </w:r>
          </w:p>
          <w:p w:rsidR="006C7A04" w:rsidRPr="00FE75BD" w:rsidRDefault="006C7A04" w:rsidP="00445151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FE75BD">
              <w:rPr>
                <w:rFonts w:ascii="Times New Roman" w:hAnsi="Times New Roman" w:cs="Times New Roman"/>
                <w:b/>
                <w:lang w:eastAsia="uk-UA"/>
              </w:rPr>
              <w:t>(середня)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EB8" w:rsidRPr="00FE75BD" w:rsidRDefault="005E1EB8" w:rsidP="00445151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FE75BD">
              <w:rPr>
                <w:rFonts w:ascii="Times New Roman" w:hAnsi="Times New Roman" w:cs="Times New Roman"/>
                <w:b/>
                <w:lang w:eastAsia="uk-UA"/>
              </w:rPr>
              <w:t>Кількість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EB8" w:rsidRPr="00FE75BD" w:rsidRDefault="006C7A04" w:rsidP="00445151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FE75BD">
              <w:rPr>
                <w:rFonts w:ascii="Times New Roman" w:hAnsi="Times New Roman" w:cs="Times New Roman"/>
                <w:b/>
                <w:lang w:eastAsia="uk-UA"/>
              </w:rPr>
              <w:t>Сума, грн</w:t>
            </w:r>
            <w:r w:rsidR="005E1EB8" w:rsidRPr="00FE75BD">
              <w:rPr>
                <w:rFonts w:ascii="Times New Roman" w:hAnsi="Times New Roman" w:cs="Times New Roman"/>
                <w:b/>
                <w:lang w:eastAsia="uk-UA"/>
              </w:rPr>
              <w:t>,</w:t>
            </w:r>
          </w:p>
          <w:p w:rsidR="005E1EB8" w:rsidRPr="00FE75BD" w:rsidRDefault="005E1EB8" w:rsidP="00445151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FE75BD">
              <w:rPr>
                <w:rFonts w:ascii="Times New Roman" w:hAnsi="Times New Roman" w:cs="Times New Roman"/>
                <w:b/>
                <w:lang w:eastAsia="uk-UA"/>
              </w:rPr>
              <w:t>з ПДВ</w:t>
            </w:r>
          </w:p>
        </w:tc>
      </w:tr>
      <w:tr w:rsidR="005E1EB8" w:rsidRPr="00FE75BD" w:rsidTr="00445151">
        <w:trPr>
          <w:trHeight w:val="2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B8" w:rsidRPr="00FE75BD" w:rsidRDefault="005E1EB8" w:rsidP="00445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75BD">
              <w:rPr>
                <w:rFonts w:ascii="Times New Roman" w:hAnsi="Times New Roman" w:cs="Times New Roman"/>
              </w:rPr>
              <w:t>Папір А4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B8" w:rsidRPr="00FE75BD" w:rsidRDefault="005E1EB8" w:rsidP="00445151">
            <w:pPr>
              <w:pStyle w:val="a4"/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FE75BD">
              <w:rPr>
                <w:rFonts w:ascii="Times New Roman" w:hAnsi="Times New Roman" w:cs="Times New Roman"/>
                <w:lang w:eastAsia="uk-UA"/>
              </w:rPr>
              <w:t>пач</w:t>
            </w:r>
            <w:proofErr w:type="spellEnd"/>
            <w:r w:rsidRPr="00FE75BD">
              <w:rPr>
                <w:rFonts w:ascii="Times New Roman" w:hAnsi="Times New Roman" w:cs="Times New Roman"/>
                <w:lang w:eastAsia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B8" w:rsidRPr="00FE75BD" w:rsidRDefault="005E1EB8" w:rsidP="00445151">
            <w:pPr>
              <w:pStyle w:val="a4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FE75BD">
              <w:rPr>
                <w:rFonts w:ascii="Times New Roman" w:hAnsi="Times New Roman" w:cs="Times New Roman"/>
                <w:lang w:eastAsia="uk-UA"/>
              </w:rPr>
              <w:t>221,16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B8" w:rsidRPr="00FE75BD" w:rsidRDefault="005E1EB8" w:rsidP="00445151">
            <w:pPr>
              <w:pStyle w:val="a4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FE75BD">
              <w:rPr>
                <w:rFonts w:ascii="Times New Roman" w:hAnsi="Times New Roman" w:cs="Times New Roman"/>
                <w:lang w:eastAsia="uk-UA"/>
              </w:rPr>
              <w:t>4 000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B8" w:rsidRPr="00FE75BD" w:rsidRDefault="005E1EB8" w:rsidP="00445151">
            <w:pPr>
              <w:pStyle w:val="a4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FE75BD">
              <w:rPr>
                <w:rFonts w:ascii="Times New Roman" w:hAnsi="Times New Roman" w:cs="Times New Roman"/>
                <w:lang w:eastAsia="uk-UA"/>
              </w:rPr>
              <w:t>884 640,00</w:t>
            </w:r>
          </w:p>
        </w:tc>
      </w:tr>
      <w:tr w:rsidR="005E1EB8" w:rsidRPr="00FE75BD" w:rsidTr="00445151">
        <w:trPr>
          <w:trHeight w:val="28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B8" w:rsidRPr="00FE75BD" w:rsidRDefault="005E1EB8" w:rsidP="00445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75BD">
              <w:rPr>
                <w:rFonts w:ascii="Times New Roman" w:hAnsi="Times New Roman" w:cs="Times New Roman"/>
              </w:rPr>
              <w:t>Папір А3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B8" w:rsidRPr="00FE75BD" w:rsidRDefault="005E1EB8" w:rsidP="00445151">
            <w:pPr>
              <w:pStyle w:val="a4"/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FE75BD">
              <w:rPr>
                <w:rFonts w:ascii="Times New Roman" w:hAnsi="Times New Roman" w:cs="Times New Roman"/>
                <w:lang w:eastAsia="uk-UA"/>
              </w:rPr>
              <w:t>пач</w:t>
            </w:r>
            <w:proofErr w:type="spellEnd"/>
            <w:r w:rsidRPr="00FE75BD">
              <w:rPr>
                <w:rFonts w:ascii="Times New Roman" w:hAnsi="Times New Roman" w:cs="Times New Roman"/>
                <w:lang w:eastAsia="uk-UA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B8" w:rsidRPr="00FE75BD" w:rsidRDefault="005E1EB8" w:rsidP="00445151">
            <w:pPr>
              <w:pStyle w:val="a4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FE75BD">
              <w:rPr>
                <w:rFonts w:ascii="Times New Roman" w:hAnsi="Times New Roman" w:cs="Times New Roman"/>
                <w:lang w:eastAsia="uk-UA"/>
              </w:rPr>
              <w:t>433,94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B8" w:rsidRPr="00FE75BD" w:rsidRDefault="005E1EB8" w:rsidP="00445151">
            <w:pPr>
              <w:pStyle w:val="a4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FE75BD">
              <w:rPr>
                <w:rFonts w:ascii="Times New Roman" w:hAnsi="Times New Roman" w:cs="Times New Roman"/>
                <w:lang w:eastAsia="uk-UA"/>
              </w:rPr>
              <w:t>50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B8" w:rsidRPr="00FE75BD" w:rsidRDefault="005E1EB8" w:rsidP="00445151">
            <w:pPr>
              <w:pStyle w:val="a4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FE75BD">
              <w:rPr>
                <w:rFonts w:ascii="Times New Roman" w:hAnsi="Times New Roman" w:cs="Times New Roman"/>
                <w:lang w:eastAsia="uk-UA"/>
              </w:rPr>
              <w:t>21 697,00</w:t>
            </w:r>
          </w:p>
        </w:tc>
      </w:tr>
      <w:tr w:rsidR="005E1EB8" w:rsidRPr="00FE75BD" w:rsidTr="00445151">
        <w:trPr>
          <w:trHeight w:val="2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B8" w:rsidRPr="00FE75BD" w:rsidRDefault="005E1EB8" w:rsidP="00445151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FE75BD">
              <w:rPr>
                <w:rFonts w:ascii="Times New Roman" w:hAnsi="Times New Roman" w:cs="Times New Roman"/>
                <w:b/>
                <w:lang w:eastAsia="uk-UA"/>
              </w:rPr>
              <w:t>Всього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EB8" w:rsidRPr="00FE75BD" w:rsidRDefault="005E1EB8" w:rsidP="00445151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EB8" w:rsidRPr="00FE75BD" w:rsidRDefault="005E1EB8" w:rsidP="00445151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EB8" w:rsidRPr="00FE75BD" w:rsidRDefault="005E1EB8" w:rsidP="00445151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EB8" w:rsidRPr="00FE75BD" w:rsidRDefault="005E1EB8" w:rsidP="00445151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FE75BD">
              <w:rPr>
                <w:rFonts w:ascii="Times New Roman" w:hAnsi="Times New Roman" w:cs="Times New Roman"/>
                <w:b/>
                <w:lang w:eastAsia="uk-UA"/>
              </w:rPr>
              <w:t>906 337,00</w:t>
            </w:r>
          </w:p>
        </w:tc>
      </w:tr>
    </w:tbl>
    <w:p w:rsidR="005E1EB8" w:rsidRDefault="005E1EB8" w:rsidP="00AE69EE">
      <w:pPr>
        <w:pStyle w:val="a3"/>
        <w:tabs>
          <w:tab w:val="left" w:pos="426"/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37B5" w:rsidRPr="005E1EB8" w:rsidRDefault="006C7A04" w:rsidP="006C7A04">
      <w:pPr>
        <w:pStyle w:val="a3"/>
        <w:tabs>
          <w:tab w:val="left" w:pos="426"/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Сума за середньою ціною </w:t>
      </w:r>
      <w:r w:rsidR="007F1F88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папір </w:t>
      </w:r>
      <w:r w:rsidR="007F1F88">
        <w:rPr>
          <w:rFonts w:ascii="Times New Roman" w:hAnsi="Times New Roman" w:cs="Times New Roman"/>
          <w:sz w:val="24"/>
          <w:szCs w:val="24"/>
        </w:rPr>
        <w:t>А4</w:t>
      </w:r>
      <w:r>
        <w:rPr>
          <w:rFonts w:ascii="Times New Roman" w:hAnsi="Times New Roman" w:cs="Times New Roman"/>
          <w:sz w:val="24"/>
          <w:szCs w:val="24"/>
        </w:rPr>
        <w:t xml:space="preserve"> (4000 пачок)</w:t>
      </w:r>
      <w:r w:rsidR="007F1F88">
        <w:rPr>
          <w:rFonts w:ascii="Times New Roman" w:hAnsi="Times New Roman" w:cs="Times New Roman"/>
          <w:sz w:val="24"/>
          <w:szCs w:val="24"/>
        </w:rPr>
        <w:t xml:space="preserve"> </w:t>
      </w:r>
      <w:r w:rsidR="00021A28" w:rsidRPr="005E1EB8">
        <w:rPr>
          <w:rFonts w:ascii="Times New Roman" w:hAnsi="Times New Roman" w:cs="Times New Roman"/>
          <w:sz w:val="24"/>
          <w:szCs w:val="24"/>
        </w:rPr>
        <w:t xml:space="preserve">становить </w:t>
      </w:r>
      <w:r w:rsidRPr="002C2FA9">
        <w:rPr>
          <w:lang w:eastAsia="uk-UA"/>
        </w:rPr>
        <w:t>884 640,00</w:t>
      </w:r>
      <w:r>
        <w:rPr>
          <w:lang w:eastAsia="uk-UA"/>
        </w:rPr>
        <w:t xml:space="preserve"> грн, А3 (50 пачок) становить 21 697,00 з </w:t>
      </w:r>
      <w:r w:rsidR="00AE69EE" w:rsidRPr="005E1EB8">
        <w:rPr>
          <w:rFonts w:ascii="Times New Roman" w:hAnsi="Times New Roman" w:cs="Times New Roman"/>
          <w:color w:val="000000" w:themeColor="text1"/>
          <w:sz w:val="24"/>
          <w:szCs w:val="24"/>
        </w:rPr>
        <w:t>ПДВ</w:t>
      </w:r>
      <w:r w:rsidR="00021A28" w:rsidRPr="005E1EB8">
        <w:rPr>
          <w:rFonts w:ascii="Times New Roman" w:hAnsi="Times New Roman" w:cs="Times New Roman"/>
          <w:sz w:val="24"/>
          <w:szCs w:val="24"/>
        </w:rPr>
        <w:t>, що відповідає розміру бюджетного призначення.</w:t>
      </w:r>
    </w:p>
    <w:sectPr w:rsidR="00DC37B5" w:rsidRPr="005E1EB8" w:rsidSect="0007586B">
      <w:pgSz w:w="11906" w:h="16838"/>
      <w:pgMar w:top="709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E2480"/>
    <w:multiLevelType w:val="multilevel"/>
    <w:tmpl w:val="7F60E4BA"/>
    <w:lvl w:ilvl="0">
      <w:start w:val="3"/>
      <w:numFmt w:val="decimal"/>
      <w:lvlText w:val="%1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92" w:hanging="449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18" w:hanging="44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36" w:hanging="44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55" w:hanging="44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73" w:hanging="44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2" w:hanging="44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4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9" w:hanging="449"/>
      </w:pPr>
      <w:rPr>
        <w:rFonts w:hint="default"/>
        <w:lang w:val="uk-UA" w:eastAsia="en-US" w:bidi="ar-SA"/>
      </w:rPr>
    </w:lvl>
  </w:abstractNum>
  <w:abstractNum w:abstractNumId="1" w15:restartNumberingAfterBreak="0">
    <w:nsid w:val="371972DA"/>
    <w:multiLevelType w:val="hybridMultilevel"/>
    <w:tmpl w:val="2042C7E6"/>
    <w:lvl w:ilvl="0" w:tplc="4E6E3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EB"/>
    <w:rsid w:val="00021A28"/>
    <w:rsid w:val="0007586B"/>
    <w:rsid w:val="000C49C4"/>
    <w:rsid w:val="00195B3A"/>
    <w:rsid w:val="001F161B"/>
    <w:rsid w:val="00256854"/>
    <w:rsid w:val="00445151"/>
    <w:rsid w:val="0052214D"/>
    <w:rsid w:val="005D34AD"/>
    <w:rsid w:val="005E1EB8"/>
    <w:rsid w:val="00612E79"/>
    <w:rsid w:val="006C7A04"/>
    <w:rsid w:val="006D3FF6"/>
    <w:rsid w:val="0072069F"/>
    <w:rsid w:val="0079571B"/>
    <w:rsid w:val="007F1F88"/>
    <w:rsid w:val="00813952"/>
    <w:rsid w:val="00960D5C"/>
    <w:rsid w:val="00A23FC9"/>
    <w:rsid w:val="00A93CA5"/>
    <w:rsid w:val="00AE69EE"/>
    <w:rsid w:val="00C26A8F"/>
    <w:rsid w:val="00D30EEB"/>
    <w:rsid w:val="00D41C51"/>
    <w:rsid w:val="00D64A1B"/>
    <w:rsid w:val="00DC37B5"/>
    <w:rsid w:val="00FB3C91"/>
    <w:rsid w:val="00FE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E2A2D-A153-42C2-A810-36C1B33B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1B"/>
    <w:pPr>
      <w:ind w:left="720"/>
      <w:contextualSpacing/>
    </w:pPr>
  </w:style>
  <w:style w:type="paragraph" w:styleId="a4">
    <w:name w:val="No Spacing"/>
    <w:uiPriority w:val="1"/>
    <w:qFormat/>
    <w:rsid w:val="0044515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E7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E7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8395F-2DD9-4EC7-835C-0721FF01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1759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Вакула Наталія Віталіївна</dc:creator>
  <cp:keywords/>
  <dc:description/>
  <cp:lastModifiedBy>Ришкова Інна Миколаївна</cp:lastModifiedBy>
  <cp:revision>2</cp:revision>
  <cp:lastPrinted>2022-12-01T08:32:00Z</cp:lastPrinted>
  <dcterms:created xsi:type="dcterms:W3CDTF">2022-12-01T14:03:00Z</dcterms:created>
  <dcterms:modified xsi:type="dcterms:W3CDTF">2022-12-01T14:03:00Z</dcterms:modified>
</cp:coreProperties>
</file>