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AEBC" w14:textId="77777777" w:rsidR="009830E4" w:rsidRPr="00586066" w:rsidRDefault="005D346F">
      <w:pPr>
        <w:pStyle w:val="Heading1a"/>
        <w:keepNext w:val="0"/>
        <w:keepLines w:val="0"/>
        <w:tabs>
          <w:tab w:val="clear" w:pos="-720"/>
        </w:tabs>
        <w:suppressAutoHyphens w:val="0"/>
        <w:rPr>
          <w:bCs/>
          <w:smallCaps w:val="0"/>
          <w:sz w:val="28"/>
          <w:szCs w:val="28"/>
          <w:lang w:val="uk-UA"/>
        </w:rPr>
      </w:pPr>
      <w:r w:rsidRPr="00586066">
        <w:rPr>
          <w:bCs/>
          <w:smallCaps w:val="0"/>
          <w:sz w:val="28"/>
          <w:szCs w:val="28"/>
          <w:lang w:val="uk-UA"/>
        </w:rPr>
        <w:t xml:space="preserve"> </w:t>
      </w:r>
      <w:r w:rsidR="009C0E1C" w:rsidRPr="00586066">
        <w:rPr>
          <w:bCs/>
          <w:smallCaps w:val="0"/>
          <w:sz w:val="28"/>
          <w:szCs w:val="28"/>
          <w:lang w:val="uk-UA"/>
        </w:rPr>
        <w:t>ЗАПРОШЕННЯ</w:t>
      </w:r>
      <w:r w:rsidR="00057105" w:rsidRPr="00586066">
        <w:rPr>
          <w:bCs/>
          <w:smallCaps w:val="0"/>
          <w:sz w:val="28"/>
          <w:szCs w:val="28"/>
          <w:lang w:val="uk-UA"/>
        </w:rPr>
        <w:t xml:space="preserve"> </w:t>
      </w:r>
      <w:r w:rsidR="009C0E1C" w:rsidRPr="00586066">
        <w:rPr>
          <w:bCs/>
          <w:smallCaps w:val="0"/>
          <w:sz w:val="28"/>
          <w:szCs w:val="28"/>
          <w:lang w:val="uk-UA"/>
        </w:rPr>
        <w:t>ДО</w:t>
      </w:r>
      <w:r w:rsidR="00485342" w:rsidRPr="00586066">
        <w:rPr>
          <w:bCs/>
          <w:smallCaps w:val="0"/>
          <w:sz w:val="28"/>
          <w:szCs w:val="28"/>
          <w:lang w:val="uk-UA"/>
        </w:rPr>
        <w:t xml:space="preserve"> ВИCЛОВЛЕННЯ</w:t>
      </w:r>
      <w:r w:rsidR="00A0298B" w:rsidRPr="00586066">
        <w:rPr>
          <w:bCs/>
          <w:smallCaps w:val="0"/>
          <w:sz w:val="28"/>
          <w:szCs w:val="28"/>
          <w:lang w:val="uk-UA"/>
        </w:rPr>
        <w:t xml:space="preserve"> ЗАЦІКАВЛЕНОСТІ </w:t>
      </w:r>
    </w:p>
    <w:p w14:paraId="63FD59CE" w14:textId="2F2489A8" w:rsidR="009830E4" w:rsidRPr="00586066" w:rsidRDefault="009830E4">
      <w:pPr>
        <w:pStyle w:val="Heading1a"/>
        <w:keepNext w:val="0"/>
        <w:keepLines w:val="0"/>
        <w:tabs>
          <w:tab w:val="clear" w:pos="-720"/>
        </w:tabs>
        <w:suppressAutoHyphens w:val="0"/>
        <w:rPr>
          <w:bCs/>
          <w:smallCaps w:val="0"/>
          <w:sz w:val="28"/>
          <w:szCs w:val="28"/>
          <w:lang w:val="uk-UA"/>
        </w:rPr>
      </w:pPr>
      <w:r w:rsidRPr="00586066">
        <w:rPr>
          <w:bCs/>
          <w:smallCaps w:val="0"/>
          <w:sz w:val="28"/>
          <w:szCs w:val="28"/>
          <w:lang w:val="uk-UA"/>
        </w:rPr>
        <w:t>(</w:t>
      </w:r>
      <w:r w:rsidR="00A0298B" w:rsidRPr="00586066">
        <w:rPr>
          <w:bCs/>
          <w:smallCaps w:val="0"/>
          <w:sz w:val="28"/>
          <w:szCs w:val="28"/>
          <w:lang w:val="uk-UA"/>
        </w:rPr>
        <w:t>КОНСУЛЬТАЦІЙНІ ПОСЛУГИ</w:t>
      </w:r>
      <w:r w:rsidRPr="00586066">
        <w:rPr>
          <w:bCs/>
          <w:smallCaps w:val="0"/>
          <w:sz w:val="28"/>
          <w:szCs w:val="28"/>
          <w:lang w:val="uk-UA"/>
        </w:rPr>
        <w:t>)</w:t>
      </w:r>
    </w:p>
    <w:p w14:paraId="096B292D" w14:textId="77777777" w:rsidR="009830E4" w:rsidRPr="00586066" w:rsidRDefault="009830E4">
      <w:pPr>
        <w:suppressAutoHyphens/>
        <w:rPr>
          <w:rFonts w:ascii="Times New Roman" w:hAnsi="Times New Roman"/>
          <w:spacing w:val="-2"/>
          <w:lang w:val="uk-UA"/>
        </w:rPr>
      </w:pPr>
    </w:p>
    <w:p w14:paraId="6F17680E" w14:textId="77777777" w:rsidR="00F701BE" w:rsidRPr="00586066" w:rsidRDefault="00A0298B" w:rsidP="00556105">
      <w:pPr>
        <w:tabs>
          <w:tab w:val="left" w:pos="1134"/>
        </w:tabs>
        <w:rPr>
          <w:rFonts w:ascii="Times New Roman" w:hAnsi="Times New Roman"/>
          <w:iCs/>
          <w:spacing w:val="-6"/>
          <w:sz w:val="24"/>
          <w:szCs w:val="24"/>
          <w:lang w:val="uk-UA"/>
        </w:rPr>
      </w:pPr>
      <w:r w:rsidRPr="00586066">
        <w:rPr>
          <w:rFonts w:ascii="Times New Roman" w:hAnsi="Times New Roman"/>
          <w:b/>
          <w:iCs/>
          <w:spacing w:val="-6"/>
          <w:sz w:val="24"/>
          <w:szCs w:val="24"/>
          <w:lang w:val="uk-UA"/>
        </w:rPr>
        <w:t>Країна</w:t>
      </w:r>
      <w:r w:rsidR="00F701BE" w:rsidRPr="00586066">
        <w:rPr>
          <w:rFonts w:ascii="Times New Roman" w:hAnsi="Times New Roman"/>
          <w:iCs/>
          <w:spacing w:val="-6"/>
          <w:sz w:val="24"/>
          <w:szCs w:val="24"/>
          <w:lang w:val="uk-UA"/>
        </w:rPr>
        <w:t xml:space="preserve">: </w:t>
      </w:r>
      <w:r w:rsidR="00F701BE" w:rsidRPr="00586066">
        <w:rPr>
          <w:rFonts w:ascii="Times New Roman" w:hAnsi="Times New Roman"/>
          <w:iCs/>
          <w:spacing w:val="-6"/>
          <w:sz w:val="24"/>
          <w:szCs w:val="24"/>
          <w:lang w:val="uk-UA"/>
        </w:rPr>
        <w:tab/>
      </w:r>
      <w:r w:rsidR="00A25AC0" w:rsidRPr="00586066">
        <w:rPr>
          <w:rFonts w:ascii="Times New Roman" w:hAnsi="Times New Roman"/>
          <w:iCs/>
          <w:spacing w:val="-6"/>
          <w:sz w:val="24"/>
          <w:szCs w:val="24"/>
          <w:lang w:val="uk-UA"/>
        </w:rPr>
        <w:tab/>
      </w:r>
      <w:r w:rsidRPr="00586066">
        <w:rPr>
          <w:rFonts w:ascii="Times New Roman" w:hAnsi="Times New Roman"/>
          <w:iCs/>
          <w:spacing w:val="-6"/>
          <w:sz w:val="24"/>
          <w:szCs w:val="24"/>
          <w:lang w:val="uk-UA"/>
        </w:rPr>
        <w:t>Україна</w:t>
      </w:r>
    </w:p>
    <w:p w14:paraId="6FFFD094" w14:textId="3D7D727B" w:rsidR="00F701BE" w:rsidRPr="00586066" w:rsidRDefault="00A0298B" w:rsidP="003F44CA">
      <w:pPr>
        <w:tabs>
          <w:tab w:val="left" w:pos="1134"/>
        </w:tabs>
        <w:rPr>
          <w:rFonts w:ascii="Times New Roman" w:hAnsi="Times New Roman"/>
          <w:iCs/>
          <w:spacing w:val="-6"/>
          <w:sz w:val="24"/>
          <w:szCs w:val="24"/>
          <w:lang w:val="uk-UA"/>
        </w:rPr>
      </w:pPr>
      <w:r w:rsidRPr="00586066">
        <w:rPr>
          <w:rFonts w:ascii="Times New Roman" w:hAnsi="Times New Roman"/>
          <w:b/>
          <w:iCs/>
          <w:spacing w:val="-6"/>
          <w:szCs w:val="24"/>
          <w:lang w:val="uk-UA"/>
        </w:rPr>
        <w:t>Проект</w:t>
      </w:r>
      <w:r w:rsidR="00F701BE" w:rsidRPr="00586066">
        <w:rPr>
          <w:rFonts w:ascii="Times New Roman" w:hAnsi="Times New Roman"/>
          <w:iCs/>
          <w:spacing w:val="-6"/>
          <w:szCs w:val="24"/>
          <w:lang w:val="uk-UA"/>
        </w:rPr>
        <w:t xml:space="preserve">: </w:t>
      </w:r>
      <w:r w:rsidR="00F701BE" w:rsidRPr="00586066">
        <w:rPr>
          <w:rFonts w:ascii="Times New Roman" w:hAnsi="Times New Roman"/>
          <w:iCs/>
          <w:spacing w:val="-6"/>
          <w:szCs w:val="24"/>
          <w:lang w:val="uk-UA"/>
        </w:rPr>
        <w:tab/>
      </w:r>
      <w:r w:rsidR="00A25AC0" w:rsidRPr="00586066">
        <w:rPr>
          <w:rFonts w:ascii="Times New Roman" w:hAnsi="Times New Roman"/>
          <w:iCs/>
          <w:spacing w:val="-6"/>
          <w:szCs w:val="24"/>
          <w:lang w:val="uk-UA"/>
        </w:rPr>
        <w:tab/>
      </w:r>
      <w:r w:rsidR="006471FA" w:rsidRPr="006471FA">
        <w:rPr>
          <w:rFonts w:ascii="Times New Roman" w:hAnsi="Times New Roman" w:hint="eastAsia"/>
          <w:iCs/>
          <w:spacing w:val="-6"/>
          <w:sz w:val="24"/>
          <w:szCs w:val="24"/>
          <w:lang w:val="uk-UA"/>
        </w:rPr>
        <w:t>Зміцнення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спроможності</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Уряду</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щодо</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впровадження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фіскальної</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реформи</w:t>
      </w:r>
    </w:p>
    <w:p w14:paraId="43F1A265" w14:textId="1E217581" w:rsidR="0073200A" w:rsidRPr="00586066" w:rsidRDefault="00BA37F2" w:rsidP="003F44CA">
      <w:pPr>
        <w:tabs>
          <w:tab w:val="left" w:pos="1134"/>
        </w:tabs>
        <w:rPr>
          <w:rFonts w:ascii="Times New Roman" w:hAnsi="Times New Roman"/>
          <w:iCs/>
          <w:spacing w:val="-6"/>
          <w:sz w:val="24"/>
          <w:szCs w:val="24"/>
          <w:lang w:val="uk-UA"/>
        </w:rPr>
      </w:pPr>
      <w:r w:rsidRPr="00BA37F2">
        <w:rPr>
          <w:rFonts w:ascii="Times New Roman" w:hAnsi="Times New Roman"/>
          <w:b/>
          <w:bCs/>
          <w:iCs/>
          <w:spacing w:val="-6"/>
          <w:sz w:val="24"/>
          <w:szCs w:val="24"/>
          <w:lang w:val="ru-RU"/>
        </w:rPr>
        <w:t>Грант</w:t>
      </w:r>
      <w:r w:rsidR="00A0298B" w:rsidRPr="00BA37F2">
        <w:rPr>
          <w:rFonts w:ascii="Times New Roman" w:hAnsi="Times New Roman"/>
          <w:b/>
          <w:bCs/>
          <w:iCs/>
          <w:spacing w:val="-6"/>
          <w:sz w:val="24"/>
          <w:szCs w:val="24"/>
          <w:lang w:val="uk-UA"/>
        </w:rPr>
        <w:t xml:space="preserve"> №</w:t>
      </w:r>
      <w:r w:rsidR="00F701BE" w:rsidRPr="00BA37F2">
        <w:rPr>
          <w:rFonts w:ascii="Times New Roman" w:hAnsi="Times New Roman"/>
          <w:b/>
          <w:bCs/>
          <w:iCs/>
          <w:spacing w:val="-6"/>
          <w:sz w:val="24"/>
          <w:szCs w:val="24"/>
          <w:lang w:val="uk-UA"/>
        </w:rPr>
        <w:t>:</w:t>
      </w:r>
      <w:r w:rsidR="00F701BE" w:rsidRPr="00BA37F2">
        <w:rPr>
          <w:rFonts w:ascii="Times New Roman" w:hAnsi="Times New Roman"/>
          <w:b/>
          <w:bCs/>
          <w:iCs/>
          <w:spacing w:val="-6"/>
          <w:sz w:val="24"/>
          <w:szCs w:val="24"/>
          <w:lang w:val="uk-UA"/>
        </w:rPr>
        <w:tab/>
      </w:r>
      <w:r w:rsidR="00A25AC0" w:rsidRPr="00586066">
        <w:rPr>
          <w:rFonts w:ascii="Times New Roman" w:hAnsi="Times New Roman"/>
          <w:iCs/>
          <w:spacing w:val="-6"/>
          <w:sz w:val="24"/>
          <w:szCs w:val="24"/>
          <w:lang w:val="uk-UA"/>
        </w:rPr>
        <w:tab/>
      </w:r>
      <w:r w:rsidR="006471FA" w:rsidRPr="006471FA">
        <w:rPr>
          <w:rFonts w:ascii="Times New Roman" w:hAnsi="Times New Roman"/>
          <w:iCs/>
          <w:spacing w:val="-6"/>
          <w:sz w:val="24"/>
          <w:szCs w:val="24"/>
          <w:lang w:val="uk-UA"/>
        </w:rPr>
        <w:t>TF0C6689</w:t>
      </w:r>
    </w:p>
    <w:p w14:paraId="27EFD46F" w14:textId="6E981648" w:rsidR="00EC50B8" w:rsidRPr="005001F2" w:rsidRDefault="00A0298B" w:rsidP="00730B6D">
      <w:pPr>
        <w:pStyle w:val="ad"/>
        <w:spacing w:after="120"/>
        <w:jc w:val="both"/>
        <w:rPr>
          <w:rFonts w:ascii="Times New Roman" w:hAnsi="Times New Roman"/>
          <w:bCs/>
          <w:szCs w:val="24"/>
          <w:lang w:val="uk-UA"/>
        </w:rPr>
      </w:pPr>
      <w:r w:rsidRPr="00586066">
        <w:rPr>
          <w:rFonts w:ascii="Times New Roman" w:hAnsi="Times New Roman"/>
          <w:b/>
          <w:szCs w:val="24"/>
          <w:lang w:val="uk-UA"/>
        </w:rPr>
        <w:t>Назва</w:t>
      </w:r>
      <w:r w:rsidR="00774FB7" w:rsidRPr="00586066">
        <w:rPr>
          <w:rFonts w:ascii="Times New Roman" w:hAnsi="Times New Roman"/>
          <w:b/>
          <w:szCs w:val="24"/>
          <w:lang w:val="uk-UA"/>
        </w:rPr>
        <w:t xml:space="preserve"> завдання</w:t>
      </w:r>
      <w:r w:rsidR="000C4041" w:rsidRPr="00586066">
        <w:rPr>
          <w:rFonts w:ascii="Times New Roman" w:hAnsi="Times New Roman"/>
          <w:b/>
          <w:szCs w:val="24"/>
          <w:lang w:val="uk-UA"/>
        </w:rPr>
        <w:t xml:space="preserve">: </w:t>
      </w:r>
      <w:r w:rsidR="00FA553D" w:rsidRPr="00FA553D">
        <w:rPr>
          <w:rFonts w:ascii="Times New Roman" w:hAnsi="Times New Roman" w:hint="eastAsia"/>
          <w:bCs/>
          <w:szCs w:val="24"/>
          <w:lang w:val="uk-UA"/>
        </w:rPr>
        <w:t>Агент</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з</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верифікації</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для</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підтвердження</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досягнення</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Результатів</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пов</w:t>
      </w:r>
      <w:r w:rsidR="00FA553D" w:rsidRPr="00FA553D">
        <w:rPr>
          <w:rFonts w:ascii="Times New Roman" w:hAnsi="Times New Roman"/>
          <w:bCs/>
          <w:szCs w:val="24"/>
          <w:lang w:val="uk-UA"/>
        </w:rPr>
        <w:t>ʼ</w:t>
      </w:r>
      <w:r w:rsidR="00FA553D" w:rsidRPr="00FA553D">
        <w:rPr>
          <w:rFonts w:ascii="Times New Roman" w:hAnsi="Times New Roman" w:hint="eastAsia"/>
          <w:bCs/>
          <w:szCs w:val="24"/>
          <w:lang w:val="uk-UA"/>
        </w:rPr>
        <w:t>язаних</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з</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вибіркою</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коштів</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за</w:t>
      </w:r>
      <w:r w:rsidR="00FA553D" w:rsidRPr="00FA553D">
        <w:rPr>
          <w:rFonts w:ascii="Times New Roman" w:hAnsi="Times New Roman"/>
          <w:bCs/>
          <w:szCs w:val="24"/>
          <w:lang w:val="uk-UA"/>
        </w:rPr>
        <w:t xml:space="preserve"> </w:t>
      </w:r>
      <w:r w:rsidR="00FA553D" w:rsidRPr="00FA553D">
        <w:rPr>
          <w:rFonts w:ascii="Times New Roman" w:hAnsi="Times New Roman" w:hint="eastAsia"/>
          <w:bCs/>
          <w:szCs w:val="24"/>
          <w:lang w:val="uk-UA"/>
        </w:rPr>
        <w:t>Програмою</w:t>
      </w:r>
      <w:r w:rsidR="00FA553D" w:rsidRPr="00FA553D">
        <w:rPr>
          <w:rFonts w:ascii="Times New Roman" w:hAnsi="Times New Roman"/>
          <w:bCs/>
          <w:szCs w:val="24"/>
          <w:lang w:val="uk-UA"/>
        </w:rPr>
        <w:t xml:space="preserve"> SURGE</w:t>
      </w:r>
      <w:r w:rsidR="00FA553D">
        <w:rPr>
          <w:rFonts w:ascii="Times New Roman" w:hAnsi="Times New Roman"/>
          <w:bCs/>
          <w:szCs w:val="24"/>
          <w:lang w:val="uk-UA"/>
        </w:rPr>
        <w:t>.</w:t>
      </w:r>
    </w:p>
    <w:p w14:paraId="36B574B3" w14:textId="661D5CEF" w:rsidR="00EC50B8" w:rsidRPr="0089054D" w:rsidRDefault="00EC14AF" w:rsidP="00730B6D">
      <w:pPr>
        <w:suppressAutoHyphens/>
        <w:spacing w:after="120"/>
        <w:rPr>
          <w:rFonts w:ascii="Times New Roman" w:hAnsi="Times New Roman"/>
          <w:spacing w:val="-2"/>
          <w:sz w:val="24"/>
          <w:szCs w:val="24"/>
          <w:lang w:val="uk-UA"/>
        </w:rPr>
      </w:pPr>
      <w:r w:rsidRPr="00586066">
        <w:rPr>
          <w:rFonts w:ascii="Times New Roman" w:hAnsi="Times New Roman"/>
          <w:b/>
          <w:spacing w:val="-2"/>
          <w:sz w:val="24"/>
          <w:szCs w:val="24"/>
          <w:lang w:val="uk-UA"/>
        </w:rPr>
        <w:t>Ідентифікаційний</w:t>
      </w:r>
      <w:r w:rsidR="00EC50B8" w:rsidRPr="00586066">
        <w:rPr>
          <w:rFonts w:ascii="Times New Roman" w:hAnsi="Times New Roman"/>
          <w:b/>
          <w:spacing w:val="-2"/>
          <w:sz w:val="24"/>
          <w:szCs w:val="24"/>
          <w:lang w:val="uk-UA"/>
        </w:rPr>
        <w:t xml:space="preserve"> </w:t>
      </w:r>
      <w:r w:rsidR="00473F68" w:rsidRPr="00586066">
        <w:rPr>
          <w:rFonts w:ascii="Times New Roman" w:hAnsi="Times New Roman"/>
          <w:b/>
          <w:spacing w:val="-2"/>
          <w:sz w:val="24"/>
          <w:szCs w:val="24"/>
          <w:lang w:val="uk-UA"/>
        </w:rPr>
        <w:t>№</w:t>
      </w:r>
      <w:r w:rsidR="00EC50B8" w:rsidRPr="00586066">
        <w:rPr>
          <w:rFonts w:ascii="Times New Roman" w:hAnsi="Times New Roman"/>
          <w:spacing w:val="-2"/>
          <w:sz w:val="24"/>
          <w:szCs w:val="24"/>
          <w:lang w:val="uk-UA"/>
        </w:rPr>
        <w:t xml:space="preserve"> (</w:t>
      </w:r>
      <w:r w:rsidR="00A0298B" w:rsidRPr="00586066">
        <w:rPr>
          <w:rFonts w:ascii="Times New Roman" w:hAnsi="Times New Roman"/>
          <w:spacing w:val="-2"/>
          <w:sz w:val="24"/>
          <w:szCs w:val="24"/>
          <w:lang w:val="uk-UA"/>
        </w:rPr>
        <w:t xml:space="preserve">згідно </w:t>
      </w:r>
      <w:r w:rsidR="003023B0" w:rsidRPr="00586066">
        <w:rPr>
          <w:rFonts w:ascii="Times New Roman" w:hAnsi="Times New Roman"/>
          <w:spacing w:val="-2"/>
          <w:sz w:val="24"/>
          <w:szCs w:val="24"/>
          <w:lang w:val="uk-UA"/>
        </w:rPr>
        <w:t xml:space="preserve">з </w:t>
      </w:r>
      <w:r w:rsidR="00A0298B" w:rsidRPr="00586066">
        <w:rPr>
          <w:rFonts w:ascii="Times New Roman" w:hAnsi="Times New Roman"/>
          <w:spacing w:val="-2"/>
          <w:sz w:val="24"/>
          <w:szCs w:val="24"/>
          <w:lang w:val="uk-UA"/>
        </w:rPr>
        <w:t>План</w:t>
      </w:r>
      <w:r w:rsidR="003023B0" w:rsidRPr="00586066">
        <w:rPr>
          <w:rFonts w:ascii="Times New Roman" w:hAnsi="Times New Roman"/>
          <w:spacing w:val="-2"/>
          <w:sz w:val="24"/>
          <w:szCs w:val="24"/>
          <w:lang w:val="uk-UA"/>
        </w:rPr>
        <w:t>ом з</w:t>
      </w:r>
      <w:r w:rsidR="00A0298B" w:rsidRPr="00586066">
        <w:rPr>
          <w:rFonts w:ascii="Times New Roman" w:hAnsi="Times New Roman"/>
          <w:spacing w:val="-2"/>
          <w:sz w:val="24"/>
          <w:szCs w:val="24"/>
          <w:lang w:val="uk-UA"/>
        </w:rPr>
        <w:t>акупівель</w:t>
      </w:r>
      <w:r w:rsidR="00EC50B8" w:rsidRPr="00586066">
        <w:rPr>
          <w:rFonts w:ascii="Times New Roman" w:hAnsi="Times New Roman"/>
          <w:spacing w:val="-2"/>
          <w:sz w:val="24"/>
          <w:szCs w:val="24"/>
          <w:lang w:val="uk-UA"/>
        </w:rPr>
        <w:t>)</w:t>
      </w:r>
      <w:r w:rsidR="000C4041" w:rsidRPr="00586066">
        <w:rPr>
          <w:rFonts w:ascii="Times New Roman" w:hAnsi="Times New Roman"/>
          <w:spacing w:val="-2"/>
          <w:sz w:val="24"/>
          <w:szCs w:val="24"/>
          <w:lang w:val="uk-UA"/>
        </w:rPr>
        <w:t xml:space="preserve">: </w:t>
      </w:r>
      <w:r w:rsidR="00FA553D" w:rsidRPr="00FA553D">
        <w:rPr>
          <w:rFonts w:ascii="Times New Roman" w:hAnsi="Times New Roman"/>
          <w:b/>
          <w:spacing w:val="-2"/>
          <w:sz w:val="24"/>
          <w:szCs w:val="24"/>
          <w:lang w:val="uk-UA"/>
        </w:rPr>
        <w:t>CQS-6.3.1</w:t>
      </w:r>
    </w:p>
    <w:p w14:paraId="6A4AD0B7" w14:textId="778ACBED" w:rsidR="00A0298B" w:rsidRPr="00586066" w:rsidRDefault="00B67392" w:rsidP="00730B6D">
      <w:pPr>
        <w:suppressAutoHyphens/>
        <w:spacing w:after="120"/>
        <w:jc w:val="both"/>
        <w:rPr>
          <w:rFonts w:ascii="Times New Roman" w:hAnsi="Times New Roman"/>
          <w:sz w:val="24"/>
          <w:szCs w:val="24"/>
          <w:lang w:val="uk-UA"/>
        </w:rPr>
      </w:pPr>
      <w:r w:rsidRPr="00586066">
        <w:rPr>
          <w:rFonts w:ascii="Times New Roman" w:hAnsi="Times New Roman"/>
          <w:sz w:val="24"/>
          <w:szCs w:val="24"/>
          <w:lang w:val="uk-UA"/>
        </w:rPr>
        <w:t xml:space="preserve">Україна отримала </w:t>
      </w:r>
      <w:r w:rsidR="005001F2" w:rsidRPr="005001F2">
        <w:rPr>
          <w:rFonts w:ascii="Times New Roman" w:hAnsi="Times New Roman"/>
          <w:sz w:val="24"/>
          <w:szCs w:val="24"/>
          <w:lang w:val="uk-UA"/>
        </w:rPr>
        <w:t>гр</w:t>
      </w:r>
      <w:r w:rsidR="005001F2">
        <w:rPr>
          <w:rFonts w:ascii="Times New Roman" w:hAnsi="Times New Roman"/>
          <w:sz w:val="24"/>
          <w:szCs w:val="24"/>
          <w:lang w:val="uk-UA"/>
        </w:rPr>
        <w:t>ант</w:t>
      </w:r>
      <w:r w:rsidRPr="00586066">
        <w:rPr>
          <w:rFonts w:ascii="Times New Roman" w:hAnsi="Times New Roman"/>
          <w:sz w:val="24"/>
          <w:szCs w:val="24"/>
          <w:lang w:val="uk-UA"/>
        </w:rPr>
        <w:t xml:space="preserve"> від Міжнародного </w:t>
      </w:r>
      <w:r w:rsidR="00BC5AD8" w:rsidRPr="00586066">
        <w:rPr>
          <w:rFonts w:ascii="Times New Roman" w:hAnsi="Times New Roman"/>
          <w:sz w:val="24"/>
          <w:szCs w:val="24"/>
          <w:lang w:val="uk-UA"/>
        </w:rPr>
        <w:t>банку</w:t>
      </w:r>
      <w:r w:rsidRPr="00586066">
        <w:rPr>
          <w:rFonts w:ascii="Times New Roman" w:hAnsi="Times New Roman"/>
          <w:sz w:val="24"/>
          <w:szCs w:val="24"/>
          <w:lang w:val="uk-UA"/>
        </w:rPr>
        <w:t xml:space="preserve"> реконструкц</w:t>
      </w:r>
      <w:r w:rsidR="007A6CA9" w:rsidRPr="00586066">
        <w:rPr>
          <w:rFonts w:ascii="Times New Roman" w:hAnsi="Times New Roman"/>
          <w:sz w:val="24"/>
          <w:szCs w:val="24"/>
          <w:lang w:val="uk-UA"/>
        </w:rPr>
        <w:t xml:space="preserve">ії та розвитку (далі – «Банк» або МБРР) </w:t>
      </w:r>
      <w:r w:rsidRPr="00586066">
        <w:rPr>
          <w:rFonts w:ascii="Times New Roman" w:hAnsi="Times New Roman"/>
          <w:sz w:val="24"/>
          <w:szCs w:val="24"/>
          <w:lang w:val="uk-UA"/>
        </w:rPr>
        <w:t>на реалізацію про</w:t>
      </w:r>
      <w:r w:rsidR="006B2537" w:rsidRPr="00586066">
        <w:rPr>
          <w:rFonts w:ascii="Times New Roman" w:hAnsi="Times New Roman"/>
          <w:sz w:val="24"/>
          <w:szCs w:val="24"/>
          <w:lang w:val="uk-UA"/>
        </w:rPr>
        <w:t>є</w:t>
      </w:r>
      <w:r w:rsidRPr="00586066">
        <w:rPr>
          <w:rFonts w:ascii="Times New Roman" w:hAnsi="Times New Roman"/>
          <w:sz w:val="24"/>
          <w:szCs w:val="24"/>
          <w:lang w:val="uk-UA"/>
        </w:rPr>
        <w:t>кту «</w:t>
      </w:r>
      <w:r w:rsidR="006471FA" w:rsidRPr="006471FA">
        <w:rPr>
          <w:rFonts w:ascii="Times New Roman" w:hAnsi="Times New Roman" w:hint="eastAsia"/>
          <w:iCs/>
          <w:spacing w:val="-6"/>
          <w:sz w:val="24"/>
          <w:szCs w:val="24"/>
          <w:lang w:val="uk-UA"/>
        </w:rPr>
        <w:t>Зміцнення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спроможності</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Уряду</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щодо</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впровадження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фіскальної</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реформи</w:t>
      </w:r>
      <w:r w:rsidR="007A6CA9" w:rsidRPr="00586066">
        <w:rPr>
          <w:rFonts w:ascii="Times New Roman" w:hAnsi="Times New Roman"/>
          <w:sz w:val="24"/>
          <w:szCs w:val="24"/>
          <w:lang w:val="uk-UA"/>
        </w:rPr>
        <w:t>»</w:t>
      </w:r>
      <w:r w:rsidR="006471FA" w:rsidRPr="00FD0E23">
        <w:rPr>
          <w:rFonts w:ascii="Times New Roman" w:hAnsi="Times New Roman"/>
          <w:sz w:val="24"/>
          <w:szCs w:val="24"/>
          <w:lang w:val="uk-UA"/>
        </w:rPr>
        <w:t xml:space="preserve"> </w:t>
      </w:r>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далі </w:t>
      </w:r>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 </w:t>
      </w:r>
      <w:r w:rsidR="007A6CA9" w:rsidRPr="00586066">
        <w:rPr>
          <w:rFonts w:ascii="Times New Roman" w:hAnsi="Times New Roman"/>
          <w:sz w:val="24"/>
          <w:szCs w:val="24"/>
          <w:lang w:val="uk-UA"/>
        </w:rPr>
        <w:t>«</w:t>
      </w:r>
      <w:r w:rsidRPr="00586066">
        <w:rPr>
          <w:rFonts w:ascii="Times New Roman" w:hAnsi="Times New Roman"/>
          <w:sz w:val="24"/>
          <w:szCs w:val="24"/>
          <w:lang w:val="uk-UA"/>
        </w:rPr>
        <w:t>Про</w:t>
      </w:r>
      <w:r w:rsidR="006B2537" w:rsidRPr="00586066">
        <w:rPr>
          <w:rFonts w:ascii="Times New Roman" w:hAnsi="Times New Roman"/>
          <w:sz w:val="24"/>
          <w:szCs w:val="24"/>
          <w:lang w:val="uk-UA"/>
        </w:rPr>
        <w:t>є</w:t>
      </w:r>
      <w:r w:rsidRPr="00586066">
        <w:rPr>
          <w:rFonts w:ascii="Times New Roman" w:hAnsi="Times New Roman"/>
          <w:sz w:val="24"/>
          <w:szCs w:val="24"/>
          <w:lang w:val="uk-UA"/>
        </w:rPr>
        <w:t>кт</w:t>
      </w:r>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 та має намір використати частину </w:t>
      </w:r>
      <w:r w:rsidR="00960788" w:rsidRPr="00586066">
        <w:rPr>
          <w:rFonts w:ascii="Times New Roman" w:hAnsi="Times New Roman"/>
          <w:sz w:val="24"/>
          <w:szCs w:val="24"/>
          <w:lang w:val="uk-UA"/>
        </w:rPr>
        <w:t>цих</w:t>
      </w:r>
      <w:r w:rsidRPr="00586066">
        <w:rPr>
          <w:rFonts w:ascii="Times New Roman" w:hAnsi="Times New Roman"/>
          <w:sz w:val="24"/>
          <w:szCs w:val="24"/>
          <w:lang w:val="uk-UA"/>
        </w:rPr>
        <w:t xml:space="preserve"> коштів на здійснення правомочних платежів </w:t>
      </w:r>
      <w:r w:rsidR="006B2537" w:rsidRPr="00586066">
        <w:rPr>
          <w:rFonts w:ascii="Times New Roman" w:hAnsi="Times New Roman"/>
          <w:sz w:val="24"/>
          <w:szCs w:val="24"/>
          <w:lang w:val="uk-UA"/>
        </w:rPr>
        <w:t xml:space="preserve">за </w:t>
      </w:r>
      <w:r w:rsidR="007A6CA9" w:rsidRPr="00586066">
        <w:rPr>
          <w:rFonts w:ascii="Times New Roman" w:hAnsi="Times New Roman"/>
          <w:sz w:val="24"/>
          <w:szCs w:val="24"/>
          <w:lang w:val="uk-UA"/>
        </w:rPr>
        <w:t xml:space="preserve">консультаційні </w:t>
      </w:r>
      <w:r w:rsidR="00960788" w:rsidRPr="00586066">
        <w:rPr>
          <w:rFonts w:ascii="Times New Roman" w:hAnsi="Times New Roman"/>
          <w:sz w:val="24"/>
          <w:szCs w:val="24"/>
          <w:lang w:val="uk-UA"/>
        </w:rPr>
        <w:t xml:space="preserve">послуги, для закупівлі яких </w:t>
      </w:r>
      <w:r w:rsidR="005D6E1B" w:rsidRPr="00586066">
        <w:rPr>
          <w:rFonts w:ascii="Times New Roman" w:hAnsi="Times New Roman"/>
          <w:sz w:val="24"/>
          <w:szCs w:val="24"/>
          <w:lang w:val="uk-UA"/>
        </w:rPr>
        <w:t>вип</w:t>
      </w:r>
      <w:r w:rsidR="00485342" w:rsidRPr="00586066">
        <w:rPr>
          <w:rFonts w:ascii="Times New Roman" w:hAnsi="Times New Roman"/>
          <w:sz w:val="24"/>
          <w:szCs w:val="24"/>
          <w:lang w:val="uk-UA"/>
        </w:rPr>
        <w:t>ущено це запрошення до висловлення</w:t>
      </w:r>
      <w:r w:rsidR="00BA51E2" w:rsidRPr="00586066">
        <w:rPr>
          <w:rFonts w:ascii="Times New Roman" w:hAnsi="Times New Roman"/>
          <w:sz w:val="24"/>
          <w:szCs w:val="24"/>
          <w:lang w:val="uk-UA"/>
        </w:rPr>
        <w:t xml:space="preserve"> зацікавленості.</w:t>
      </w:r>
      <w:r w:rsidR="007A6CA9" w:rsidRPr="00586066">
        <w:rPr>
          <w:rFonts w:ascii="Times New Roman" w:hAnsi="Times New Roman"/>
          <w:sz w:val="24"/>
          <w:szCs w:val="24"/>
          <w:lang w:val="uk-UA"/>
        </w:rPr>
        <w:t xml:space="preserve"> </w:t>
      </w:r>
    </w:p>
    <w:p w14:paraId="5335E694" w14:textId="7C862C01" w:rsidR="005613FB" w:rsidRPr="00586066" w:rsidRDefault="006D5510" w:rsidP="00E02211">
      <w:pPr>
        <w:pStyle w:val="ad"/>
        <w:spacing w:after="120"/>
        <w:jc w:val="both"/>
        <w:rPr>
          <w:rFonts w:ascii="Times New Roman" w:hAnsi="Times New Roman"/>
          <w:szCs w:val="24"/>
          <w:lang w:val="uk-UA"/>
        </w:rPr>
      </w:pPr>
      <w:r w:rsidRPr="00586066">
        <w:rPr>
          <w:rStyle w:val="hps"/>
          <w:rFonts w:ascii="Times New Roman" w:hAnsi="Times New Roman"/>
          <w:szCs w:val="24"/>
          <w:lang w:val="uk-UA"/>
        </w:rPr>
        <w:t>Консультаційні</w:t>
      </w:r>
      <w:r w:rsidR="00A0298B" w:rsidRPr="00586066">
        <w:rPr>
          <w:rStyle w:val="hps"/>
          <w:rFonts w:ascii="Times New Roman" w:hAnsi="Times New Roman"/>
          <w:szCs w:val="24"/>
          <w:lang w:val="uk-UA"/>
        </w:rPr>
        <w:t xml:space="preserve"> </w:t>
      </w:r>
      <w:r w:rsidR="003B2855" w:rsidRPr="00586066">
        <w:rPr>
          <w:rStyle w:val="hps"/>
          <w:rFonts w:ascii="Times New Roman" w:hAnsi="Times New Roman"/>
          <w:szCs w:val="24"/>
          <w:lang w:val="uk-UA"/>
        </w:rPr>
        <w:t>послуги (</w:t>
      </w:r>
      <w:r w:rsidR="00960788" w:rsidRPr="00586066">
        <w:rPr>
          <w:rStyle w:val="hps"/>
          <w:rFonts w:ascii="Times New Roman" w:hAnsi="Times New Roman"/>
          <w:szCs w:val="24"/>
          <w:lang w:val="uk-UA"/>
        </w:rPr>
        <w:t xml:space="preserve">далі </w:t>
      </w:r>
      <w:r w:rsidR="007A6CA9" w:rsidRPr="00586066">
        <w:rPr>
          <w:rStyle w:val="hps"/>
          <w:rFonts w:ascii="Times New Roman" w:hAnsi="Times New Roman"/>
          <w:szCs w:val="24"/>
          <w:lang w:val="uk-UA"/>
        </w:rPr>
        <w:t>–</w:t>
      </w:r>
      <w:r w:rsidR="00960788" w:rsidRPr="00586066">
        <w:rPr>
          <w:rStyle w:val="hps"/>
          <w:rFonts w:ascii="Times New Roman" w:hAnsi="Times New Roman"/>
          <w:szCs w:val="24"/>
          <w:lang w:val="uk-UA"/>
        </w:rPr>
        <w:t xml:space="preserve"> </w:t>
      </w:r>
      <w:r w:rsidR="007A6CA9" w:rsidRPr="00586066">
        <w:rPr>
          <w:rStyle w:val="hps"/>
          <w:rFonts w:ascii="Times New Roman" w:hAnsi="Times New Roman"/>
          <w:szCs w:val="24"/>
          <w:lang w:val="uk-UA"/>
        </w:rPr>
        <w:t>«</w:t>
      </w:r>
      <w:r w:rsidR="00A0298B" w:rsidRPr="00586066">
        <w:rPr>
          <w:rStyle w:val="hps"/>
          <w:rFonts w:ascii="Times New Roman" w:hAnsi="Times New Roman"/>
          <w:szCs w:val="24"/>
          <w:lang w:val="uk-UA"/>
        </w:rPr>
        <w:t>Послуги</w:t>
      </w:r>
      <w:r w:rsidR="007A6CA9" w:rsidRPr="00586066">
        <w:rPr>
          <w:rStyle w:val="hps"/>
          <w:rFonts w:ascii="Times New Roman" w:hAnsi="Times New Roman"/>
          <w:szCs w:val="24"/>
          <w:lang w:val="uk-UA"/>
        </w:rPr>
        <w:t>»</w:t>
      </w:r>
      <w:r w:rsidR="00A0298B" w:rsidRPr="00586066">
        <w:rPr>
          <w:rFonts w:ascii="Times New Roman" w:hAnsi="Times New Roman"/>
          <w:szCs w:val="24"/>
          <w:lang w:val="uk-UA"/>
        </w:rPr>
        <w:t xml:space="preserve">) </w:t>
      </w:r>
      <w:r w:rsidR="009B5564" w:rsidRPr="00586066">
        <w:rPr>
          <w:rFonts w:ascii="Times New Roman" w:hAnsi="Times New Roman"/>
          <w:szCs w:val="24"/>
          <w:lang w:val="uk-UA"/>
        </w:rPr>
        <w:t>передбачають</w:t>
      </w:r>
      <w:r w:rsidR="00E02211" w:rsidRPr="00586066">
        <w:rPr>
          <w:rFonts w:ascii="Times New Roman" w:hAnsi="Times New Roman"/>
          <w:szCs w:val="24"/>
          <w:lang w:val="uk-UA"/>
        </w:rPr>
        <w:t xml:space="preserve"> </w:t>
      </w:r>
      <w:r w:rsidR="00FA553D" w:rsidRPr="00FA553D">
        <w:rPr>
          <w:rFonts w:hint="eastAsia"/>
          <w:color w:val="000000"/>
          <w:lang w:val="uk-UA" w:eastAsia="ru-RU"/>
        </w:rPr>
        <w:t>визначення</w:t>
      </w:r>
      <w:r w:rsidR="00FA553D" w:rsidRPr="00FA553D">
        <w:rPr>
          <w:color w:val="000000"/>
          <w:lang w:val="uk-UA" w:eastAsia="ru-RU"/>
        </w:rPr>
        <w:t>/</w:t>
      </w:r>
      <w:r w:rsidR="00FA553D" w:rsidRPr="00FA553D">
        <w:rPr>
          <w:rFonts w:hint="eastAsia"/>
          <w:color w:val="000000"/>
          <w:lang w:val="uk-UA" w:eastAsia="ru-RU"/>
        </w:rPr>
        <w:t>підтвердження</w:t>
      </w:r>
      <w:r w:rsidR="00FA553D" w:rsidRPr="00FA553D">
        <w:rPr>
          <w:color w:val="000000"/>
          <w:lang w:val="uk-UA" w:eastAsia="ru-RU"/>
        </w:rPr>
        <w:t xml:space="preserve"> </w:t>
      </w:r>
      <w:r w:rsidR="00FA553D" w:rsidRPr="00FA553D">
        <w:rPr>
          <w:rFonts w:hint="eastAsia"/>
          <w:color w:val="000000"/>
          <w:lang w:val="uk-UA" w:eastAsia="ru-RU"/>
        </w:rPr>
        <w:t>Консультантом</w:t>
      </w:r>
      <w:r w:rsidR="00FA553D" w:rsidRPr="00FA553D">
        <w:rPr>
          <w:color w:val="000000"/>
          <w:lang w:val="uk-UA" w:eastAsia="ru-RU"/>
        </w:rPr>
        <w:t xml:space="preserve"> </w:t>
      </w:r>
      <w:r w:rsidR="00FA553D" w:rsidRPr="00FA553D">
        <w:rPr>
          <w:rFonts w:hint="eastAsia"/>
          <w:color w:val="000000"/>
          <w:lang w:val="uk-UA" w:eastAsia="ru-RU"/>
        </w:rPr>
        <w:t>досягнення</w:t>
      </w:r>
      <w:r w:rsidR="00FA553D" w:rsidRPr="00FA553D">
        <w:rPr>
          <w:color w:val="000000"/>
          <w:lang w:val="uk-UA" w:eastAsia="ru-RU"/>
        </w:rPr>
        <w:t xml:space="preserve"> </w:t>
      </w:r>
      <w:r w:rsidR="00FA553D" w:rsidRPr="00FA553D">
        <w:rPr>
          <w:rFonts w:hint="eastAsia"/>
          <w:color w:val="000000"/>
          <w:lang w:val="uk-UA" w:eastAsia="ru-RU"/>
        </w:rPr>
        <w:t>результатів</w:t>
      </w:r>
      <w:r w:rsidR="00FA553D" w:rsidRPr="00FA553D">
        <w:rPr>
          <w:color w:val="000000"/>
          <w:lang w:val="uk-UA" w:eastAsia="ru-RU"/>
        </w:rPr>
        <w:t xml:space="preserve"> 2026 </w:t>
      </w:r>
      <w:r w:rsidR="00FA553D" w:rsidRPr="00FA553D">
        <w:rPr>
          <w:rFonts w:hint="eastAsia"/>
          <w:color w:val="000000"/>
          <w:lang w:val="uk-UA" w:eastAsia="ru-RU"/>
        </w:rPr>
        <w:t>та</w:t>
      </w:r>
      <w:r w:rsidR="00FA553D" w:rsidRPr="00FA553D">
        <w:rPr>
          <w:color w:val="000000"/>
          <w:lang w:val="uk-UA" w:eastAsia="ru-RU"/>
        </w:rPr>
        <w:t xml:space="preserve"> 2027 </w:t>
      </w:r>
      <w:r w:rsidR="00FA553D" w:rsidRPr="00FA553D">
        <w:rPr>
          <w:rFonts w:hint="eastAsia"/>
          <w:color w:val="000000"/>
          <w:lang w:val="uk-UA" w:eastAsia="ru-RU"/>
        </w:rPr>
        <w:t>року</w:t>
      </w:r>
      <w:r w:rsidR="00FA553D" w:rsidRPr="00FA553D">
        <w:rPr>
          <w:color w:val="000000"/>
          <w:lang w:val="uk-UA" w:eastAsia="ru-RU"/>
        </w:rPr>
        <w:t xml:space="preserve"> </w:t>
      </w:r>
      <w:r w:rsidR="00FA553D" w:rsidRPr="00FA553D">
        <w:rPr>
          <w:rFonts w:hint="eastAsia"/>
          <w:color w:val="000000"/>
          <w:lang w:val="uk-UA" w:eastAsia="ru-RU"/>
        </w:rPr>
        <w:t>в</w:t>
      </w:r>
      <w:r w:rsidR="00FA553D" w:rsidRPr="00FA553D">
        <w:rPr>
          <w:color w:val="000000"/>
          <w:lang w:val="uk-UA" w:eastAsia="ru-RU"/>
        </w:rPr>
        <w:t xml:space="preserve"> </w:t>
      </w:r>
      <w:r w:rsidR="00FA553D" w:rsidRPr="00FA553D">
        <w:rPr>
          <w:rFonts w:hint="eastAsia"/>
          <w:color w:val="000000"/>
          <w:lang w:val="uk-UA" w:eastAsia="ru-RU"/>
        </w:rPr>
        <w:t>рамках</w:t>
      </w:r>
      <w:r w:rsidR="00FA553D" w:rsidRPr="00FA553D">
        <w:rPr>
          <w:color w:val="000000"/>
          <w:lang w:val="uk-UA" w:eastAsia="ru-RU"/>
        </w:rPr>
        <w:t xml:space="preserve"> </w:t>
      </w:r>
      <w:r w:rsidR="00FA553D" w:rsidRPr="00DB1FD9">
        <w:rPr>
          <w:lang w:val="uk-UA"/>
        </w:rPr>
        <w:t>Програми «Підтримка відбудови шляхом розумного фіскального управління (SURGE)»</w:t>
      </w:r>
      <w:r w:rsidR="00FA553D" w:rsidRPr="00FA553D">
        <w:rPr>
          <w:color w:val="000000"/>
          <w:lang w:val="uk-UA" w:eastAsia="ru-RU"/>
        </w:rPr>
        <w:t xml:space="preserve"> </w:t>
      </w:r>
      <w:r w:rsidR="00FA553D" w:rsidRPr="00FA553D">
        <w:rPr>
          <w:rFonts w:hint="eastAsia"/>
          <w:color w:val="000000"/>
          <w:lang w:val="uk-UA" w:eastAsia="ru-RU"/>
        </w:rPr>
        <w:t>шляхом</w:t>
      </w:r>
      <w:r w:rsidR="00FA553D" w:rsidRPr="00FA553D">
        <w:rPr>
          <w:color w:val="000000"/>
          <w:lang w:val="uk-UA" w:eastAsia="ru-RU"/>
        </w:rPr>
        <w:t xml:space="preserve"> </w:t>
      </w:r>
      <w:r w:rsidR="00FA553D" w:rsidRPr="00FA553D">
        <w:rPr>
          <w:rFonts w:hint="eastAsia"/>
          <w:color w:val="000000"/>
          <w:lang w:val="uk-UA" w:eastAsia="ru-RU"/>
        </w:rPr>
        <w:t>проведення</w:t>
      </w:r>
      <w:r w:rsidR="00FA553D" w:rsidRPr="00FA553D">
        <w:rPr>
          <w:color w:val="000000"/>
          <w:lang w:val="uk-UA" w:eastAsia="ru-RU"/>
        </w:rPr>
        <w:t xml:space="preserve"> </w:t>
      </w:r>
      <w:r w:rsidR="00FA553D" w:rsidRPr="00FA553D">
        <w:rPr>
          <w:rFonts w:hint="eastAsia"/>
          <w:color w:val="000000"/>
          <w:lang w:val="uk-UA" w:eastAsia="ru-RU"/>
        </w:rPr>
        <w:t>незалежної</w:t>
      </w:r>
      <w:r w:rsidR="00FA553D" w:rsidRPr="00FA553D">
        <w:rPr>
          <w:color w:val="000000"/>
          <w:lang w:val="uk-UA" w:eastAsia="ru-RU"/>
        </w:rPr>
        <w:t xml:space="preserve"> </w:t>
      </w:r>
      <w:r w:rsidR="00FA553D" w:rsidRPr="00FA553D">
        <w:rPr>
          <w:rFonts w:hint="eastAsia"/>
          <w:color w:val="000000"/>
          <w:lang w:val="uk-UA" w:eastAsia="ru-RU"/>
        </w:rPr>
        <w:t>верифікації</w:t>
      </w:r>
      <w:r w:rsidR="00FA553D" w:rsidRPr="00FA553D">
        <w:rPr>
          <w:color w:val="000000"/>
          <w:lang w:val="uk-UA" w:eastAsia="ru-RU"/>
        </w:rPr>
        <w:t xml:space="preserve"> </w:t>
      </w:r>
      <w:r w:rsidR="00FA553D" w:rsidRPr="00FA553D">
        <w:rPr>
          <w:rFonts w:hint="eastAsia"/>
          <w:color w:val="000000"/>
          <w:lang w:val="uk-UA" w:eastAsia="ru-RU"/>
        </w:rPr>
        <w:t>доказів</w:t>
      </w:r>
      <w:r w:rsidR="00FA553D" w:rsidRPr="00FA553D">
        <w:rPr>
          <w:color w:val="000000"/>
          <w:lang w:val="uk-UA" w:eastAsia="ru-RU"/>
        </w:rPr>
        <w:t xml:space="preserve">, </w:t>
      </w:r>
      <w:r w:rsidR="00FA553D" w:rsidRPr="00FA553D">
        <w:rPr>
          <w:rFonts w:hint="eastAsia"/>
          <w:color w:val="000000"/>
          <w:lang w:val="uk-UA" w:eastAsia="ru-RU"/>
        </w:rPr>
        <w:t>наданих</w:t>
      </w:r>
      <w:r w:rsidR="00FA553D" w:rsidRPr="00FA553D">
        <w:rPr>
          <w:color w:val="000000"/>
          <w:lang w:val="uk-UA" w:eastAsia="ru-RU"/>
        </w:rPr>
        <w:t xml:space="preserve"> </w:t>
      </w:r>
      <w:r w:rsidR="00FA553D" w:rsidRPr="00FA553D">
        <w:rPr>
          <w:rFonts w:hint="eastAsia"/>
          <w:color w:val="000000"/>
          <w:lang w:val="uk-UA" w:eastAsia="ru-RU"/>
        </w:rPr>
        <w:t>Мінфіном</w:t>
      </w:r>
      <w:r w:rsidR="00FA553D" w:rsidRPr="00FA553D">
        <w:rPr>
          <w:color w:val="000000"/>
          <w:lang w:val="uk-UA" w:eastAsia="ru-RU"/>
        </w:rPr>
        <w:t xml:space="preserve">, </w:t>
      </w:r>
      <w:r w:rsidR="00FA553D" w:rsidRPr="00FA553D">
        <w:rPr>
          <w:rFonts w:hint="eastAsia"/>
          <w:color w:val="000000"/>
          <w:lang w:val="uk-UA" w:eastAsia="ru-RU"/>
        </w:rPr>
        <w:t>і</w:t>
      </w:r>
      <w:r w:rsidR="00FA553D" w:rsidRPr="00FA553D">
        <w:rPr>
          <w:color w:val="000000"/>
          <w:lang w:val="uk-UA" w:eastAsia="ru-RU"/>
        </w:rPr>
        <w:t xml:space="preserve"> </w:t>
      </w:r>
      <w:r w:rsidR="00FA553D" w:rsidRPr="00FA553D">
        <w:rPr>
          <w:rFonts w:hint="eastAsia"/>
          <w:color w:val="000000"/>
          <w:lang w:val="uk-UA" w:eastAsia="ru-RU"/>
        </w:rPr>
        <w:t>підготовка</w:t>
      </w:r>
      <w:r w:rsidR="00FA553D" w:rsidRPr="00FA553D">
        <w:rPr>
          <w:color w:val="000000"/>
          <w:lang w:val="uk-UA" w:eastAsia="ru-RU"/>
        </w:rPr>
        <w:t xml:space="preserve"> </w:t>
      </w:r>
      <w:r w:rsidR="00FA553D" w:rsidRPr="00FA553D">
        <w:rPr>
          <w:rFonts w:hint="eastAsia"/>
          <w:color w:val="000000"/>
          <w:lang w:val="uk-UA" w:eastAsia="ru-RU"/>
        </w:rPr>
        <w:t>верифікаційних</w:t>
      </w:r>
      <w:r w:rsidR="00FA553D" w:rsidRPr="00FA553D">
        <w:rPr>
          <w:color w:val="000000"/>
          <w:lang w:val="uk-UA" w:eastAsia="ru-RU"/>
        </w:rPr>
        <w:t xml:space="preserve"> </w:t>
      </w:r>
      <w:r w:rsidR="00FA553D" w:rsidRPr="00FA553D">
        <w:rPr>
          <w:rFonts w:hint="eastAsia"/>
          <w:color w:val="000000"/>
          <w:lang w:val="uk-UA" w:eastAsia="ru-RU"/>
        </w:rPr>
        <w:t>звітів</w:t>
      </w:r>
      <w:r w:rsidR="00FA553D" w:rsidRPr="00FA553D">
        <w:rPr>
          <w:color w:val="000000"/>
          <w:lang w:val="uk-UA" w:eastAsia="ru-RU"/>
        </w:rPr>
        <w:t xml:space="preserve">, </w:t>
      </w:r>
      <w:r w:rsidR="00FA553D" w:rsidRPr="00FA553D">
        <w:rPr>
          <w:rFonts w:hint="eastAsia"/>
          <w:color w:val="000000"/>
          <w:lang w:val="uk-UA" w:eastAsia="ru-RU"/>
        </w:rPr>
        <w:t>що</w:t>
      </w:r>
      <w:r w:rsidR="00FA553D" w:rsidRPr="00FA553D">
        <w:rPr>
          <w:color w:val="000000"/>
          <w:lang w:val="uk-UA" w:eastAsia="ru-RU"/>
        </w:rPr>
        <w:t xml:space="preserve"> </w:t>
      </w:r>
      <w:r w:rsidR="00FA553D" w:rsidRPr="00FA553D">
        <w:rPr>
          <w:rFonts w:hint="eastAsia"/>
          <w:color w:val="000000"/>
          <w:lang w:val="uk-UA" w:eastAsia="ru-RU"/>
        </w:rPr>
        <w:t>підтверджують</w:t>
      </w:r>
      <w:r w:rsidR="00FA553D" w:rsidRPr="00FA553D">
        <w:rPr>
          <w:color w:val="000000"/>
          <w:lang w:val="uk-UA" w:eastAsia="ru-RU"/>
        </w:rPr>
        <w:t xml:space="preserve"> </w:t>
      </w:r>
      <w:r w:rsidR="00FA553D" w:rsidRPr="00FA553D">
        <w:rPr>
          <w:rFonts w:hint="eastAsia"/>
          <w:color w:val="000000"/>
          <w:lang w:val="uk-UA" w:eastAsia="ru-RU"/>
        </w:rPr>
        <w:t>статус</w:t>
      </w:r>
      <w:r w:rsidR="00FA553D" w:rsidRPr="00FA553D">
        <w:rPr>
          <w:color w:val="000000"/>
          <w:lang w:val="uk-UA" w:eastAsia="ru-RU"/>
        </w:rPr>
        <w:t xml:space="preserve"> </w:t>
      </w:r>
      <w:r w:rsidR="00FA553D" w:rsidRPr="00FA553D">
        <w:rPr>
          <w:rFonts w:hint="eastAsia"/>
          <w:color w:val="000000"/>
          <w:lang w:val="uk-UA" w:eastAsia="ru-RU"/>
        </w:rPr>
        <w:t>досягнення</w:t>
      </w:r>
      <w:r w:rsidR="00FA553D" w:rsidRPr="00FA553D">
        <w:rPr>
          <w:color w:val="000000"/>
          <w:lang w:val="uk-UA" w:eastAsia="ru-RU"/>
        </w:rPr>
        <w:t xml:space="preserve"> </w:t>
      </w:r>
      <w:r w:rsidR="00FA553D" w:rsidRPr="00FA553D">
        <w:rPr>
          <w:rFonts w:hint="eastAsia"/>
          <w:color w:val="000000"/>
          <w:lang w:val="uk-UA" w:eastAsia="ru-RU"/>
        </w:rPr>
        <w:t>відповідно</w:t>
      </w:r>
      <w:r w:rsidR="00FA553D" w:rsidRPr="00FA553D">
        <w:rPr>
          <w:color w:val="000000"/>
          <w:lang w:val="uk-UA" w:eastAsia="ru-RU"/>
        </w:rPr>
        <w:t xml:space="preserve"> </w:t>
      </w:r>
      <w:r w:rsidR="00FA553D" w:rsidRPr="00FA553D">
        <w:rPr>
          <w:rFonts w:hint="eastAsia"/>
          <w:color w:val="000000"/>
          <w:lang w:val="uk-UA" w:eastAsia="ru-RU"/>
        </w:rPr>
        <w:t>до</w:t>
      </w:r>
      <w:r w:rsidR="00FA553D" w:rsidRPr="00FA553D">
        <w:rPr>
          <w:color w:val="000000"/>
          <w:lang w:val="uk-UA" w:eastAsia="ru-RU"/>
        </w:rPr>
        <w:t xml:space="preserve"> </w:t>
      </w:r>
      <w:r w:rsidR="00FA553D" w:rsidRPr="00FA553D">
        <w:rPr>
          <w:rFonts w:hint="eastAsia"/>
          <w:color w:val="000000"/>
          <w:lang w:val="uk-UA" w:eastAsia="ru-RU"/>
        </w:rPr>
        <w:t>вимог</w:t>
      </w:r>
      <w:r w:rsidR="00FA553D" w:rsidRPr="00FA553D">
        <w:rPr>
          <w:color w:val="000000"/>
          <w:lang w:val="uk-UA" w:eastAsia="ru-RU"/>
        </w:rPr>
        <w:t xml:space="preserve"> </w:t>
      </w:r>
      <w:r w:rsidR="00FA553D" w:rsidRPr="00FA553D">
        <w:rPr>
          <w:rFonts w:hint="eastAsia"/>
          <w:color w:val="000000"/>
          <w:lang w:val="uk-UA" w:eastAsia="ru-RU"/>
        </w:rPr>
        <w:t>Світового</w:t>
      </w:r>
      <w:r w:rsidR="00FA553D" w:rsidRPr="00FA553D">
        <w:rPr>
          <w:color w:val="000000"/>
          <w:lang w:val="uk-UA" w:eastAsia="ru-RU"/>
        </w:rPr>
        <w:t xml:space="preserve"> </w:t>
      </w:r>
      <w:r w:rsidR="00FA553D" w:rsidRPr="00FA553D">
        <w:rPr>
          <w:rFonts w:hint="eastAsia"/>
          <w:color w:val="000000"/>
          <w:lang w:val="uk-UA" w:eastAsia="ru-RU"/>
        </w:rPr>
        <w:t>банку</w:t>
      </w:r>
      <w:r w:rsidR="00FA553D" w:rsidRPr="00FA553D">
        <w:rPr>
          <w:color w:val="000000"/>
          <w:lang w:val="uk-UA" w:eastAsia="ru-RU"/>
        </w:rPr>
        <w:t>.</w:t>
      </w:r>
      <w:r w:rsidR="00FA553D">
        <w:rPr>
          <w:rFonts w:ascii="Times New Roman" w:hAnsi="Times New Roman"/>
          <w:szCs w:val="24"/>
          <w:lang w:val="uk-UA"/>
        </w:rPr>
        <w:t xml:space="preserve"> </w:t>
      </w:r>
      <w:r w:rsidR="004B761D" w:rsidRPr="00586066">
        <w:rPr>
          <w:rFonts w:ascii="Times New Roman" w:hAnsi="Times New Roman"/>
          <w:szCs w:val="24"/>
          <w:lang w:val="uk-UA"/>
        </w:rPr>
        <w:t>Детальне Технічне завдання наведено нижче.</w:t>
      </w:r>
    </w:p>
    <w:p w14:paraId="55DB9D65" w14:textId="45AA23E5" w:rsidR="002252A2" w:rsidRPr="00434263" w:rsidRDefault="00992562" w:rsidP="00D86AAB">
      <w:pPr>
        <w:pStyle w:val="ad"/>
        <w:spacing w:after="120"/>
        <w:jc w:val="both"/>
        <w:rPr>
          <w:rFonts w:ascii="Times New Roman" w:hAnsi="Times New Roman"/>
          <w:b/>
          <w:bCs/>
          <w:szCs w:val="24"/>
          <w:u w:val="single"/>
          <w:lang w:val="uk-UA"/>
        </w:rPr>
      </w:pPr>
      <w:r w:rsidRPr="00586066">
        <w:rPr>
          <w:rFonts w:ascii="Times New Roman" w:hAnsi="Times New Roman"/>
          <w:szCs w:val="24"/>
          <w:lang w:val="uk-UA"/>
        </w:rPr>
        <w:t xml:space="preserve">Міністерство </w:t>
      </w:r>
      <w:r w:rsidR="006471FA">
        <w:rPr>
          <w:rFonts w:ascii="Times New Roman" w:hAnsi="Times New Roman"/>
          <w:szCs w:val="24"/>
          <w:lang w:val="uk-UA"/>
        </w:rPr>
        <w:t>фінансів</w:t>
      </w:r>
      <w:r w:rsidRPr="00586066">
        <w:rPr>
          <w:rFonts w:ascii="Times New Roman" w:hAnsi="Times New Roman"/>
          <w:szCs w:val="24"/>
          <w:lang w:val="uk-UA"/>
        </w:rPr>
        <w:t xml:space="preserve"> України </w:t>
      </w:r>
      <w:r w:rsidR="00B9707F" w:rsidRPr="00586066">
        <w:rPr>
          <w:rFonts w:ascii="Times New Roman" w:hAnsi="Times New Roman"/>
          <w:szCs w:val="24"/>
          <w:lang w:val="uk-UA"/>
        </w:rPr>
        <w:t>запрошує</w:t>
      </w:r>
      <w:r w:rsidR="00432B0E" w:rsidRPr="00586066">
        <w:rPr>
          <w:rStyle w:val="hps"/>
          <w:rFonts w:ascii="Times New Roman" w:hAnsi="Times New Roman"/>
          <w:szCs w:val="24"/>
          <w:lang w:val="uk-UA"/>
        </w:rPr>
        <w:t xml:space="preserve"> правомочн</w:t>
      </w:r>
      <w:r w:rsidR="004B761D" w:rsidRPr="00586066">
        <w:rPr>
          <w:rStyle w:val="hps"/>
          <w:rFonts w:ascii="Times New Roman" w:hAnsi="Times New Roman"/>
          <w:szCs w:val="24"/>
          <w:lang w:val="uk-UA"/>
        </w:rPr>
        <w:t>их</w:t>
      </w:r>
      <w:r w:rsidR="00432B0E" w:rsidRPr="00586066">
        <w:rPr>
          <w:rStyle w:val="hps"/>
          <w:rFonts w:ascii="Times New Roman" w:hAnsi="Times New Roman"/>
          <w:szCs w:val="24"/>
          <w:lang w:val="uk-UA"/>
        </w:rPr>
        <w:t xml:space="preserve"> консульта</w:t>
      </w:r>
      <w:r w:rsidR="004B761D" w:rsidRPr="00586066">
        <w:rPr>
          <w:rStyle w:val="hps"/>
          <w:rFonts w:ascii="Times New Roman" w:hAnsi="Times New Roman"/>
          <w:szCs w:val="24"/>
          <w:lang w:val="uk-UA"/>
        </w:rPr>
        <w:t>нтів</w:t>
      </w:r>
      <w:r w:rsidR="00A0298B" w:rsidRPr="00586066">
        <w:rPr>
          <w:rFonts w:ascii="Times New Roman" w:hAnsi="Times New Roman"/>
          <w:szCs w:val="24"/>
          <w:lang w:val="uk-UA"/>
        </w:rPr>
        <w:t xml:space="preserve"> </w:t>
      </w:r>
      <w:r w:rsidR="00A0298B" w:rsidRPr="00586066">
        <w:rPr>
          <w:rStyle w:val="hps"/>
          <w:rFonts w:ascii="Times New Roman" w:hAnsi="Times New Roman"/>
          <w:szCs w:val="24"/>
          <w:lang w:val="uk-UA"/>
        </w:rPr>
        <w:t>(</w:t>
      </w:r>
      <w:r w:rsidR="00CC1E0E" w:rsidRPr="00586066">
        <w:rPr>
          <w:rStyle w:val="hps"/>
          <w:rFonts w:ascii="Times New Roman" w:hAnsi="Times New Roman"/>
          <w:szCs w:val="24"/>
          <w:lang w:val="uk-UA"/>
        </w:rPr>
        <w:t xml:space="preserve">надалі </w:t>
      </w:r>
      <w:r w:rsidR="00B9707F" w:rsidRPr="00586066">
        <w:rPr>
          <w:rStyle w:val="hps"/>
          <w:rFonts w:ascii="Times New Roman" w:hAnsi="Times New Roman"/>
          <w:szCs w:val="24"/>
          <w:lang w:val="uk-UA"/>
        </w:rPr>
        <w:t>–</w:t>
      </w:r>
      <w:r w:rsidR="00CC1E0E" w:rsidRPr="00586066">
        <w:rPr>
          <w:rStyle w:val="hps"/>
          <w:rFonts w:ascii="Times New Roman" w:hAnsi="Times New Roman"/>
          <w:szCs w:val="24"/>
          <w:lang w:val="uk-UA"/>
        </w:rPr>
        <w:t xml:space="preserve"> </w:t>
      </w:r>
      <w:r w:rsidR="00B9707F" w:rsidRPr="00586066">
        <w:rPr>
          <w:rStyle w:val="hps"/>
          <w:rFonts w:ascii="Times New Roman" w:hAnsi="Times New Roman"/>
          <w:szCs w:val="24"/>
          <w:lang w:val="uk-UA"/>
        </w:rPr>
        <w:t>«</w:t>
      </w:r>
      <w:r w:rsidR="005C1655" w:rsidRPr="00586066">
        <w:rPr>
          <w:rStyle w:val="hps"/>
          <w:rFonts w:ascii="Times New Roman" w:hAnsi="Times New Roman"/>
          <w:szCs w:val="24"/>
          <w:lang w:val="uk-UA"/>
        </w:rPr>
        <w:t>Консультанти</w:t>
      </w:r>
      <w:r w:rsidR="00B9707F" w:rsidRPr="00586066">
        <w:rPr>
          <w:rStyle w:val="hps"/>
          <w:rFonts w:ascii="Times New Roman" w:hAnsi="Times New Roman"/>
          <w:szCs w:val="24"/>
          <w:lang w:val="uk-UA"/>
        </w:rPr>
        <w:t>»</w:t>
      </w:r>
      <w:r w:rsidR="00A0298B" w:rsidRPr="00586066">
        <w:rPr>
          <w:rFonts w:ascii="Times New Roman" w:hAnsi="Times New Roman"/>
          <w:szCs w:val="24"/>
          <w:lang w:val="uk-UA"/>
        </w:rPr>
        <w:t xml:space="preserve">), </w:t>
      </w:r>
      <w:r w:rsidR="00485342" w:rsidRPr="00586066">
        <w:rPr>
          <w:rFonts w:ascii="Times New Roman" w:hAnsi="Times New Roman"/>
          <w:szCs w:val="24"/>
          <w:lang w:val="uk-UA"/>
        </w:rPr>
        <w:t>висловити</w:t>
      </w:r>
      <w:r w:rsidR="00432B0E" w:rsidRPr="00586066">
        <w:rPr>
          <w:rFonts w:ascii="Times New Roman" w:hAnsi="Times New Roman"/>
          <w:szCs w:val="24"/>
          <w:lang w:val="uk-UA"/>
        </w:rPr>
        <w:t xml:space="preserve"> </w:t>
      </w:r>
      <w:r w:rsidR="00A0298B" w:rsidRPr="00586066">
        <w:rPr>
          <w:rStyle w:val="hps"/>
          <w:rFonts w:ascii="Times New Roman" w:hAnsi="Times New Roman"/>
          <w:szCs w:val="24"/>
          <w:lang w:val="uk-UA"/>
        </w:rPr>
        <w:t>свою за</w:t>
      </w:r>
      <w:r w:rsidR="00432B0E" w:rsidRPr="00586066">
        <w:rPr>
          <w:rStyle w:val="hps"/>
          <w:rFonts w:ascii="Times New Roman" w:hAnsi="Times New Roman"/>
          <w:szCs w:val="24"/>
          <w:lang w:val="uk-UA"/>
        </w:rPr>
        <w:t>цікавленість у наданні</w:t>
      </w:r>
      <w:r w:rsidR="00A0298B" w:rsidRPr="00586066">
        <w:rPr>
          <w:rStyle w:val="hps"/>
          <w:rFonts w:ascii="Times New Roman" w:hAnsi="Times New Roman"/>
          <w:szCs w:val="24"/>
          <w:lang w:val="uk-UA"/>
        </w:rPr>
        <w:t xml:space="preserve"> </w:t>
      </w:r>
      <w:r w:rsidR="00B9707F" w:rsidRPr="00586066">
        <w:rPr>
          <w:rStyle w:val="hps"/>
          <w:rFonts w:ascii="Times New Roman" w:hAnsi="Times New Roman"/>
          <w:szCs w:val="24"/>
          <w:lang w:val="uk-UA"/>
        </w:rPr>
        <w:t xml:space="preserve">зазначених </w:t>
      </w:r>
      <w:r w:rsidR="001206E5" w:rsidRPr="00586066">
        <w:rPr>
          <w:rStyle w:val="hps"/>
          <w:rFonts w:ascii="Times New Roman" w:hAnsi="Times New Roman"/>
          <w:szCs w:val="24"/>
          <w:lang w:val="uk-UA"/>
        </w:rPr>
        <w:t>Послуг</w:t>
      </w:r>
      <w:r w:rsidR="00A0298B" w:rsidRPr="00586066">
        <w:rPr>
          <w:rFonts w:ascii="Times New Roman" w:hAnsi="Times New Roman"/>
          <w:szCs w:val="24"/>
          <w:lang w:val="uk-UA"/>
        </w:rPr>
        <w:t xml:space="preserve">. </w:t>
      </w:r>
      <w:r w:rsidR="00432B0E" w:rsidRPr="00434263">
        <w:rPr>
          <w:rFonts w:ascii="Times New Roman" w:hAnsi="Times New Roman"/>
          <w:b/>
          <w:bCs/>
          <w:szCs w:val="24"/>
          <w:u w:val="single"/>
          <w:lang w:val="uk-UA"/>
        </w:rPr>
        <w:t>Зацікавлені Консультанти мають надати інформацію, що підтверджує наявність у них кваліфікації та досвіду</w:t>
      </w:r>
      <w:r w:rsidR="00B9707F" w:rsidRPr="00434263">
        <w:rPr>
          <w:rFonts w:ascii="Times New Roman" w:hAnsi="Times New Roman"/>
          <w:b/>
          <w:bCs/>
          <w:szCs w:val="24"/>
          <w:u w:val="single"/>
          <w:lang w:val="uk-UA"/>
        </w:rPr>
        <w:t>, необхідних для виконання Послуг</w:t>
      </w:r>
      <w:r w:rsidR="002F31F9" w:rsidRPr="00434263">
        <w:rPr>
          <w:rFonts w:ascii="Times New Roman" w:hAnsi="Times New Roman"/>
          <w:b/>
          <w:bCs/>
          <w:szCs w:val="24"/>
          <w:u w:val="single"/>
          <w:lang w:val="uk-UA"/>
        </w:rPr>
        <w:t>, а також заповнити форму для визначення відповідності кваліфікаційним критеріям, що наведена нижче.</w:t>
      </w:r>
    </w:p>
    <w:p w14:paraId="65321F87" w14:textId="77777777" w:rsidR="00432B0E" w:rsidRDefault="00B9707F" w:rsidP="00130FA4">
      <w:pPr>
        <w:pStyle w:val="ad"/>
        <w:jc w:val="both"/>
        <w:rPr>
          <w:rFonts w:ascii="Times New Roman" w:hAnsi="Times New Roman"/>
          <w:szCs w:val="24"/>
          <w:lang w:val="uk-UA"/>
        </w:rPr>
      </w:pPr>
      <w:r w:rsidRPr="00586066">
        <w:rPr>
          <w:rFonts w:ascii="Times New Roman" w:hAnsi="Times New Roman"/>
          <w:szCs w:val="24"/>
          <w:lang w:val="uk-UA"/>
        </w:rPr>
        <w:t>В</w:t>
      </w:r>
      <w:r w:rsidR="004B761D" w:rsidRPr="00586066">
        <w:rPr>
          <w:rFonts w:ascii="Times New Roman" w:hAnsi="Times New Roman"/>
          <w:szCs w:val="24"/>
          <w:lang w:val="uk-UA"/>
        </w:rPr>
        <w:t>ідбір найбільш кваліфікованого та досвідченого консультанта для виконання завдання</w:t>
      </w:r>
      <w:r w:rsidR="00E07723" w:rsidRPr="00586066">
        <w:rPr>
          <w:rFonts w:ascii="Times New Roman" w:hAnsi="Times New Roman"/>
          <w:szCs w:val="24"/>
          <w:lang w:val="uk-UA"/>
        </w:rPr>
        <w:t xml:space="preserve"> </w:t>
      </w:r>
      <w:r w:rsidRPr="00586066">
        <w:rPr>
          <w:rFonts w:ascii="Times New Roman" w:hAnsi="Times New Roman"/>
          <w:szCs w:val="24"/>
          <w:lang w:val="uk-UA"/>
        </w:rPr>
        <w:t>здійснюватиметься на основі наступних критеріїв</w:t>
      </w:r>
      <w:r w:rsidR="00432B0E" w:rsidRPr="00586066">
        <w:rPr>
          <w:rFonts w:ascii="Times New Roman" w:hAnsi="Times New Roman"/>
          <w:szCs w:val="24"/>
          <w:lang w:val="uk-UA"/>
        </w:rPr>
        <w:t>:</w:t>
      </w:r>
    </w:p>
    <w:p w14:paraId="253DF632" w14:textId="77777777" w:rsidR="00AC1D15" w:rsidRPr="0069577E" w:rsidRDefault="00AC1D15" w:rsidP="00AC1D15">
      <w:pPr>
        <w:widowControl w:val="0"/>
        <w:tabs>
          <w:tab w:val="left" w:pos="4120"/>
        </w:tabs>
        <w:autoSpaceDE w:val="0"/>
        <w:autoSpaceDN w:val="0"/>
        <w:spacing w:before="60" w:after="60"/>
        <w:ind w:firstLine="426"/>
        <w:jc w:val="both"/>
        <w:rPr>
          <w:rFonts w:ascii="Times New Roman" w:hAnsi="Times New Roman"/>
          <w:i/>
          <w:iCs/>
          <w:sz w:val="24"/>
          <w:szCs w:val="24"/>
          <w:lang w:val="uk-UA"/>
        </w:rPr>
      </w:pPr>
      <w:r w:rsidRPr="0069577E">
        <w:rPr>
          <w:rFonts w:ascii="Times New Roman" w:hAnsi="Times New Roman"/>
          <w:i/>
          <w:iCs/>
          <w:sz w:val="24"/>
          <w:szCs w:val="24"/>
          <w:lang w:val="uk-UA"/>
        </w:rPr>
        <w:t>Обов’язкові вимоги:</w:t>
      </w:r>
    </w:p>
    <w:p w14:paraId="2BFE3D5D" w14:textId="77777777" w:rsidR="0069577E" w:rsidRPr="0069577E" w:rsidRDefault="0069577E" w:rsidP="0069577E">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69577E">
        <w:rPr>
          <w:rFonts w:ascii="Times New Roman" w:hAnsi="Times New Roman" w:hint="eastAsia"/>
          <w:sz w:val="24"/>
          <w:szCs w:val="24"/>
          <w:lang w:val="uk-UA" w:eastAsia="uk-UA"/>
        </w:rPr>
        <w:t>Не</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менше</w:t>
      </w:r>
      <w:r w:rsidRPr="0069577E">
        <w:rPr>
          <w:rFonts w:ascii="Times New Roman" w:hAnsi="Times New Roman"/>
          <w:sz w:val="24"/>
          <w:szCs w:val="24"/>
          <w:lang w:val="uk-UA" w:eastAsia="uk-UA"/>
        </w:rPr>
        <w:t xml:space="preserve"> 5 </w:t>
      </w:r>
      <w:r w:rsidRPr="0069577E">
        <w:rPr>
          <w:rFonts w:ascii="Times New Roman" w:hAnsi="Times New Roman" w:hint="eastAsia"/>
          <w:sz w:val="24"/>
          <w:szCs w:val="24"/>
          <w:lang w:val="uk-UA" w:eastAsia="uk-UA"/>
        </w:rPr>
        <w:t>років</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досвіду</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надання</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консультаційних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верифікаційних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або</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дорадчих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послуг</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суб</w:t>
      </w:r>
      <w:r w:rsidRPr="0069577E">
        <w:rPr>
          <w:rFonts w:ascii="Times New Roman" w:hAnsi="Times New Roman"/>
          <w:sz w:val="24"/>
          <w:szCs w:val="24"/>
          <w:lang w:val="uk-UA" w:eastAsia="uk-UA"/>
        </w:rPr>
        <w:t>'</w:t>
      </w:r>
      <w:r w:rsidRPr="0069577E">
        <w:rPr>
          <w:rFonts w:ascii="Times New Roman" w:hAnsi="Times New Roman" w:hint="eastAsia"/>
          <w:sz w:val="24"/>
          <w:szCs w:val="24"/>
          <w:lang w:val="uk-UA" w:eastAsia="uk-UA"/>
        </w:rPr>
        <w:t>єктам</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державного</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сектору</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включаючи</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органи</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центральної</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або</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місцевої</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влади</w:t>
      </w:r>
      <w:r w:rsidRPr="0069577E">
        <w:rPr>
          <w:rFonts w:ascii="Times New Roman" w:hAnsi="Times New Roman"/>
          <w:sz w:val="24"/>
          <w:szCs w:val="24"/>
          <w:lang w:val="uk-UA" w:eastAsia="uk-UA"/>
        </w:rPr>
        <w:t>;</w:t>
      </w:r>
    </w:p>
    <w:p w14:paraId="5384D88C" w14:textId="77777777" w:rsidR="0069577E" w:rsidRPr="0069577E" w:rsidRDefault="0069577E" w:rsidP="0069577E">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69577E">
        <w:rPr>
          <w:rFonts w:ascii="Times New Roman" w:hAnsi="Times New Roman" w:hint="eastAsia"/>
          <w:sz w:val="24"/>
          <w:szCs w:val="24"/>
          <w:lang w:val="uk-UA" w:eastAsia="uk-UA"/>
        </w:rPr>
        <w:t>Не</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менше</w:t>
      </w:r>
      <w:r w:rsidRPr="0069577E">
        <w:rPr>
          <w:rFonts w:ascii="Times New Roman" w:hAnsi="Times New Roman"/>
          <w:sz w:val="24"/>
          <w:szCs w:val="24"/>
          <w:lang w:val="uk-UA" w:eastAsia="uk-UA"/>
        </w:rPr>
        <w:t xml:space="preserve"> 3 </w:t>
      </w:r>
      <w:r w:rsidRPr="0069577E">
        <w:rPr>
          <w:rFonts w:ascii="Times New Roman" w:hAnsi="Times New Roman" w:hint="eastAsia"/>
          <w:sz w:val="24"/>
          <w:szCs w:val="24"/>
          <w:lang w:val="uk-UA" w:eastAsia="uk-UA"/>
        </w:rPr>
        <w:t>років</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досвіду</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проведення</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аудиту</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або</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оцінці</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державних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ІТ</w:t>
      </w:r>
      <w:r w:rsidRPr="0069577E">
        <w:rPr>
          <w:rFonts w:ascii="Times New Roman" w:hAnsi="Times New Roman"/>
          <w:sz w:val="24"/>
          <w:szCs w:val="24"/>
          <w:lang w:val="uk-UA" w:eastAsia="uk-UA"/>
        </w:rPr>
        <w:t>-</w:t>
      </w:r>
      <w:r w:rsidRPr="0069577E">
        <w:rPr>
          <w:rFonts w:ascii="Times New Roman" w:hAnsi="Times New Roman" w:hint="eastAsia"/>
          <w:sz w:val="24"/>
          <w:szCs w:val="24"/>
          <w:lang w:val="uk-UA" w:eastAsia="uk-UA"/>
        </w:rPr>
        <w:t>систем</w:t>
      </w:r>
      <w:r w:rsidRPr="0069577E">
        <w:rPr>
          <w:rFonts w:ascii="Times New Roman" w:hAnsi="Times New Roman"/>
          <w:sz w:val="24"/>
          <w:szCs w:val="24"/>
          <w:lang w:val="uk-UA" w:eastAsia="uk-UA"/>
        </w:rPr>
        <w:t>;</w:t>
      </w:r>
    </w:p>
    <w:p w14:paraId="2A7462CE" w14:textId="77777777" w:rsidR="0069577E" w:rsidRPr="0069577E" w:rsidRDefault="0069577E" w:rsidP="0069577E">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69577E">
        <w:rPr>
          <w:rFonts w:ascii="Times New Roman" w:hAnsi="Times New Roman" w:hint="eastAsia"/>
          <w:sz w:val="24"/>
          <w:szCs w:val="24"/>
          <w:lang w:val="uk-UA" w:eastAsia="uk-UA"/>
        </w:rPr>
        <w:t>Досвід</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верифікації</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або</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оцінки</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виконання</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бюджетних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планів</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та</w:t>
      </w:r>
      <w:r w:rsidRPr="0069577E">
        <w:rPr>
          <w:rFonts w:ascii="Times New Roman" w:hAnsi="Times New Roman"/>
          <w:sz w:val="24"/>
          <w:szCs w:val="24"/>
          <w:lang w:val="uk-UA" w:eastAsia="uk-UA"/>
        </w:rPr>
        <w:t xml:space="preserve"> / </w:t>
      </w:r>
      <w:r w:rsidRPr="0069577E">
        <w:rPr>
          <w:rFonts w:ascii="Times New Roman" w:hAnsi="Times New Roman" w:hint="eastAsia"/>
          <w:sz w:val="24"/>
          <w:szCs w:val="24"/>
          <w:lang w:val="uk-UA" w:eastAsia="uk-UA"/>
        </w:rPr>
        <w:t>або</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аналізу</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фінансових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потоків</w:t>
      </w:r>
      <w:r w:rsidRPr="0069577E">
        <w:rPr>
          <w:rFonts w:ascii="Times New Roman" w:hAnsi="Times New Roman"/>
          <w:sz w:val="24"/>
          <w:szCs w:val="24"/>
          <w:lang w:val="uk-UA" w:eastAsia="uk-UA"/>
        </w:rPr>
        <w:t>;</w:t>
      </w:r>
    </w:p>
    <w:p w14:paraId="4DFF3A8C" w14:textId="77777777" w:rsidR="0069577E" w:rsidRPr="0069577E" w:rsidRDefault="0069577E" w:rsidP="0069577E">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69577E">
        <w:rPr>
          <w:rFonts w:ascii="Times New Roman" w:hAnsi="Times New Roman" w:hint="eastAsia"/>
          <w:sz w:val="24"/>
          <w:szCs w:val="24"/>
          <w:lang w:val="uk-UA" w:eastAsia="uk-UA"/>
        </w:rPr>
        <w:t>Досвід</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аналізу</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екологічних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ризиків</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та</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оцінки</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кліматичних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заходів</w:t>
      </w:r>
      <w:r w:rsidRPr="0069577E">
        <w:rPr>
          <w:rFonts w:ascii="Times New Roman" w:hAnsi="Times New Roman"/>
          <w:sz w:val="24"/>
          <w:szCs w:val="24"/>
          <w:lang w:val="uk-UA" w:eastAsia="uk-UA"/>
        </w:rPr>
        <w:t>;</w:t>
      </w:r>
    </w:p>
    <w:p w14:paraId="5375F229" w14:textId="77777777" w:rsidR="0069577E" w:rsidRPr="0069577E" w:rsidRDefault="0069577E" w:rsidP="0069577E">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69577E">
        <w:rPr>
          <w:rFonts w:ascii="Times New Roman" w:hAnsi="Times New Roman" w:hint="eastAsia"/>
          <w:sz w:val="24"/>
          <w:szCs w:val="24"/>
          <w:lang w:val="uk-UA" w:eastAsia="uk-UA"/>
        </w:rPr>
        <w:t>Досвід</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підготовки</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аналітичних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звітів</w:t>
      </w:r>
      <w:r w:rsidRPr="0069577E">
        <w:rPr>
          <w:rFonts w:ascii="Times New Roman" w:hAnsi="Times New Roman"/>
          <w:sz w:val="24"/>
          <w:szCs w:val="24"/>
          <w:lang w:val="uk-UA" w:eastAsia="uk-UA"/>
        </w:rPr>
        <w:t>.</w:t>
      </w:r>
    </w:p>
    <w:p w14:paraId="587DBC2D" w14:textId="77777777" w:rsidR="00AC1D15" w:rsidRPr="0069577E" w:rsidRDefault="00AC1D15" w:rsidP="00AC1D15">
      <w:pPr>
        <w:widowControl w:val="0"/>
        <w:tabs>
          <w:tab w:val="left" w:pos="1134"/>
        </w:tabs>
        <w:autoSpaceDE w:val="0"/>
        <w:autoSpaceDN w:val="0"/>
        <w:spacing w:before="60" w:after="60"/>
        <w:ind w:firstLine="426"/>
        <w:jc w:val="both"/>
        <w:rPr>
          <w:rFonts w:ascii="Times New Roman" w:hAnsi="Times New Roman"/>
          <w:i/>
          <w:iCs/>
          <w:sz w:val="24"/>
          <w:szCs w:val="24"/>
          <w:lang w:val="uk-UA"/>
        </w:rPr>
      </w:pPr>
      <w:r w:rsidRPr="0069577E">
        <w:rPr>
          <w:rFonts w:ascii="Times New Roman" w:hAnsi="Times New Roman"/>
          <w:i/>
          <w:iCs/>
          <w:sz w:val="24"/>
          <w:szCs w:val="24"/>
          <w:lang w:val="uk-UA"/>
        </w:rPr>
        <w:t>Бажані вимоги:</w:t>
      </w:r>
    </w:p>
    <w:p w14:paraId="2B24150E" w14:textId="77777777" w:rsidR="0069577E" w:rsidRPr="0069577E" w:rsidRDefault="0069577E" w:rsidP="0069577E">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69577E">
        <w:rPr>
          <w:rFonts w:ascii="Times New Roman" w:hAnsi="Times New Roman" w:hint="eastAsia"/>
          <w:sz w:val="24"/>
          <w:szCs w:val="24"/>
          <w:lang w:val="uk-UA" w:eastAsia="uk-UA"/>
        </w:rPr>
        <w:t>Досвід</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виконання</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аналогічних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завдань</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за</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проектами</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що</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фінансуються</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міжнародними</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фінансовими</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та</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донорськими</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організаціями</w:t>
      </w:r>
      <w:r w:rsidRPr="0069577E">
        <w:rPr>
          <w:rFonts w:ascii="Times New Roman" w:hAnsi="Times New Roman"/>
          <w:sz w:val="24"/>
          <w:szCs w:val="24"/>
          <w:lang w:val="uk-UA" w:eastAsia="uk-UA"/>
        </w:rPr>
        <w:t>;</w:t>
      </w:r>
    </w:p>
    <w:p w14:paraId="2248919B" w14:textId="77777777" w:rsidR="0069577E" w:rsidRPr="0069577E" w:rsidRDefault="0069577E" w:rsidP="0069577E">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69577E">
        <w:rPr>
          <w:rFonts w:ascii="Times New Roman" w:hAnsi="Times New Roman" w:hint="eastAsia"/>
          <w:sz w:val="24"/>
          <w:szCs w:val="24"/>
          <w:lang w:val="uk-UA" w:eastAsia="uk-UA"/>
        </w:rPr>
        <w:t>Наявність</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у</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Консультанта</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актуальних</w:t>
      </w:r>
      <w:r w:rsidRPr="0069577E">
        <w:rPr>
          <w:rFonts w:ascii="Times New Roman" w:hAnsi="Times New Roman"/>
          <w:sz w:val="24"/>
          <w:szCs w:val="24"/>
          <w:lang w:val="uk-UA" w:eastAsia="uk-UA"/>
        </w:rPr>
        <w:t xml:space="preserve"> </w:t>
      </w:r>
      <w:r w:rsidRPr="0069577E">
        <w:rPr>
          <w:rFonts w:ascii="Times New Roman" w:hAnsi="Times New Roman" w:hint="eastAsia"/>
          <w:sz w:val="24"/>
          <w:szCs w:val="24"/>
          <w:lang w:val="uk-UA" w:eastAsia="uk-UA"/>
        </w:rPr>
        <w:t>сертифікатів</w:t>
      </w:r>
      <w:r w:rsidRPr="0069577E">
        <w:rPr>
          <w:rFonts w:ascii="Times New Roman" w:hAnsi="Times New Roman"/>
          <w:sz w:val="24"/>
          <w:szCs w:val="24"/>
          <w:lang w:val="uk-UA" w:eastAsia="uk-UA"/>
        </w:rPr>
        <w:t xml:space="preserve"> ISO 27001 </w:t>
      </w:r>
      <w:r w:rsidRPr="0069577E">
        <w:rPr>
          <w:rFonts w:ascii="Times New Roman" w:hAnsi="Times New Roman" w:hint="eastAsia"/>
          <w:sz w:val="24"/>
          <w:szCs w:val="24"/>
          <w:lang w:val="uk-UA" w:eastAsia="uk-UA"/>
        </w:rPr>
        <w:t>та</w:t>
      </w:r>
      <w:r w:rsidRPr="0069577E">
        <w:rPr>
          <w:rFonts w:ascii="Times New Roman" w:hAnsi="Times New Roman"/>
          <w:sz w:val="24"/>
          <w:szCs w:val="24"/>
          <w:lang w:val="uk-UA" w:eastAsia="uk-UA"/>
        </w:rPr>
        <w:t xml:space="preserve"> ISO 9001.</w:t>
      </w:r>
    </w:p>
    <w:p w14:paraId="65CF74D5" w14:textId="77777777" w:rsidR="00FA553D" w:rsidRDefault="00FA553D" w:rsidP="00BA37F2">
      <w:pPr>
        <w:pStyle w:val="Default"/>
        <w:spacing w:after="120"/>
        <w:jc w:val="both"/>
      </w:pPr>
    </w:p>
    <w:p w14:paraId="239565C8" w14:textId="356E5C15" w:rsidR="00FA553D" w:rsidRDefault="00FA553D" w:rsidP="00BA37F2">
      <w:pPr>
        <w:pStyle w:val="Default"/>
        <w:spacing w:after="120"/>
        <w:jc w:val="both"/>
      </w:pPr>
      <w:r w:rsidRPr="00FA553D">
        <w:rPr>
          <w:rFonts w:hint="eastAsia"/>
        </w:rPr>
        <w:t>Ключові</w:t>
      </w:r>
      <w:r w:rsidRPr="00FA553D">
        <w:t xml:space="preserve"> </w:t>
      </w:r>
      <w:r w:rsidRPr="00FA553D">
        <w:rPr>
          <w:rFonts w:hint="eastAsia"/>
        </w:rPr>
        <w:t>експерти</w:t>
      </w:r>
      <w:r w:rsidRPr="00FA553D">
        <w:t xml:space="preserve"> </w:t>
      </w:r>
      <w:r w:rsidRPr="00FA553D">
        <w:rPr>
          <w:rFonts w:hint="eastAsia"/>
        </w:rPr>
        <w:t>не</w:t>
      </w:r>
      <w:r w:rsidRPr="00FA553D">
        <w:t xml:space="preserve"> </w:t>
      </w:r>
      <w:r w:rsidRPr="00FA553D">
        <w:rPr>
          <w:rFonts w:hint="eastAsia"/>
        </w:rPr>
        <w:t>будуть</w:t>
      </w:r>
      <w:r w:rsidRPr="00FA553D">
        <w:t xml:space="preserve"> </w:t>
      </w:r>
      <w:r w:rsidRPr="00FA553D">
        <w:rPr>
          <w:rFonts w:hint="eastAsia"/>
        </w:rPr>
        <w:t>оцінюватися</w:t>
      </w:r>
      <w:r w:rsidRPr="00FA553D">
        <w:t xml:space="preserve"> </w:t>
      </w:r>
      <w:r w:rsidRPr="00FA553D">
        <w:rPr>
          <w:rFonts w:hint="eastAsia"/>
        </w:rPr>
        <w:t>на</w:t>
      </w:r>
      <w:r w:rsidRPr="00FA553D">
        <w:t xml:space="preserve"> </w:t>
      </w:r>
      <w:r w:rsidRPr="00FA553D">
        <w:rPr>
          <w:rFonts w:hint="eastAsia"/>
        </w:rPr>
        <w:t>етапі</w:t>
      </w:r>
      <w:r w:rsidRPr="00FA553D">
        <w:t xml:space="preserve"> </w:t>
      </w:r>
      <w:r w:rsidRPr="00FA553D">
        <w:rPr>
          <w:rFonts w:hint="eastAsia"/>
        </w:rPr>
        <w:t>оцінки</w:t>
      </w:r>
      <w:r w:rsidRPr="00FA553D">
        <w:t xml:space="preserve"> </w:t>
      </w:r>
      <w:r w:rsidRPr="00FA553D">
        <w:rPr>
          <w:rFonts w:hint="eastAsia"/>
        </w:rPr>
        <w:t>висловлень</w:t>
      </w:r>
      <w:r w:rsidRPr="00FA553D">
        <w:t xml:space="preserve"> </w:t>
      </w:r>
      <w:r w:rsidRPr="00FA553D">
        <w:rPr>
          <w:rFonts w:hint="eastAsia"/>
        </w:rPr>
        <w:t>зацікавленості</w:t>
      </w:r>
      <w:r w:rsidRPr="00FA553D">
        <w:t>.</w:t>
      </w:r>
    </w:p>
    <w:p w14:paraId="37FF522C" w14:textId="65FC855E" w:rsidR="00473F68" w:rsidRPr="0043320A" w:rsidRDefault="00775882" w:rsidP="00BA37F2">
      <w:pPr>
        <w:pStyle w:val="Default"/>
        <w:spacing w:after="120"/>
        <w:jc w:val="both"/>
        <w:rPr>
          <w:rStyle w:val="hps"/>
        </w:rPr>
      </w:pPr>
      <w:r w:rsidRPr="00586066">
        <w:lastRenderedPageBreak/>
        <w:t xml:space="preserve">Звертаємо увагу зацікавлених Консультантів на Розділ ІІІ пункти 3.14, 3.16 та 3.17 Посібника Світового банку </w:t>
      </w:r>
      <w:r w:rsidR="009F79EA" w:rsidRPr="00586066">
        <w:t xml:space="preserve">«Правила закупівель Світового банку для позичальників ФІП», </w:t>
      </w:r>
      <w:r w:rsidR="00F4110F" w:rsidRPr="00586066">
        <w:t>опубліковані у л</w:t>
      </w:r>
      <w:r w:rsidR="006471FA">
        <w:t>ютому 2025</w:t>
      </w:r>
      <w:r w:rsidR="00F4110F" w:rsidRPr="00586066">
        <w:t xml:space="preserve"> року</w:t>
      </w:r>
      <w:r w:rsidRPr="00586066">
        <w:t xml:space="preserve"> (далі – «Правила закупівель»), який містить політику Світового Банку стосовно конфлікту інтересів</w:t>
      </w:r>
      <w:r w:rsidR="00473F68" w:rsidRPr="00586066">
        <w:rPr>
          <w:rStyle w:val="hps"/>
        </w:rPr>
        <w:t>.</w:t>
      </w:r>
    </w:p>
    <w:p w14:paraId="46F13A6D" w14:textId="77777777" w:rsidR="00FA553D" w:rsidRPr="00022313" w:rsidRDefault="00FA553D" w:rsidP="00FA553D">
      <w:pPr>
        <w:suppressAutoHyphens/>
        <w:spacing w:after="120"/>
        <w:jc w:val="both"/>
        <w:rPr>
          <w:rFonts w:ascii="Times New Roman" w:hAnsi="Times New Roman"/>
          <w:sz w:val="24"/>
          <w:szCs w:val="24"/>
          <w:lang w:val="uk-UA"/>
        </w:rPr>
      </w:pPr>
      <w:r w:rsidRPr="00022313">
        <w:rPr>
          <w:rFonts w:ascii="Times New Roman" w:hAnsi="Times New Roman"/>
          <w:sz w:val="24"/>
          <w:szCs w:val="24"/>
          <w:lang w:val="uk-UA"/>
        </w:rPr>
        <w:t>Для підвищення рівня своєї кваліфікації Консультанти можуть об’єднуватись з іншими фірмами, однак мають чітко зазначити об’єднуються вони у формі спільного підприємства чи на правах підрядник-субпідрядник. У разі об’єднання у спільне підприємство, усі його члени несуть солідарну та індивідуальну відповідальність за контрактом (якщо будуть відібрані).</w:t>
      </w:r>
    </w:p>
    <w:p w14:paraId="1940CFBF" w14:textId="0657B882" w:rsidR="007A49C4" w:rsidRPr="00586066" w:rsidRDefault="00FA553D" w:rsidP="007A49C4">
      <w:pPr>
        <w:suppressAutoHyphens/>
        <w:spacing w:after="120"/>
        <w:jc w:val="both"/>
        <w:rPr>
          <w:rStyle w:val="hps"/>
          <w:rFonts w:ascii="Times New Roman" w:hAnsi="Times New Roman"/>
          <w:sz w:val="24"/>
          <w:szCs w:val="24"/>
          <w:lang w:val="uk-UA"/>
        </w:rPr>
      </w:pPr>
      <w:r w:rsidRPr="00022313">
        <w:rPr>
          <w:rFonts w:ascii="Times New Roman" w:hAnsi="Times New Roman"/>
          <w:sz w:val="24"/>
          <w:szCs w:val="24"/>
          <w:lang w:val="uk-UA"/>
        </w:rPr>
        <w:t>Консультанта буде обрано за допомогою методу відбору на основі кваліфікації консультантів (CQS), що детально описаний у Правилах закупівель</w:t>
      </w:r>
      <w:r w:rsidR="007A49C4" w:rsidRPr="00143351">
        <w:rPr>
          <w:rFonts w:ascii="Times New Roman" w:hAnsi="Times New Roman"/>
          <w:color w:val="000000"/>
          <w:sz w:val="24"/>
          <w:szCs w:val="24"/>
          <w:lang w:val="uk-UA" w:eastAsia="uk-UA" w:bidi="uk-UA"/>
        </w:rPr>
        <w:t>.</w:t>
      </w:r>
    </w:p>
    <w:p w14:paraId="77D60CE6" w14:textId="3A893C6B" w:rsidR="00473F68" w:rsidRPr="00586066" w:rsidRDefault="00473F68" w:rsidP="00730B6D">
      <w:pPr>
        <w:suppressAutoHyphens/>
        <w:spacing w:after="120"/>
        <w:jc w:val="both"/>
        <w:rPr>
          <w:rStyle w:val="hps"/>
          <w:rFonts w:ascii="Times New Roman" w:hAnsi="Times New Roman"/>
          <w:sz w:val="24"/>
          <w:szCs w:val="24"/>
          <w:lang w:val="uk-UA"/>
        </w:rPr>
      </w:pPr>
      <w:r w:rsidRPr="00586066">
        <w:rPr>
          <w:rStyle w:val="hps"/>
          <w:rFonts w:ascii="Times New Roman" w:hAnsi="Times New Roman"/>
          <w:sz w:val="24"/>
          <w:szCs w:val="24"/>
          <w:lang w:val="uk-UA"/>
        </w:rPr>
        <w:t xml:space="preserve">Додаткову інформацію можна отримати за </w:t>
      </w:r>
      <w:r w:rsidR="003E6CBF">
        <w:rPr>
          <w:rStyle w:val="hps"/>
          <w:rFonts w:ascii="Times New Roman" w:hAnsi="Times New Roman"/>
          <w:sz w:val="24"/>
          <w:szCs w:val="24"/>
          <w:lang w:val="uk-UA"/>
        </w:rPr>
        <w:t xml:space="preserve">електронною </w:t>
      </w:r>
      <w:r w:rsidRPr="00586066">
        <w:rPr>
          <w:rStyle w:val="hps"/>
          <w:rFonts w:ascii="Times New Roman" w:hAnsi="Times New Roman"/>
          <w:sz w:val="24"/>
          <w:szCs w:val="24"/>
          <w:lang w:val="uk-UA"/>
        </w:rPr>
        <w:t>адресою</w:t>
      </w:r>
      <w:r w:rsidRPr="00586066">
        <w:rPr>
          <w:rFonts w:ascii="Times New Roman" w:hAnsi="Times New Roman"/>
          <w:sz w:val="24"/>
          <w:szCs w:val="24"/>
          <w:lang w:val="uk-UA"/>
        </w:rPr>
        <w:t xml:space="preserve">, що </w:t>
      </w:r>
      <w:r w:rsidR="00580004" w:rsidRPr="00586066">
        <w:rPr>
          <w:rFonts w:ascii="Times New Roman" w:hAnsi="Times New Roman"/>
          <w:sz w:val="24"/>
          <w:szCs w:val="24"/>
          <w:lang w:val="uk-UA"/>
        </w:rPr>
        <w:t>вказана</w:t>
      </w:r>
      <w:r w:rsidRPr="00586066">
        <w:rPr>
          <w:rFonts w:ascii="Times New Roman" w:hAnsi="Times New Roman"/>
          <w:sz w:val="24"/>
          <w:szCs w:val="24"/>
          <w:lang w:val="uk-UA"/>
        </w:rPr>
        <w:t xml:space="preserve"> нижче, з</w:t>
      </w:r>
      <w:r w:rsidR="00B9707F" w:rsidRPr="00586066">
        <w:rPr>
          <w:rStyle w:val="hps"/>
          <w:rFonts w:ascii="Times New Roman" w:hAnsi="Times New Roman"/>
          <w:sz w:val="24"/>
          <w:szCs w:val="24"/>
          <w:lang w:val="uk-UA"/>
        </w:rPr>
        <w:t xml:space="preserve"> 10</w:t>
      </w:r>
      <w:r w:rsidRPr="00586066">
        <w:rPr>
          <w:rStyle w:val="hps"/>
          <w:rFonts w:ascii="Times New Roman" w:hAnsi="Times New Roman"/>
          <w:sz w:val="24"/>
          <w:szCs w:val="24"/>
          <w:lang w:val="uk-UA"/>
        </w:rPr>
        <w:t>:00 до</w:t>
      </w:r>
      <w:r w:rsidRPr="00586066">
        <w:rPr>
          <w:rFonts w:ascii="Times New Roman" w:hAnsi="Times New Roman"/>
          <w:sz w:val="24"/>
          <w:szCs w:val="24"/>
          <w:lang w:val="uk-UA"/>
        </w:rPr>
        <w:t xml:space="preserve"> </w:t>
      </w:r>
      <w:r w:rsidR="00D95B1B" w:rsidRPr="00586066">
        <w:rPr>
          <w:rStyle w:val="hps"/>
          <w:rFonts w:ascii="Times New Roman" w:hAnsi="Times New Roman"/>
          <w:sz w:val="24"/>
          <w:szCs w:val="24"/>
          <w:lang w:val="uk-UA"/>
        </w:rPr>
        <w:t>17</w:t>
      </w:r>
      <w:r w:rsidRPr="00586066">
        <w:rPr>
          <w:rStyle w:val="hps"/>
          <w:rFonts w:ascii="Times New Roman" w:hAnsi="Times New Roman"/>
          <w:sz w:val="24"/>
          <w:szCs w:val="24"/>
          <w:lang w:val="uk-UA"/>
        </w:rPr>
        <w:t>:00</w:t>
      </w:r>
      <w:r w:rsidRPr="00586066">
        <w:rPr>
          <w:rFonts w:ascii="Times New Roman" w:hAnsi="Times New Roman"/>
          <w:sz w:val="24"/>
          <w:szCs w:val="24"/>
          <w:lang w:val="uk-UA"/>
        </w:rPr>
        <w:t xml:space="preserve"> </w:t>
      </w:r>
      <w:r w:rsidR="00492B36" w:rsidRPr="00586066">
        <w:rPr>
          <w:rStyle w:val="hps"/>
          <w:rFonts w:ascii="Times New Roman" w:hAnsi="Times New Roman"/>
          <w:sz w:val="24"/>
          <w:szCs w:val="24"/>
          <w:lang w:val="uk-UA"/>
        </w:rPr>
        <w:t xml:space="preserve">години за місцевим </w:t>
      </w:r>
      <w:r w:rsidR="00492B36" w:rsidRPr="00477D23">
        <w:rPr>
          <w:rStyle w:val="hps"/>
          <w:rFonts w:ascii="Times New Roman" w:hAnsi="Times New Roman"/>
          <w:sz w:val="24"/>
          <w:szCs w:val="24"/>
          <w:lang w:val="uk-UA"/>
        </w:rPr>
        <w:t>часом</w:t>
      </w:r>
      <w:r w:rsidR="00477D23" w:rsidRPr="00477D23">
        <w:rPr>
          <w:rStyle w:val="hps"/>
          <w:rFonts w:ascii="Times New Roman" w:hAnsi="Times New Roman"/>
          <w:sz w:val="24"/>
          <w:szCs w:val="24"/>
          <w:lang w:val="uk-UA"/>
        </w:rPr>
        <w:t xml:space="preserve"> з понеділка по п’ятницю</w:t>
      </w:r>
      <w:r w:rsidR="00492B36" w:rsidRPr="00477D23">
        <w:rPr>
          <w:rStyle w:val="hps"/>
          <w:rFonts w:ascii="Times New Roman" w:hAnsi="Times New Roman"/>
          <w:sz w:val="24"/>
          <w:szCs w:val="24"/>
          <w:lang w:val="uk-UA"/>
        </w:rPr>
        <w:t>.</w:t>
      </w:r>
    </w:p>
    <w:p w14:paraId="69B9DE05" w14:textId="5BBFB62B" w:rsidR="00473F68" w:rsidRPr="00586066" w:rsidRDefault="00485342" w:rsidP="00730B6D">
      <w:pPr>
        <w:suppressAutoHyphens/>
        <w:spacing w:after="120"/>
        <w:jc w:val="both"/>
        <w:rPr>
          <w:rStyle w:val="hps"/>
          <w:rFonts w:ascii="Times New Roman" w:hAnsi="Times New Roman"/>
          <w:b/>
          <w:sz w:val="24"/>
          <w:szCs w:val="24"/>
          <w:lang w:val="uk-UA"/>
        </w:rPr>
      </w:pPr>
      <w:r w:rsidRPr="00586066">
        <w:rPr>
          <w:rStyle w:val="hps"/>
          <w:rFonts w:ascii="Times New Roman" w:hAnsi="Times New Roman"/>
          <w:sz w:val="24"/>
          <w:szCs w:val="24"/>
          <w:lang w:val="uk-UA"/>
        </w:rPr>
        <w:t>Висло</w:t>
      </w:r>
      <w:r w:rsidR="00E74DC0" w:rsidRPr="00586066">
        <w:rPr>
          <w:rStyle w:val="hps"/>
          <w:rFonts w:ascii="Times New Roman" w:hAnsi="Times New Roman"/>
          <w:sz w:val="24"/>
          <w:szCs w:val="24"/>
          <w:lang w:val="uk-UA"/>
        </w:rPr>
        <w:t>влення зацікавленості</w:t>
      </w:r>
      <w:r w:rsidR="00473F68" w:rsidRPr="00586066">
        <w:rPr>
          <w:rStyle w:val="hps"/>
          <w:rFonts w:ascii="Times New Roman" w:hAnsi="Times New Roman"/>
          <w:sz w:val="24"/>
          <w:szCs w:val="24"/>
          <w:lang w:val="uk-UA"/>
        </w:rPr>
        <w:t xml:space="preserve"> </w:t>
      </w:r>
      <w:r w:rsidR="00E74DC0" w:rsidRPr="00586066">
        <w:rPr>
          <w:rStyle w:val="hps"/>
          <w:rFonts w:ascii="Times New Roman" w:hAnsi="Times New Roman"/>
          <w:sz w:val="24"/>
          <w:szCs w:val="24"/>
          <w:lang w:val="uk-UA"/>
        </w:rPr>
        <w:t xml:space="preserve">мають бути доставлені </w:t>
      </w:r>
      <w:r w:rsidR="00473F68" w:rsidRPr="00586066">
        <w:rPr>
          <w:rStyle w:val="hps"/>
          <w:rFonts w:ascii="Times New Roman" w:hAnsi="Times New Roman"/>
          <w:sz w:val="24"/>
          <w:szCs w:val="24"/>
          <w:lang w:val="uk-UA"/>
        </w:rPr>
        <w:t>у письмовій формі</w:t>
      </w:r>
      <w:r w:rsidR="00473F68" w:rsidRPr="00586066">
        <w:rPr>
          <w:rFonts w:ascii="Times New Roman" w:hAnsi="Times New Roman"/>
          <w:sz w:val="24"/>
          <w:szCs w:val="24"/>
          <w:lang w:val="uk-UA"/>
        </w:rPr>
        <w:t xml:space="preserve"> </w:t>
      </w:r>
      <w:r w:rsidR="00F4110F" w:rsidRPr="00586066">
        <w:rPr>
          <w:rFonts w:ascii="Times New Roman" w:hAnsi="Times New Roman"/>
          <w:b/>
          <w:sz w:val="24"/>
          <w:szCs w:val="24"/>
          <w:lang w:val="uk-UA"/>
        </w:rPr>
        <w:t>українською</w:t>
      </w:r>
      <w:r w:rsidR="00F4110F" w:rsidRPr="00586066">
        <w:rPr>
          <w:rFonts w:ascii="Times New Roman" w:hAnsi="Times New Roman"/>
          <w:sz w:val="24"/>
          <w:szCs w:val="24"/>
          <w:lang w:val="uk-UA"/>
        </w:rPr>
        <w:t xml:space="preserve"> </w:t>
      </w:r>
      <w:r w:rsidR="008A4096" w:rsidRPr="003F5A03">
        <w:rPr>
          <w:rFonts w:ascii="Times New Roman" w:hAnsi="Times New Roman"/>
          <w:b/>
          <w:bCs/>
          <w:sz w:val="24"/>
          <w:szCs w:val="24"/>
          <w:lang w:val="uk-UA"/>
        </w:rPr>
        <w:t>мовою</w:t>
      </w:r>
      <w:r w:rsidR="008A4096" w:rsidRPr="00586066">
        <w:rPr>
          <w:rFonts w:ascii="Times New Roman" w:hAnsi="Times New Roman"/>
          <w:sz w:val="24"/>
          <w:szCs w:val="24"/>
          <w:lang w:val="uk-UA"/>
        </w:rPr>
        <w:t xml:space="preserve"> </w:t>
      </w:r>
      <w:r w:rsidR="00473F68" w:rsidRPr="00586066">
        <w:rPr>
          <w:rFonts w:ascii="Times New Roman" w:hAnsi="Times New Roman"/>
          <w:sz w:val="24"/>
          <w:szCs w:val="24"/>
          <w:lang w:val="uk-UA"/>
        </w:rPr>
        <w:t>за зазначеною нижче адресою е</w:t>
      </w:r>
      <w:r w:rsidR="00473F68" w:rsidRPr="00586066">
        <w:rPr>
          <w:rStyle w:val="hps"/>
          <w:rFonts w:ascii="Times New Roman" w:hAnsi="Times New Roman"/>
          <w:sz w:val="24"/>
          <w:szCs w:val="24"/>
          <w:lang w:val="uk-UA"/>
        </w:rPr>
        <w:t>лектронно</w:t>
      </w:r>
      <w:r w:rsidR="00586066" w:rsidRPr="00586066">
        <w:rPr>
          <w:rStyle w:val="hps"/>
          <w:rFonts w:ascii="Times New Roman" w:hAnsi="Times New Roman"/>
          <w:sz w:val="24"/>
          <w:szCs w:val="24"/>
          <w:lang w:val="uk-UA"/>
        </w:rPr>
        <w:t>ї</w:t>
      </w:r>
      <w:r w:rsidR="00473F68" w:rsidRPr="00586066">
        <w:rPr>
          <w:rFonts w:ascii="Times New Roman" w:hAnsi="Times New Roman"/>
          <w:sz w:val="24"/>
          <w:szCs w:val="24"/>
          <w:lang w:val="uk-UA"/>
        </w:rPr>
        <w:t xml:space="preserve"> </w:t>
      </w:r>
      <w:r w:rsidR="00473F68" w:rsidRPr="00586066">
        <w:rPr>
          <w:rStyle w:val="hps"/>
          <w:rFonts w:ascii="Times New Roman" w:hAnsi="Times New Roman"/>
          <w:sz w:val="24"/>
          <w:szCs w:val="24"/>
          <w:lang w:val="uk-UA"/>
        </w:rPr>
        <w:t>пошт</w:t>
      </w:r>
      <w:r w:rsidR="00586066" w:rsidRPr="00586066">
        <w:rPr>
          <w:rStyle w:val="hps"/>
          <w:rFonts w:ascii="Times New Roman" w:hAnsi="Times New Roman"/>
          <w:sz w:val="24"/>
          <w:szCs w:val="24"/>
          <w:lang w:val="uk-UA"/>
        </w:rPr>
        <w:t>и</w:t>
      </w:r>
      <w:r w:rsidR="00473F68" w:rsidRPr="00586066">
        <w:rPr>
          <w:rFonts w:ascii="Times New Roman" w:hAnsi="Times New Roman"/>
          <w:sz w:val="24"/>
          <w:szCs w:val="24"/>
          <w:lang w:val="uk-UA"/>
        </w:rPr>
        <w:t xml:space="preserve"> </w:t>
      </w:r>
      <w:r w:rsidR="00473F68" w:rsidRPr="00586066">
        <w:rPr>
          <w:rStyle w:val="hps"/>
          <w:rFonts w:ascii="Times New Roman" w:hAnsi="Times New Roman"/>
          <w:b/>
          <w:sz w:val="24"/>
          <w:szCs w:val="24"/>
          <w:lang w:val="uk-UA"/>
        </w:rPr>
        <w:t xml:space="preserve">до </w:t>
      </w:r>
      <w:r w:rsidR="009F79EA" w:rsidRPr="00586066">
        <w:rPr>
          <w:rStyle w:val="hps"/>
          <w:rFonts w:ascii="Times New Roman" w:hAnsi="Times New Roman"/>
          <w:b/>
          <w:sz w:val="24"/>
          <w:szCs w:val="24"/>
          <w:lang w:val="uk-UA"/>
        </w:rPr>
        <w:t>1</w:t>
      </w:r>
      <w:r w:rsidR="000E3C8B" w:rsidRPr="00586066">
        <w:rPr>
          <w:rStyle w:val="hps"/>
          <w:rFonts w:ascii="Times New Roman" w:hAnsi="Times New Roman"/>
          <w:b/>
          <w:sz w:val="24"/>
          <w:szCs w:val="24"/>
          <w:lang w:val="uk-UA"/>
        </w:rPr>
        <w:t>7</w:t>
      </w:r>
      <w:r w:rsidR="009F79EA" w:rsidRPr="00586066">
        <w:rPr>
          <w:rStyle w:val="hps"/>
          <w:rFonts w:ascii="Times New Roman" w:hAnsi="Times New Roman"/>
          <w:b/>
          <w:sz w:val="24"/>
          <w:szCs w:val="24"/>
          <w:lang w:val="uk-UA"/>
        </w:rPr>
        <w:t xml:space="preserve">:00 за київським часом </w:t>
      </w:r>
      <w:r w:rsidR="00DB2F8A">
        <w:rPr>
          <w:rStyle w:val="hps"/>
          <w:rFonts w:ascii="Times New Roman" w:hAnsi="Times New Roman"/>
          <w:b/>
          <w:sz w:val="24"/>
          <w:szCs w:val="24"/>
          <w:lang w:val="uk-UA"/>
        </w:rPr>
        <w:t>12</w:t>
      </w:r>
      <w:r w:rsidR="00956D23">
        <w:rPr>
          <w:rStyle w:val="hps"/>
          <w:rFonts w:ascii="Times New Roman" w:hAnsi="Times New Roman"/>
          <w:b/>
          <w:sz w:val="24"/>
          <w:szCs w:val="24"/>
          <w:lang w:val="uk-UA"/>
        </w:rPr>
        <w:t> </w:t>
      </w:r>
      <w:r w:rsidR="00DB2F8A">
        <w:rPr>
          <w:rStyle w:val="hps"/>
          <w:rFonts w:ascii="Times New Roman" w:hAnsi="Times New Roman"/>
          <w:b/>
          <w:sz w:val="24"/>
          <w:szCs w:val="24"/>
          <w:lang w:val="uk-UA"/>
        </w:rPr>
        <w:t>серпня</w:t>
      </w:r>
      <w:r w:rsidR="00956D23">
        <w:rPr>
          <w:rStyle w:val="hps"/>
          <w:rFonts w:ascii="Times New Roman" w:hAnsi="Times New Roman"/>
          <w:b/>
          <w:sz w:val="24"/>
          <w:szCs w:val="24"/>
          <w:lang w:val="uk-UA"/>
        </w:rPr>
        <w:t> </w:t>
      </w:r>
      <w:r w:rsidR="003F44CA" w:rsidRPr="00586066">
        <w:rPr>
          <w:rStyle w:val="hps"/>
          <w:rFonts w:ascii="Times New Roman" w:hAnsi="Times New Roman"/>
          <w:b/>
          <w:sz w:val="24"/>
          <w:szCs w:val="24"/>
          <w:lang w:val="uk-UA"/>
        </w:rPr>
        <w:t>202</w:t>
      </w:r>
      <w:r w:rsidR="00667372">
        <w:rPr>
          <w:rStyle w:val="hps"/>
          <w:rFonts w:ascii="Times New Roman" w:hAnsi="Times New Roman"/>
          <w:b/>
          <w:sz w:val="24"/>
          <w:szCs w:val="24"/>
          <w:lang w:val="uk-UA"/>
        </w:rPr>
        <w:t>6</w:t>
      </w:r>
      <w:r w:rsidR="003E6CBF">
        <w:rPr>
          <w:rStyle w:val="hps"/>
          <w:rFonts w:ascii="Times New Roman" w:hAnsi="Times New Roman"/>
          <w:b/>
          <w:sz w:val="24"/>
          <w:szCs w:val="24"/>
          <w:lang w:val="uk-UA"/>
        </w:rPr>
        <w:t> </w:t>
      </w:r>
      <w:r w:rsidR="00E5321A">
        <w:rPr>
          <w:rStyle w:val="hps"/>
          <w:rFonts w:ascii="Times New Roman" w:hAnsi="Times New Roman"/>
          <w:b/>
          <w:sz w:val="24"/>
          <w:szCs w:val="24"/>
          <w:lang w:val="uk-UA"/>
        </w:rPr>
        <w:t>року</w:t>
      </w:r>
      <w:r w:rsidR="00006ECF" w:rsidRPr="00586066">
        <w:rPr>
          <w:rStyle w:val="hps"/>
          <w:rFonts w:ascii="Times New Roman" w:hAnsi="Times New Roman"/>
          <w:sz w:val="24"/>
          <w:szCs w:val="24"/>
          <w:lang w:val="uk-UA"/>
        </w:rPr>
        <w:t xml:space="preserve">. </w:t>
      </w:r>
      <w:r w:rsidRPr="00586066">
        <w:rPr>
          <w:rStyle w:val="hps"/>
          <w:rFonts w:ascii="Times New Roman" w:hAnsi="Times New Roman"/>
          <w:sz w:val="24"/>
          <w:szCs w:val="24"/>
          <w:lang w:val="uk-UA"/>
        </w:rPr>
        <w:t>Висловлення</w:t>
      </w:r>
      <w:r w:rsidR="00A33157" w:rsidRPr="00586066">
        <w:rPr>
          <w:rStyle w:val="hps"/>
          <w:rFonts w:ascii="Times New Roman" w:hAnsi="Times New Roman"/>
          <w:sz w:val="24"/>
          <w:szCs w:val="24"/>
          <w:lang w:val="uk-UA"/>
        </w:rPr>
        <w:t xml:space="preserve"> </w:t>
      </w:r>
      <w:r w:rsidR="00006ECF" w:rsidRPr="00586066">
        <w:rPr>
          <w:rStyle w:val="hps"/>
          <w:rFonts w:ascii="Times New Roman" w:hAnsi="Times New Roman"/>
          <w:sz w:val="24"/>
          <w:szCs w:val="24"/>
          <w:lang w:val="uk-UA"/>
        </w:rPr>
        <w:t xml:space="preserve">зацікавленості </w:t>
      </w:r>
      <w:r w:rsidR="00A33157" w:rsidRPr="00586066">
        <w:rPr>
          <w:rStyle w:val="hps"/>
          <w:rFonts w:ascii="Times New Roman" w:hAnsi="Times New Roman"/>
          <w:sz w:val="24"/>
          <w:szCs w:val="24"/>
          <w:lang w:val="uk-UA"/>
        </w:rPr>
        <w:t xml:space="preserve">необхідно подавати </w:t>
      </w:r>
      <w:r w:rsidR="00526109" w:rsidRPr="00586066">
        <w:rPr>
          <w:rStyle w:val="hps"/>
          <w:rFonts w:ascii="Times New Roman" w:hAnsi="Times New Roman"/>
          <w:sz w:val="24"/>
          <w:szCs w:val="24"/>
          <w:lang w:val="uk-UA"/>
        </w:rPr>
        <w:t>і</w:t>
      </w:r>
      <w:r w:rsidR="00A33157" w:rsidRPr="00586066">
        <w:rPr>
          <w:rStyle w:val="hps"/>
          <w:rFonts w:ascii="Times New Roman" w:hAnsi="Times New Roman"/>
          <w:sz w:val="24"/>
          <w:szCs w:val="24"/>
          <w:lang w:val="uk-UA"/>
        </w:rPr>
        <w:t>з зазначенням наступної теми</w:t>
      </w:r>
      <w:r w:rsidR="00006ECF" w:rsidRPr="00586066">
        <w:rPr>
          <w:rStyle w:val="hps"/>
          <w:rFonts w:ascii="Times New Roman" w:hAnsi="Times New Roman"/>
          <w:sz w:val="24"/>
          <w:szCs w:val="24"/>
          <w:lang w:val="uk-UA"/>
        </w:rPr>
        <w:t xml:space="preserve">: </w:t>
      </w:r>
      <w:r w:rsidR="006128BD" w:rsidRPr="00586066">
        <w:rPr>
          <w:rStyle w:val="hps"/>
          <w:rFonts w:ascii="Times New Roman" w:hAnsi="Times New Roman"/>
          <w:b/>
          <w:sz w:val="24"/>
          <w:szCs w:val="24"/>
          <w:lang w:val="uk-UA"/>
        </w:rPr>
        <w:t>«</w:t>
      </w:r>
      <w:r w:rsidR="00FA553D" w:rsidRPr="00FA553D">
        <w:rPr>
          <w:rFonts w:ascii="Times New Roman" w:hAnsi="Times New Roman"/>
          <w:b/>
          <w:spacing w:val="-2"/>
          <w:sz w:val="24"/>
          <w:szCs w:val="24"/>
          <w:lang w:val="uk-UA"/>
        </w:rPr>
        <w:t>CQS-6.3.1</w:t>
      </w:r>
      <w:r w:rsidR="006128BD" w:rsidRPr="00586066">
        <w:rPr>
          <w:rStyle w:val="hps"/>
          <w:rFonts w:ascii="Times New Roman" w:hAnsi="Times New Roman"/>
          <w:b/>
          <w:sz w:val="24"/>
          <w:szCs w:val="24"/>
          <w:lang w:val="uk-UA"/>
        </w:rPr>
        <w:t>:</w:t>
      </w:r>
      <w:r w:rsidR="00681B14" w:rsidRPr="00586066">
        <w:rPr>
          <w:rStyle w:val="hps"/>
          <w:rFonts w:ascii="Times New Roman" w:hAnsi="Times New Roman"/>
          <w:b/>
          <w:sz w:val="24"/>
          <w:szCs w:val="24"/>
          <w:lang w:val="uk-UA"/>
        </w:rPr>
        <w:t xml:space="preserve"> </w:t>
      </w:r>
      <w:r w:rsidRPr="00586066">
        <w:rPr>
          <w:rStyle w:val="hps"/>
          <w:rFonts w:ascii="Times New Roman" w:hAnsi="Times New Roman"/>
          <w:b/>
          <w:sz w:val="24"/>
          <w:szCs w:val="24"/>
          <w:lang w:val="uk-UA"/>
        </w:rPr>
        <w:t>Вислов</w:t>
      </w:r>
      <w:r w:rsidR="00F43AFB" w:rsidRPr="00586066">
        <w:rPr>
          <w:rStyle w:val="hps"/>
          <w:rFonts w:ascii="Times New Roman" w:hAnsi="Times New Roman"/>
          <w:b/>
          <w:sz w:val="24"/>
          <w:szCs w:val="24"/>
          <w:lang w:val="uk-UA"/>
        </w:rPr>
        <w:t>лення зацікавленості»</w:t>
      </w:r>
      <w:r w:rsidR="00473F68" w:rsidRPr="00586066">
        <w:rPr>
          <w:rStyle w:val="hps"/>
          <w:rFonts w:ascii="Times New Roman" w:hAnsi="Times New Roman"/>
          <w:b/>
          <w:sz w:val="24"/>
          <w:szCs w:val="24"/>
          <w:lang w:val="uk-UA"/>
        </w:rPr>
        <w:t>.</w:t>
      </w:r>
    </w:p>
    <w:p w14:paraId="1A87596F" w14:textId="77777777" w:rsidR="00F77990" w:rsidRPr="00586066" w:rsidRDefault="00F77990" w:rsidP="00F77990">
      <w:pPr>
        <w:suppressAutoHyphens/>
        <w:jc w:val="both"/>
        <w:rPr>
          <w:rFonts w:ascii="Times New Roman" w:hAnsi="Times New Roman"/>
          <w:iCs/>
          <w:sz w:val="24"/>
          <w:szCs w:val="24"/>
          <w:lang w:val="uk-UA"/>
        </w:rPr>
      </w:pPr>
      <w:r w:rsidRPr="00586066">
        <w:rPr>
          <w:rFonts w:ascii="Times New Roman" w:hAnsi="Times New Roman"/>
          <w:iCs/>
          <w:spacing w:val="-2"/>
          <w:sz w:val="24"/>
          <w:szCs w:val="24"/>
          <w:lang w:val="uk-UA"/>
        </w:rPr>
        <w:t>Адрес</w:t>
      </w:r>
      <w:r w:rsidR="00F4110F" w:rsidRPr="00586066">
        <w:rPr>
          <w:rFonts w:ascii="Times New Roman" w:hAnsi="Times New Roman"/>
          <w:iCs/>
          <w:spacing w:val="-2"/>
          <w:sz w:val="24"/>
          <w:szCs w:val="24"/>
          <w:lang w:val="uk-UA"/>
        </w:rPr>
        <w:t>и</w:t>
      </w:r>
      <w:r w:rsidRPr="00586066">
        <w:rPr>
          <w:rFonts w:ascii="Times New Roman" w:hAnsi="Times New Roman"/>
          <w:iCs/>
          <w:spacing w:val="-2"/>
          <w:sz w:val="24"/>
          <w:szCs w:val="24"/>
          <w:lang w:val="uk-UA"/>
        </w:rPr>
        <w:t>, що згадуються вище, наступні</w:t>
      </w:r>
      <w:r w:rsidRPr="00586066">
        <w:rPr>
          <w:rFonts w:ascii="Times New Roman" w:hAnsi="Times New Roman"/>
          <w:iCs/>
          <w:sz w:val="24"/>
          <w:szCs w:val="24"/>
          <w:lang w:val="uk-UA"/>
        </w:rPr>
        <w:t>:</w:t>
      </w:r>
    </w:p>
    <w:p w14:paraId="557EB537" w14:textId="39647BFD" w:rsidR="00F77990" w:rsidRPr="00FD0E23" w:rsidRDefault="00F77990" w:rsidP="00F4110F">
      <w:pPr>
        <w:suppressAutoHyphens/>
        <w:jc w:val="both"/>
        <w:rPr>
          <w:sz w:val="24"/>
          <w:szCs w:val="24"/>
          <w:lang w:val="ru-RU"/>
        </w:rPr>
      </w:pPr>
      <w:r w:rsidRPr="00586066">
        <w:rPr>
          <w:rFonts w:ascii="Times New Roman" w:hAnsi="Times New Roman"/>
          <w:iCs/>
          <w:sz w:val="24"/>
          <w:szCs w:val="24"/>
          <w:lang w:val="uk-UA"/>
        </w:rPr>
        <w:t xml:space="preserve">Ел. пошта: </w:t>
      </w:r>
      <w:bookmarkStart w:id="0" w:name="_Hlk214186638"/>
      <w:r w:rsidR="003E6CBF">
        <w:fldChar w:fldCharType="begin"/>
      </w:r>
      <w:r w:rsidR="003E6CBF">
        <w:instrText>HYPERLINK</w:instrText>
      </w:r>
      <w:r w:rsidR="003E6CBF" w:rsidRPr="00FD0E23">
        <w:rPr>
          <w:lang w:val="ru-RU"/>
        </w:rPr>
        <w:instrText xml:space="preserve"> "</w:instrText>
      </w:r>
      <w:r w:rsidR="003E6CBF">
        <w:instrText>mailto</w:instrText>
      </w:r>
      <w:r w:rsidR="003E6CBF" w:rsidRPr="00FD0E23">
        <w:rPr>
          <w:lang w:val="ru-RU"/>
        </w:rPr>
        <w:instrText>:</w:instrText>
      </w:r>
      <w:r w:rsidR="003E6CBF">
        <w:instrText>oszhyganov</w:instrText>
      </w:r>
      <w:r w:rsidR="003E6CBF" w:rsidRPr="00FD0E23">
        <w:rPr>
          <w:lang w:val="ru-RU"/>
        </w:rPr>
        <w:instrText>.</w:instrText>
      </w:r>
      <w:r w:rsidR="003E6CBF">
        <w:instrText>wb</w:instrText>
      </w:r>
      <w:r w:rsidR="003E6CBF" w:rsidRPr="00FD0E23">
        <w:rPr>
          <w:lang w:val="ru-RU"/>
        </w:rPr>
        <w:instrText>.</w:instrText>
      </w:r>
      <w:r w:rsidR="003E6CBF">
        <w:instrText>procurement</w:instrText>
      </w:r>
      <w:r w:rsidR="003E6CBF" w:rsidRPr="00FD0E23">
        <w:rPr>
          <w:lang w:val="ru-RU"/>
        </w:rPr>
        <w:instrText>@</w:instrText>
      </w:r>
      <w:r w:rsidR="003E6CBF">
        <w:instrText>gmail</w:instrText>
      </w:r>
      <w:r w:rsidR="003E6CBF" w:rsidRPr="00FD0E23">
        <w:rPr>
          <w:lang w:val="ru-RU"/>
        </w:rPr>
        <w:instrText>.</w:instrText>
      </w:r>
      <w:r w:rsidR="003E6CBF">
        <w:instrText>com</w:instrText>
      </w:r>
      <w:r w:rsidR="003E6CBF" w:rsidRPr="00FD0E23">
        <w:rPr>
          <w:lang w:val="ru-RU"/>
        </w:rPr>
        <w:instrText>"</w:instrText>
      </w:r>
      <w:r w:rsidR="003E6CBF">
        <w:fldChar w:fldCharType="separate"/>
      </w:r>
      <w:r w:rsidR="003E6CBF" w:rsidRPr="00E66DFF">
        <w:rPr>
          <w:rStyle w:val="ae"/>
          <w:sz w:val="24"/>
          <w:szCs w:val="24"/>
          <w:lang w:val="uk-UA"/>
        </w:rPr>
        <w:t>oszhyganov.wb.procurement@gmail.com</w:t>
      </w:r>
      <w:r w:rsidR="003E6CBF">
        <w:fldChar w:fldCharType="end"/>
      </w:r>
      <w:r w:rsidRPr="00586066">
        <w:rPr>
          <w:rFonts w:ascii="Times New Roman" w:hAnsi="Times New Roman"/>
          <w:iCs/>
          <w:sz w:val="24"/>
          <w:szCs w:val="24"/>
          <w:lang w:val="uk-UA"/>
        </w:rPr>
        <w:t xml:space="preserve">, </w:t>
      </w:r>
      <w:bookmarkEnd w:id="0"/>
      <w:r w:rsidR="00F4110F" w:rsidRPr="00586066">
        <w:rPr>
          <w:rFonts w:ascii="Times New Roman" w:hAnsi="Times New Roman"/>
          <w:b/>
          <w:iCs/>
          <w:sz w:val="24"/>
          <w:szCs w:val="24"/>
          <w:lang w:val="uk-UA"/>
        </w:rPr>
        <w:t>обов’язков</w:t>
      </w:r>
      <w:r w:rsidR="003E6CBF">
        <w:rPr>
          <w:rFonts w:ascii="Times New Roman" w:hAnsi="Times New Roman"/>
          <w:b/>
          <w:iCs/>
          <w:sz w:val="24"/>
          <w:szCs w:val="24"/>
          <w:lang w:val="uk-UA"/>
        </w:rPr>
        <w:t>а</w:t>
      </w:r>
      <w:r w:rsidR="00F4110F" w:rsidRPr="00586066">
        <w:rPr>
          <w:rFonts w:ascii="Times New Roman" w:hAnsi="Times New Roman"/>
          <w:b/>
          <w:iCs/>
          <w:sz w:val="24"/>
          <w:szCs w:val="24"/>
          <w:lang w:val="uk-UA"/>
        </w:rPr>
        <w:t xml:space="preserve"> </w:t>
      </w:r>
      <w:r w:rsidRPr="00586066">
        <w:rPr>
          <w:rFonts w:ascii="Times New Roman" w:hAnsi="Times New Roman"/>
          <w:b/>
          <w:iCs/>
          <w:sz w:val="24"/>
          <w:szCs w:val="24"/>
          <w:lang w:val="uk-UA"/>
        </w:rPr>
        <w:t>копія</w:t>
      </w:r>
      <w:r w:rsidRPr="00586066">
        <w:rPr>
          <w:rFonts w:ascii="Times New Roman" w:hAnsi="Times New Roman"/>
          <w:iCs/>
          <w:sz w:val="24"/>
          <w:szCs w:val="24"/>
          <w:lang w:val="uk-UA"/>
        </w:rPr>
        <w:t xml:space="preserve"> на</w:t>
      </w:r>
      <w:r w:rsidR="003E6CBF" w:rsidRPr="00FD0E23">
        <w:rPr>
          <w:rFonts w:ascii="Times New Roman" w:hAnsi="Times New Roman"/>
          <w:iCs/>
          <w:sz w:val="24"/>
          <w:szCs w:val="24"/>
          <w:lang w:val="ru-RU"/>
        </w:rPr>
        <w:t xml:space="preserve"> </w:t>
      </w:r>
      <w:bookmarkStart w:id="1" w:name="_Hlk214186652"/>
      <w:r w:rsidR="003E6CBF">
        <w:fldChar w:fldCharType="begin"/>
      </w:r>
      <w:r w:rsidR="003E6CBF">
        <w:instrText>HYPERLINK</w:instrText>
      </w:r>
      <w:r w:rsidR="003E6CBF" w:rsidRPr="00FD0E23">
        <w:rPr>
          <w:lang w:val="ru-RU"/>
        </w:rPr>
        <w:instrText xml:space="preserve"> "</w:instrText>
      </w:r>
      <w:r w:rsidR="003E6CBF">
        <w:instrText>mailto</w:instrText>
      </w:r>
      <w:r w:rsidR="003E6CBF" w:rsidRPr="00FD0E23">
        <w:rPr>
          <w:lang w:val="ru-RU"/>
        </w:rPr>
        <w:instrText>:</w:instrText>
      </w:r>
      <w:r w:rsidR="003E6CBF">
        <w:instrText>ytashuta</w:instrText>
      </w:r>
      <w:r w:rsidR="003E6CBF" w:rsidRPr="00FD0E23">
        <w:rPr>
          <w:lang w:val="ru-RU"/>
        </w:rPr>
        <w:instrText>@</w:instrText>
      </w:r>
      <w:r w:rsidR="003E6CBF">
        <w:instrText>minfin</w:instrText>
      </w:r>
      <w:r w:rsidR="003E6CBF" w:rsidRPr="00FD0E23">
        <w:rPr>
          <w:lang w:val="ru-RU"/>
        </w:rPr>
        <w:instrText>.</w:instrText>
      </w:r>
      <w:r w:rsidR="003E6CBF">
        <w:instrText>gov</w:instrText>
      </w:r>
      <w:r w:rsidR="003E6CBF" w:rsidRPr="00FD0E23">
        <w:rPr>
          <w:lang w:val="ru-RU"/>
        </w:rPr>
        <w:instrText>.</w:instrText>
      </w:r>
      <w:r w:rsidR="003E6CBF">
        <w:instrText>ua</w:instrText>
      </w:r>
      <w:r w:rsidR="003E6CBF" w:rsidRPr="00FD0E23">
        <w:rPr>
          <w:lang w:val="ru-RU"/>
        </w:rPr>
        <w:instrText>"</w:instrText>
      </w:r>
      <w:r w:rsidR="003E6CBF">
        <w:fldChar w:fldCharType="separate"/>
      </w:r>
      <w:r w:rsidR="003E6CBF" w:rsidRPr="00E66DFF">
        <w:rPr>
          <w:rStyle w:val="ae"/>
          <w:rFonts w:ascii="Times New Roman" w:hAnsi="Times New Roman"/>
          <w:iCs/>
          <w:sz w:val="24"/>
          <w:szCs w:val="24"/>
        </w:rPr>
        <w:t>ytashuta</w:t>
      </w:r>
      <w:r w:rsidR="003E6CBF" w:rsidRPr="00FD0E23">
        <w:rPr>
          <w:rStyle w:val="ae"/>
          <w:rFonts w:ascii="Times New Roman" w:hAnsi="Times New Roman"/>
          <w:iCs/>
          <w:sz w:val="24"/>
          <w:szCs w:val="24"/>
          <w:lang w:val="ru-RU"/>
        </w:rPr>
        <w:t>@</w:t>
      </w:r>
      <w:r w:rsidR="003E6CBF" w:rsidRPr="00E66DFF">
        <w:rPr>
          <w:rStyle w:val="ae"/>
          <w:rFonts w:ascii="Times New Roman" w:hAnsi="Times New Roman"/>
          <w:iCs/>
          <w:sz w:val="24"/>
          <w:szCs w:val="24"/>
        </w:rPr>
        <w:t>minfin</w:t>
      </w:r>
      <w:r w:rsidR="003E6CBF" w:rsidRPr="00FD0E23">
        <w:rPr>
          <w:rStyle w:val="ae"/>
          <w:rFonts w:ascii="Times New Roman" w:hAnsi="Times New Roman"/>
          <w:iCs/>
          <w:sz w:val="24"/>
          <w:szCs w:val="24"/>
          <w:lang w:val="ru-RU"/>
        </w:rPr>
        <w:t>.</w:t>
      </w:r>
      <w:r w:rsidR="003E6CBF" w:rsidRPr="00E66DFF">
        <w:rPr>
          <w:rStyle w:val="ae"/>
          <w:rFonts w:ascii="Times New Roman" w:hAnsi="Times New Roman"/>
          <w:iCs/>
          <w:sz w:val="24"/>
          <w:szCs w:val="24"/>
        </w:rPr>
        <w:t>gov</w:t>
      </w:r>
      <w:r w:rsidR="003E6CBF" w:rsidRPr="00FD0E23">
        <w:rPr>
          <w:rStyle w:val="ae"/>
          <w:rFonts w:ascii="Times New Roman" w:hAnsi="Times New Roman"/>
          <w:iCs/>
          <w:sz w:val="24"/>
          <w:szCs w:val="24"/>
          <w:lang w:val="ru-RU"/>
        </w:rPr>
        <w:t>.</w:t>
      </w:r>
      <w:r w:rsidR="003E6CBF" w:rsidRPr="00E66DFF">
        <w:rPr>
          <w:rStyle w:val="ae"/>
          <w:rFonts w:ascii="Times New Roman" w:hAnsi="Times New Roman"/>
          <w:iCs/>
          <w:sz w:val="24"/>
          <w:szCs w:val="24"/>
        </w:rPr>
        <w:t>ua</w:t>
      </w:r>
      <w:r w:rsidR="003E6CBF">
        <w:fldChar w:fldCharType="end"/>
      </w:r>
      <w:r w:rsidR="003E6CBF" w:rsidRPr="00FD0E23">
        <w:rPr>
          <w:rFonts w:ascii="Times New Roman" w:hAnsi="Times New Roman"/>
          <w:iCs/>
          <w:sz w:val="24"/>
          <w:szCs w:val="24"/>
          <w:lang w:val="ru-RU"/>
        </w:rPr>
        <w:t xml:space="preserve">. </w:t>
      </w:r>
    </w:p>
    <w:bookmarkEnd w:id="1"/>
    <w:p w14:paraId="78FADA2A" w14:textId="77777777" w:rsidR="009830E4" w:rsidRDefault="009830E4" w:rsidP="00F77990">
      <w:pPr>
        <w:suppressAutoHyphens/>
        <w:spacing w:after="120"/>
        <w:jc w:val="both"/>
        <w:rPr>
          <w:rFonts w:ascii="Times New Roman" w:hAnsi="Times New Roman"/>
          <w:spacing w:val="-2"/>
          <w:lang w:val="uk-UA"/>
        </w:rPr>
      </w:pPr>
    </w:p>
    <w:p w14:paraId="58F0D2A8" w14:textId="77777777" w:rsidR="003F5A03" w:rsidRDefault="003F5A03" w:rsidP="003F5A03">
      <w:pPr>
        <w:suppressAutoHyphens/>
        <w:spacing w:after="120"/>
        <w:jc w:val="both"/>
        <w:rPr>
          <w:rFonts w:ascii="Times New Roman" w:hAnsi="Times New Roman"/>
          <w:spacing w:val="-2"/>
          <w:sz w:val="24"/>
          <w:szCs w:val="24"/>
          <w:lang w:val="uk-UA"/>
        </w:rPr>
      </w:pPr>
      <w:r w:rsidRPr="00AF0E78">
        <w:rPr>
          <w:rFonts w:ascii="Times New Roman" w:hAnsi="Times New Roman"/>
          <w:spacing w:val="-2"/>
          <w:sz w:val="24"/>
          <w:szCs w:val="24"/>
          <w:lang w:val="uk-UA"/>
        </w:rPr>
        <w:t>Додат</w:t>
      </w:r>
      <w:r>
        <w:rPr>
          <w:rFonts w:ascii="Times New Roman" w:hAnsi="Times New Roman"/>
          <w:spacing w:val="-2"/>
          <w:sz w:val="24"/>
          <w:szCs w:val="24"/>
          <w:lang w:val="uk-UA"/>
        </w:rPr>
        <w:t>ки</w:t>
      </w:r>
      <w:r w:rsidRPr="00AF0E78">
        <w:rPr>
          <w:rFonts w:ascii="Times New Roman" w:hAnsi="Times New Roman"/>
          <w:spacing w:val="-2"/>
          <w:sz w:val="24"/>
          <w:szCs w:val="24"/>
          <w:lang w:val="uk-UA"/>
        </w:rPr>
        <w:t xml:space="preserve">: </w:t>
      </w:r>
    </w:p>
    <w:p w14:paraId="29CE4E79" w14:textId="4612E9DF" w:rsidR="003F5A03" w:rsidRPr="004B5507" w:rsidRDefault="003F5A03" w:rsidP="003F5A03">
      <w:pPr>
        <w:suppressAutoHyphens/>
        <w:spacing w:after="120"/>
        <w:jc w:val="both"/>
        <w:rPr>
          <w:rFonts w:ascii="Times New Roman" w:hAnsi="Times New Roman"/>
          <w:b/>
          <w:bCs/>
          <w:spacing w:val="-2"/>
          <w:sz w:val="24"/>
          <w:szCs w:val="24"/>
          <w:lang w:val="uk-UA"/>
        </w:rPr>
      </w:pPr>
      <w:r>
        <w:rPr>
          <w:rFonts w:ascii="Times New Roman" w:hAnsi="Times New Roman"/>
          <w:spacing w:val="-2"/>
          <w:sz w:val="24"/>
          <w:szCs w:val="24"/>
          <w:lang w:val="uk-UA"/>
        </w:rPr>
        <w:t>1) Додаток 1 «</w:t>
      </w:r>
      <w:r w:rsidRPr="004B5507">
        <w:rPr>
          <w:rFonts w:ascii="Times New Roman" w:hAnsi="Times New Roman"/>
          <w:spacing w:val="-2"/>
          <w:sz w:val="24"/>
          <w:szCs w:val="24"/>
          <w:lang w:val="uk-UA"/>
        </w:rPr>
        <w:t xml:space="preserve">Форма </w:t>
      </w:r>
      <w:r w:rsidRPr="003F5A03">
        <w:rPr>
          <w:rFonts w:ascii="Times New Roman" w:hAnsi="Times New Roman"/>
          <w:spacing w:val="-2"/>
          <w:sz w:val="24"/>
          <w:szCs w:val="24"/>
          <w:lang w:val="uk-UA"/>
        </w:rPr>
        <w:t>щодо відповідності кваліфікаційним вимогам</w:t>
      </w:r>
      <w:r>
        <w:rPr>
          <w:rFonts w:ascii="Times New Roman" w:hAnsi="Times New Roman"/>
          <w:spacing w:val="-2"/>
          <w:sz w:val="24"/>
          <w:szCs w:val="24"/>
          <w:lang w:val="uk-UA"/>
        </w:rPr>
        <w:t>»;</w:t>
      </w:r>
    </w:p>
    <w:p w14:paraId="6AA550D2" w14:textId="1E45CCC8" w:rsidR="003F5A03" w:rsidRPr="00AF0E78" w:rsidRDefault="003F5A03" w:rsidP="003F5A03">
      <w:pPr>
        <w:suppressAutoHyphens/>
        <w:spacing w:after="120"/>
        <w:rPr>
          <w:rFonts w:ascii="Times New Roman" w:hAnsi="Times New Roman"/>
          <w:spacing w:val="-2"/>
          <w:sz w:val="24"/>
          <w:szCs w:val="24"/>
          <w:lang w:val="uk-UA"/>
        </w:rPr>
      </w:pPr>
      <w:r>
        <w:rPr>
          <w:rFonts w:ascii="Times New Roman" w:hAnsi="Times New Roman"/>
          <w:spacing w:val="-2"/>
          <w:sz w:val="24"/>
          <w:szCs w:val="24"/>
          <w:lang w:val="uk-UA"/>
        </w:rPr>
        <w:t>2) Додаток 2 «</w:t>
      </w:r>
      <w:r w:rsidRPr="00AF0E78">
        <w:rPr>
          <w:rFonts w:ascii="Times New Roman" w:hAnsi="Times New Roman"/>
          <w:spacing w:val="-2"/>
          <w:sz w:val="24"/>
          <w:szCs w:val="24"/>
          <w:lang w:val="uk-UA"/>
        </w:rPr>
        <w:t>Технічне завдання</w:t>
      </w:r>
      <w:r>
        <w:rPr>
          <w:rFonts w:ascii="Times New Roman" w:hAnsi="Times New Roman"/>
          <w:spacing w:val="-2"/>
          <w:sz w:val="24"/>
          <w:szCs w:val="24"/>
          <w:lang w:val="uk-UA"/>
        </w:rPr>
        <w:t>».</w:t>
      </w:r>
    </w:p>
    <w:p w14:paraId="1F31B6D5" w14:textId="77777777" w:rsidR="003F5A03" w:rsidRPr="00586066" w:rsidRDefault="003F5A03" w:rsidP="00F77990">
      <w:pPr>
        <w:suppressAutoHyphens/>
        <w:spacing w:after="120"/>
        <w:jc w:val="both"/>
        <w:rPr>
          <w:rFonts w:ascii="Times New Roman" w:hAnsi="Times New Roman"/>
          <w:spacing w:val="-2"/>
          <w:lang w:val="uk-UA"/>
        </w:rPr>
      </w:pPr>
    </w:p>
    <w:p w14:paraId="4A907FA2" w14:textId="77777777" w:rsidR="00A7533D" w:rsidRPr="00586066" w:rsidRDefault="00A7533D" w:rsidP="00F77990">
      <w:pPr>
        <w:suppressAutoHyphens/>
        <w:spacing w:after="120"/>
        <w:jc w:val="both"/>
        <w:rPr>
          <w:rFonts w:ascii="Times New Roman" w:hAnsi="Times New Roman"/>
          <w:spacing w:val="-2"/>
          <w:lang w:val="uk-UA"/>
        </w:rPr>
      </w:pPr>
    </w:p>
    <w:p w14:paraId="247D45CA" w14:textId="77777777" w:rsidR="00E02211" w:rsidRPr="00586066" w:rsidRDefault="00E02211" w:rsidP="00F77990">
      <w:pPr>
        <w:suppressAutoHyphens/>
        <w:spacing w:after="120"/>
        <w:jc w:val="both"/>
        <w:rPr>
          <w:rFonts w:ascii="Times New Roman" w:hAnsi="Times New Roman"/>
          <w:spacing w:val="-2"/>
          <w:lang w:val="uk-UA"/>
        </w:rPr>
      </w:pPr>
    </w:p>
    <w:p w14:paraId="74EB2B59" w14:textId="77777777" w:rsidR="00130FA4" w:rsidRPr="00586066" w:rsidRDefault="00130FA4" w:rsidP="00130FA4">
      <w:pPr>
        <w:tabs>
          <w:tab w:val="center" w:pos="4680"/>
        </w:tabs>
        <w:suppressAutoHyphens/>
        <w:jc w:val="center"/>
        <w:rPr>
          <w:rFonts w:ascii="Times New Roman" w:eastAsia="MS Mincho" w:hAnsi="Times New Roman"/>
          <w:b/>
          <w:bCs/>
          <w:color w:val="000000"/>
          <w:sz w:val="28"/>
          <w:szCs w:val="28"/>
          <w:lang w:val="uk-UA"/>
        </w:rPr>
      </w:pPr>
      <w:r w:rsidRPr="00586066">
        <w:rPr>
          <w:rFonts w:ascii="Times New Roman" w:eastAsia="MS Mincho" w:hAnsi="Times New Roman"/>
          <w:b/>
          <w:bCs/>
          <w:color w:val="000000"/>
          <w:sz w:val="28"/>
          <w:szCs w:val="28"/>
          <w:lang w:val="uk-UA"/>
        </w:rPr>
        <w:br w:type="page"/>
      </w:r>
    </w:p>
    <w:p w14:paraId="3A1BBF14" w14:textId="77777777" w:rsidR="003F5A03" w:rsidRDefault="003F5A03" w:rsidP="003F5A03">
      <w:pPr>
        <w:jc w:val="right"/>
        <w:rPr>
          <w:rFonts w:ascii="Times New Roman" w:hAnsi="Times New Roman"/>
          <w:b/>
          <w:bCs/>
          <w:spacing w:val="-2"/>
          <w:sz w:val="24"/>
          <w:szCs w:val="24"/>
          <w:lang w:val="uk-UA"/>
        </w:rPr>
      </w:pPr>
      <w:r>
        <w:rPr>
          <w:rFonts w:ascii="Times New Roman" w:hAnsi="Times New Roman"/>
          <w:b/>
          <w:bCs/>
          <w:spacing w:val="-2"/>
          <w:sz w:val="24"/>
          <w:szCs w:val="24"/>
          <w:lang w:val="uk-UA"/>
        </w:rPr>
        <w:lastRenderedPageBreak/>
        <w:t>ДОДАТОК 1</w:t>
      </w:r>
    </w:p>
    <w:p w14:paraId="0695C10D" w14:textId="77777777" w:rsidR="003F5A03" w:rsidRDefault="003F5A03" w:rsidP="00D127E0">
      <w:pPr>
        <w:jc w:val="center"/>
        <w:rPr>
          <w:rFonts w:ascii="Times New Roman" w:hAnsi="Times New Roman"/>
          <w:b/>
          <w:bCs/>
          <w:sz w:val="24"/>
          <w:szCs w:val="24"/>
          <w:lang w:val="uk-UA"/>
        </w:rPr>
      </w:pPr>
    </w:p>
    <w:p w14:paraId="5D6A6220" w14:textId="70CA7E54" w:rsidR="00D127E0" w:rsidRPr="0043320A" w:rsidRDefault="00D127E0" w:rsidP="00D127E0">
      <w:pPr>
        <w:jc w:val="center"/>
        <w:rPr>
          <w:rFonts w:ascii="Times New Roman" w:hAnsi="Times New Roman"/>
          <w:b/>
          <w:bCs/>
          <w:sz w:val="24"/>
          <w:szCs w:val="24"/>
          <w:lang w:val="uk-UA"/>
        </w:rPr>
      </w:pPr>
      <w:r w:rsidRPr="0043320A">
        <w:rPr>
          <w:rFonts w:ascii="Times New Roman" w:hAnsi="Times New Roman"/>
          <w:b/>
          <w:bCs/>
          <w:sz w:val="24"/>
          <w:szCs w:val="24"/>
          <w:lang w:val="uk-UA"/>
        </w:rPr>
        <w:t xml:space="preserve">ФОРМА </w:t>
      </w:r>
      <w:r w:rsidR="003F5A03" w:rsidRPr="003F5A03">
        <w:rPr>
          <w:rFonts w:ascii="Times New Roman" w:hAnsi="Times New Roman"/>
          <w:b/>
          <w:bCs/>
          <w:sz w:val="24"/>
          <w:szCs w:val="24"/>
          <w:lang w:val="uk-UA"/>
        </w:rPr>
        <w:t>ЩОДО ВІДПОВІДНОСТІ КВАЛІФІКАЦІЙНИМ ВИМОГА</w:t>
      </w:r>
      <w:r w:rsidR="003F5A03">
        <w:rPr>
          <w:rFonts w:ascii="Times New Roman" w:hAnsi="Times New Roman"/>
          <w:b/>
          <w:bCs/>
          <w:sz w:val="24"/>
          <w:szCs w:val="24"/>
          <w:lang w:val="uk-UA"/>
        </w:rPr>
        <w:t>М</w:t>
      </w:r>
    </w:p>
    <w:p w14:paraId="554341F0" w14:textId="1F426174" w:rsidR="00D127E0" w:rsidRPr="0043320A" w:rsidRDefault="00D127E0" w:rsidP="00D127E0">
      <w:pPr>
        <w:jc w:val="center"/>
        <w:rPr>
          <w:rFonts w:ascii="Times New Roman" w:hAnsi="Times New Roman"/>
          <w:b/>
          <w:bCs/>
          <w:sz w:val="24"/>
          <w:szCs w:val="24"/>
          <w:lang w:val="uk-UA"/>
        </w:rPr>
      </w:pPr>
      <w:r w:rsidRPr="0043320A">
        <w:rPr>
          <w:rFonts w:ascii="Times New Roman" w:hAnsi="Times New Roman"/>
          <w:b/>
          <w:bCs/>
          <w:sz w:val="24"/>
          <w:szCs w:val="24"/>
          <w:lang w:val="uk-UA"/>
        </w:rPr>
        <w:t xml:space="preserve">у </w:t>
      </w:r>
      <w:r w:rsidR="003F5A03">
        <w:rPr>
          <w:rFonts w:ascii="Times New Roman" w:hAnsi="Times New Roman"/>
          <w:b/>
          <w:bCs/>
          <w:sz w:val="24"/>
          <w:szCs w:val="24"/>
          <w:lang w:val="uk-UA"/>
        </w:rPr>
        <w:t>межах</w:t>
      </w:r>
      <w:r w:rsidRPr="0043320A">
        <w:rPr>
          <w:rFonts w:ascii="Times New Roman" w:hAnsi="Times New Roman"/>
          <w:b/>
          <w:bCs/>
          <w:sz w:val="24"/>
          <w:szCs w:val="24"/>
          <w:lang w:val="uk-UA"/>
        </w:rPr>
        <w:t xml:space="preserve"> відбору </w:t>
      </w:r>
      <w:r w:rsidR="0069577E" w:rsidRPr="0069577E">
        <w:rPr>
          <w:rFonts w:ascii="Times New Roman" w:hAnsi="Times New Roman" w:hint="eastAsia"/>
          <w:b/>
          <w:bCs/>
          <w:sz w:val="24"/>
          <w:szCs w:val="24"/>
          <w:lang w:val="uk-UA"/>
        </w:rPr>
        <w:t>Агент</w:t>
      </w:r>
      <w:r w:rsidR="0069577E">
        <w:rPr>
          <w:rFonts w:ascii="Times New Roman" w:hAnsi="Times New Roman" w:hint="eastAsia"/>
          <w:b/>
          <w:bCs/>
          <w:sz w:val="24"/>
          <w:szCs w:val="24"/>
        </w:rPr>
        <w:t>а</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з</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верифікації</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для</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підтвердження</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досягнення</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Результатів</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пов</w:t>
      </w:r>
      <w:r w:rsidR="0069577E" w:rsidRPr="0069577E">
        <w:rPr>
          <w:rFonts w:ascii="Times New Roman" w:hAnsi="Times New Roman"/>
          <w:b/>
          <w:bCs/>
          <w:sz w:val="24"/>
          <w:szCs w:val="24"/>
          <w:lang w:val="uk-UA"/>
        </w:rPr>
        <w:t>ʼ</w:t>
      </w:r>
      <w:r w:rsidR="0069577E" w:rsidRPr="0069577E">
        <w:rPr>
          <w:rFonts w:ascii="Times New Roman" w:hAnsi="Times New Roman" w:hint="eastAsia"/>
          <w:b/>
          <w:bCs/>
          <w:sz w:val="24"/>
          <w:szCs w:val="24"/>
          <w:lang w:val="uk-UA"/>
        </w:rPr>
        <w:t>язаних</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з</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вибіркою</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коштів</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за</w:t>
      </w:r>
      <w:r w:rsidR="0069577E" w:rsidRPr="0069577E">
        <w:rPr>
          <w:rFonts w:ascii="Times New Roman" w:hAnsi="Times New Roman"/>
          <w:b/>
          <w:bCs/>
          <w:sz w:val="24"/>
          <w:szCs w:val="24"/>
          <w:lang w:val="uk-UA"/>
        </w:rPr>
        <w:t xml:space="preserve"> </w:t>
      </w:r>
      <w:r w:rsidR="0069577E" w:rsidRPr="0069577E">
        <w:rPr>
          <w:rFonts w:ascii="Times New Roman" w:hAnsi="Times New Roman" w:hint="eastAsia"/>
          <w:b/>
          <w:bCs/>
          <w:sz w:val="24"/>
          <w:szCs w:val="24"/>
          <w:lang w:val="uk-UA"/>
        </w:rPr>
        <w:t>Програмою</w:t>
      </w:r>
      <w:r w:rsidR="0069577E" w:rsidRPr="0069577E">
        <w:rPr>
          <w:rFonts w:ascii="Times New Roman" w:hAnsi="Times New Roman"/>
          <w:b/>
          <w:bCs/>
          <w:sz w:val="24"/>
          <w:szCs w:val="24"/>
          <w:lang w:val="uk-UA"/>
        </w:rPr>
        <w:t xml:space="preserve"> SURGE </w:t>
      </w:r>
      <w:r w:rsidRPr="0043320A">
        <w:rPr>
          <w:rFonts w:ascii="Times New Roman" w:hAnsi="Times New Roman"/>
          <w:b/>
          <w:bCs/>
          <w:sz w:val="24"/>
          <w:szCs w:val="24"/>
          <w:lang w:val="uk-UA"/>
        </w:rPr>
        <w:t>(№</w:t>
      </w:r>
      <w:r w:rsidR="003E6CBF">
        <w:rPr>
          <w:rFonts w:ascii="Times New Roman" w:hAnsi="Times New Roman"/>
          <w:b/>
          <w:bCs/>
          <w:sz w:val="24"/>
          <w:szCs w:val="24"/>
          <w:lang w:val="uk-UA"/>
        </w:rPr>
        <w:t> </w:t>
      </w:r>
      <w:r w:rsidR="0069577E" w:rsidRPr="00FA553D">
        <w:rPr>
          <w:rFonts w:ascii="Times New Roman" w:hAnsi="Times New Roman"/>
          <w:b/>
          <w:spacing w:val="-2"/>
          <w:sz w:val="24"/>
          <w:szCs w:val="24"/>
          <w:lang w:val="uk-UA"/>
        </w:rPr>
        <w:t>CQS-6.3.1</w:t>
      </w:r>
      <w:r w:rsidR="0069577E">
        <w:rPr>
          <w:rFonts w:ascii="Times New Roman" w:hAnsi="Times New Roman"/>
          <w:b/>
          <w:spacing w:val="-2"/>
          <w:sz w:val="24"/>
          <w:szCs w:val="24"/>
          <w:lang w:val="uk-UA"/>
        </w:rPr>
        <w:t>)</w:t>
      </w:r>
    </w:p>
    <w:p w14:paraId="23451091" w14:textId="77777777" w:rsidR="00D127E0" w:rsidRPr="005001F2" w:rsidRDefault="00D127E0" w:rsidP="00D127E0">
      <w:pPr>
        <w:jc w:val="center"/>
        <w:rPr>
          <w:rFonts w:ascii="Times New Roman" w:hAnsi="Times New Roman"/>
          <w:b/>
          <w:bCs/>
          <w:sz w:val="24"/>
          <w:szCs w:val="24"/>
          <w:lang w:val="uk-UA"/>
        </w:rPr>
      </w:pPr>
    </w:p>
    <w:tbl>
      <w:tblPr>
        <w:tblStyle w:val="afa"/>
        <w:tblW w:w="10207" w:type="dxa"/>
        <w:tblInd w:w="-431" w:type="dxa"/>
        <w:tblLook w:val="04A0" w:firstRow="1" w:lastRow="0" w:firstColumn="1" w:lastColumn="0" w:noHBand="0" w:noVBand="1"/>
      </w:tblPr>
      <w:tblGrid>
        <w:gridCol w:w="704"/>
        <w:gridCol w:w="4536"/>
        <w:gridCol w:w="4967"/>
      </w:tblGrid>
      <w:tr w:rsidR="00D127E0" w:rsidRPr="00D127E0" w14:paraId="77DFC306" w14:textId="77777777" w:rsidTr="003F5A03">
        <w:tc>
          <w:tcPr>
            <w:tcW w:w="704" w:type="dxa"/>
            <w:tcBorders>
              <w:bottom w:val="single" w:sz="4" w:space="0" w:color="auto"/>
            </w:tcBorders>
          </w:tcPr>
          <w:p w14:paraId="104565A3" w14:textId="77777777" w:rsidR="00D127E0" w:rsidRPr="00D127E0" w:rsidRDefault="00D127E0">
            <w:pPr>
              <w:jc w:val="center"/>
              <w:rPr>
                <w:rFonts w:ascii="Times New Roman" w:hAnsi="Times New Roman" w:cs="Times New Roman"/>
                <w:b/>
                <w:bCs/>
                <w:sz w:val="24"/>
                <w:szCs w:val="24"/>
                <w:lang w:val="uk-UA"/>
              </w:rPr>
            </w:pPr>
            <w:bookmarkStart w:id="2" w:name="_Hlk214187041"/>
            <w:r w:rsidRPr="00D127E0">
              <w:rPr>
                <w:rFonts w:ascii="Times New Roman" w:hAnsi="Times New Roman" w:cs="Times New Roman"/>
                <w:b/>
                <w:bCs/>
                <w:sz w:val="24"/>
                <w:szCs w:val="24"/>
                <w:lang w:val="uk-UA"/>
              </w:rPr>
              <w:t>№ п/п</w:t>
            </w:r>
          </w:p>
        </w:tc>
        <w:tc>
          <w:tcPr>
            <w:tcW w:w="4536" w:type="dxa"/>
            <w:tcBorders>
              <w:bottom w:val="single" w:sz="4" w:space="0" w:color="auto"/>
            </w:tcBorders>
          </w:tcPr>
          <w:p w14:paraId="5158E2B3" w14:textId="77777777" w:rsidR="00D127E0" w:rsidRPr="00D127E0" w:rsidRDefault="00D127E0">
            <w:pPr>
              <w:jc w:val="center"/>
              <w:rPr>
                <w:rFonts w:ascii="Times New Roman" w:hAnsi="Times New Roman" w:cs="Times New Roman"/>
                <w:b/>
                <w:bCs/>
                <w:sz w:val="24"/>
                <w:szCs w:val="24"/>
                <w:lang w:val="uk-UA"/>
              </w:rPr>
            </w:pPr>
            <w:r w:rsidRPr="00D127E0">
              <w:rPr>
                <w:rFonts w:ascii="Times New Roman" w:hAnsi="Times New Roman" w:cs="Times New Roman"/>
                <w:b/>
                <w:bCs/>
                <w:sz w:val="24"/>
                <w:szCs w:val="24"/>
                <w:lang w:val="uk-UA"/>
              </w:rPr>
              <w:t>Критерій, передбачений Технічним завданням</w:t>
            </w:r>
          </w:p>
        </w:tc>
        <w:tc>
          <w:tcPr>
            <w:tcW w:w="4967" w:type="dxa"/>
            <w:tcBorders>
              <w:bottom w:val="single" w:sz="4" w:space="0" w:color="auto"/>
            </w:tcBorders>
          </w:tcPr>
          <w:p w14:paraId="59FDC79D" w14:textId="77777777" w:rsidR="00D127E0" w:rsidRPr="00D127E0" w:rsidRDefault="00D127E0">
            <w:pPr>
              <w:jc w:val="center"/>
              <w:rPr>
                <w:rFonts w:ascii="Times New Roman" w:hAnsi="Times New Roman" w:cs="Times New Roman"/>
                <w:b/>
                <w:bCs/>
                <w:sz w:val="24"/>
                <w:szCs w:val="24"/>
                <w:lang w:val="uk-UA"/>
              </w:rPr>
            </w:pPr>
            <w:r w:rsidRPr="00D127E0">
              <w:rPr>
                <w:rFonts w:ascii="Times New Roman" w:hAnsi="Times New Roman" w:cs="Times New Roman"/>
                <w:b/>
                <w:bCs/>
                <w:sz w:val="24"/>
                <w:szCs w:val="24"/>
                <w:lang w:val="uk-UA"/>
              </w:rPr>
              <w:t>Відповідність критерію</w:t>
            </w:r>
          </w:p>
        </w:tc>
      </w:tr>
      <w:tr w:rsidR="00956D23" w:rsidRPr="00D127E0" w14:paraId="274FDBA5" w14:textId="77777777" w:rsidTr="003F5A03">
        <w:tc>
          <w:tcPr>
            <w:tcW w:w="704" w:type="dxa"/>
            <w:tcBorders>
              <w:top w:val="single" w:sz="4" w:space="0" w:color="auto"/>
              <w:left w:val="single" w:sz="4" w:space="0" w:color="auto"/>
              <w:bottom w:val="single" w:sz="4" w:space="0" w:color="auto"/>
              <w:right w:val="nil"/>
            </w:tcBorders>
          </w:tcPr>
          <w:p w14:paraId="7E7BB7F1" w14:textId="77777777" w:rsidR="00956D23" w:rsidRPr="00D127E0" w:rsidRDefault="00956D23" w:rsidP="003F5A03">
            <w:pPr>
              <w:spacing w:before="60" w:after="60"/>
              <w:jc w:val="center"/>
              <w:rPr>
                <w:rFonts w:ascii="Times New Roman" w:hAnsi="Times New Roman"/>
                <w:b/>
                <w:bCs/>
                <w:sz w:val="24"/>
                <w:szCs w:val="24"/>
                <w:lang w:val="uk-UA"/>
              </w:rPr>
            </w:pPr>
          </w:p>
        </w:tc>
        <w:tc>
          <w:tcPr>
            <w:tcW w:w="4536" w:type="dxa"/>
            <w:tcBorders>
              <w:top w:val="single" w:sz="4" w:space="0" w:color="auto"/>
              <w:left w:val="nil"/>
              <w:bottom w:val="single" w:sz="4" w:space="0" w:color="auto"/>
              <w:right w:val="nil"/>
            </w:tcBorders>
          </w:tcPr>
          <w:p w14:paraId="6B4CA4E4" w14:textId="406281DD" w:rsidR="00956D23" w:rsidRPr="003F5A03" w:rsidRDefault="003F5A03" w:rsidP="003F5A03">
            <w:pPr>
              <w:widowControl w:val="0"/>
              <w:tabs>
                <w:tab w:val="left" w:pos="4120"/>
              </w:tabs>
              <w:spacing w:before="60" w:after="60"/>
              <w:jc w:val="both"/>
              <w:rPr>
                <w:rFonts w:ascii="Times New Roman" w:hAnsi="Times New Roman" w:cs="Times New Roman"/>
                <w:i/>
                <w:iCs/>
                <w:sz w:val="24"/>
                <w:szCs w:val="24"/>
                <w:u w:val="single"/>
                <w:lang w:val="uk-UA"/>
              </w:rPr>
            </w:pPr>
            <w:r w:rsidRPr="00667372">
              <w:rPr>
                <w:rFonts w:ascii="Times New Roman" w:hAnsi="Times New Roman" w:cs="Times New Roman"/>
                <w:i/>
                <w:iCs/>
                <w:sz w:val="24"/>
                <w:szCs w:val="24"/>
                <w:u w:val="single"/>
                <w:lang w:val="uk-UA"/>
              </w:rPr>
              <w:t>Обов’язкові вимоги:</w:t>
            </w:r>
          </w:p>
        </w:tc>
        <w:tc>
          <w:tcPr>
            <w:tcW w:w="4967" w:type="dxa"/>
            <w:tcBorders>
              <w:top w:val="single" w:sz="4" w:space="0" w:color="auto"/>
              <w:left w:val="nil"/>
              <w:bottom w:val="single" w:sz="4" w:space="0" w:color="auto"/>
              <w:right w:val="single" w:sz="4" w:space="0" w:color="auto"/>
            </w:tcBorders>
          </w:tcPr>
          <w:p w14:paraId="765EA0E8" w14:textId="77777777" w:rsidR="00956D23" w:rsidRPr="00D127E0" w:rsidRDefault="00956D23" w:rsidP="003F5A03">
            <w:pPr>
              <w:spacing w:before="60" w:after="60"/>
              <w:jc w:val="center"/>
              <w:rPr>
                <w:rFonts w:ascii="Times New Roman" w:hAnsi="Times New Roman"/>
                <w:b/>
                <w:bCs/>
                <w:sz w:val="24"/>
                <w:szCs w:val="24"/>
                <w:lang w:val="uk-UA"/>
              </w:rPr>
            </w:pPr>
          </w:p>
        </w:tc>
      </w:tr>
      <w:tr w:rsidR="0069577E" w:rsidRPr="00FD0E23" w14:paraId="4ED0FC22" w14:textId="77777777" w:rsidTr="003F5A03">
        <w:tc>
          <w:tcPr>
            <w:tcW w:w="704" w:type="dxa"/>
            <w:tcBorders>
              <w:top w:val="single" w:sz="4" w:space="0" w:color="auto"/>
            </w:tcBorders>
          </w:tcPr>
          <w:p w14:paraId="32A1A5AC" w14:textId="77777777" w:rsidR="0069577E" w:rsidRPr="00D127E0" w:rsidRDefault="0069577E" w:rsidP="0069577E">
            <w:pPr>
              <w:pStyle w:val="af7"/>
              <w:numPr>
                <w:ilvl w:val="0"/>
                <w:numId w:val="21"/>
              </w:numPr>
              <w:spacing w:before="60" w:after="60"/>
              <w:ind w:left="470" w:hanging="357"/>
              <w:contextualSpacing w:val="0"/>
              <w:jc w:val="center"/>
              <w:rPr>
                <w:rFonts w:ascii="Times New Roman" w:hAnsi="Times New Roman" w:cs="Times New Roman"/>
                <w:b/>
                <w:bCs/>
                <w:sz w:val="24"/>
                <w:szCs w:val="24"/>
                <w:lang w:val="ru-RU"/>
              </w:rPr>
            </w:pPr>
          </w:p>
        </w:tc>
        <w:tc>
          <w:tcPr>
            <w:tcW w:w="4536" w:type="dxa"/>
            <w:tcBorders>
              <w:top w:val="single" w:sz="4" w:space="0" w:color="auto"/>
            </w:tcBorders>
          </w:tcPr>
          <w:p w14:paraId="7E5D9837" w14:textId="433D3051" w:rsidR="0069577E" w:rsidRPr="0069577E" w:rsidRDefault="0069577E" w:rsidP="0069577E">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69577E">
              <w:rPr>
                <w:rFonts w:ascii="Times New Roman" w:hAnsi="Times New Roman" w:cs="Times New Roman"/>
                <w:sz w:val="24"/>
                <w:szCs w:val="24"/>
                <w:lang w:val="uk-UA" w:eastAsia="uk-UA"/>
              </w:rPr>
              <w:t>Не менше 5 років досвіду надання консультаційних, верифікаційних або дорадчих послуг суб'єктам державного сектору, включаючи органи центральної або місцевої влади;</w:t>
            </w:r>
          </w:p>
        </w:tc>
        <w:tc>
          <w:tcPr>
            <w:tcW w:w="4967" w:type="dxa"/>
            <w:tcBorders>
              <w:top w:val="single" w:sz="4" w:space="0" w:color="auto"/>
            </w:tcBorders>
          </w:tcPr>
          <w:p w14:paraId="67A562ED" w14:textId="77777777" w:rsidR="0069577E" w:rsidRPr="005001F2" w:rsidRDefault="0069577E" w:rsidP="0069577E">
            <w:pPr>
              <w:spacing w:before="60" w:after="60"/>
              <w:jc w:val="center"/>
              <w:rPr>
                <w:rFonts w:ascii="Times New Roman" w:hAnsi="Times New Roman" w:cs="Times New Roman"/>
                <w:b/>
                <w:bCs/>
                <w:sz w:val="24"/>
                <w:szCs w:val="24"/>
                <w:lang w:val="ru-RU"/>
              </w:rPr>
            </w:pPr>
          </w:p>
        </w:tc>
      </w:tr>
      <w:tr w:rsidR="0069577E" w:rsidRPr="00FD0E23" w14:paraId="1521A598" w14:textId="77777777">
        <w:tc>
          <w:tcPr>
            <w:tcW w:w="704" w:type="dxa"/>
          </w:tcPr>
          <w:p w14:paraId="38E1AC81" w14:textId="77777777" w:rsidR="0069577E" w:rsidRPr="005001F2" w:rsidRDefault="0069577E" w:rsidP="0069577E">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44A3A861" w14:textId="1D736B9E" w:rsidR="0069577E" w:rsidRPr="0069577E" w:rsidRDefault="0069577E" w:rsidP="0069577E">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69577E">
              <w:rPr>
                <w:rFonts w:ascii="Times New Roman" w:hAnsi="Times New Roman" w:cs="Times New Roman"/>
                <w:sz w:val="24"/>
                <w:szCs w:val="24"/>
                <w:lang w:val="uk-UA" w:eastAsia="uk-UA"/>
              </w:rPr>
              <w:t>Не менше 3 років досвіду проведення аудиту або оцінці державних ІТ-систем;</w:t>
            </w:r>
          </w:p>
        </w:tc>
        <w:tc>
          <w:tcPr>
            <w:tcW w:w="4967" w:type="dxa"/>
          </w:tcPr>
          <w:p w14:paraId="557F7112" w14:textId="77777777" w:rsidR="0069577E" w:rsidRPr="007A49C4" w:rsidRDefault="0069577E" w:rsidP="0069577E">
            <w:pPr>
              <w:spacing w:before="60" w:after="60"/>
              <w:jc w:val="center"/>
              <w:rPr>
                <w:rFonts w:ascii="Times New Roman" w:hAnsi="Times New Roman"/>
                <w:sz w:val="24"/>
                <w:szCs w:val="24"/>
                <w:lang w:val="uk-UA"/>
              </w:rPr>
            </w:pPr>
          </w:p>
        </w:tc>
      </w:tr>
      <w:tr w:rsidR="0069577E" w:rsidRPr="00FD0E23" w14:paraId="774B30EA" w14:textId="77777777">
        <w:tc>
          <w:tcPr>
            <w:tcW w:w="704" w:type="dxa"/>
          </w:tcPr>
          <w:p w14:paraId="7342AB50" w14:textId="77777777" w:rsidR="0069577E" w:rsidRPr="005001F2" w:rsidRDefault="0069577E" w:rsidP="0069577E">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5FB305B6" w14:textId="6FF45E38" w:rsidR="0069577E" w:rsidRPr="0069577E" w:rsidRDefault="0069577E" w:rsidP="0069577E">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69577E">
              <w:rPr>
                <w:rFonts w:ascii="Times New Roman" w:hAnsi="Times New Roman" w:cs="Times New Roman"/>
                <w:sz w:val="24"/>
                <w:szCs w:val="24"/>
                <w:lang w:val="uk-UA" w:eastAsia="uk-UA"/>
              </w:rPr>
              <w:t>Досвід верифікації або оцінки виконання бюджетних планів та / або аналізу фінансових потоків;</w:t>
            </w:r>
          </w:p>
        </w:tc>
        <w:tc>
          <w:tcPr>
            <w:tcW w:w="4967" w:type="dxa"/>
          </w:tcPr>
          <w:p w14:paraId="71EEF573" w14:textId="77777777" w:rsidR="0069577E" w:rsidRPr="005001F2" w:rsidRDefault="0069577E" w:rsidP="0069577E">
            <w:pPr>
              <w:spacing w:before="60" w:after="60"/>
              <w:jc w:val="center"/>
              <w:rPr>
                <w:rFonts w:ascii="Times New Roman" w:hAnsi="Times New Roman"/>
                <w:b/>
                <w:bCs/>
                <w:sz w:val="24"/>
                <w:szCs w:val="24"/>
                <w:lang w:val="ru-RU"/>
              </w:rPr>
            </w:pPr>
          </w:p>
        </w:tc>
      </w:tr>
      <w:tr w:rsidR="0069577E" w:rsidRPr="00FD0E23" w14:paraId="548CF7D8" w14:textId="77777777">
        <w:tc>
          <w:tcPr>
            <w:tcW w:w="704" w:type="dxa"/>
          </w:tcPr>
          <w:p w14:paraId="325502D3" w14:textId="77777777" w:rsidR="0069577E" w:rsidRPr="005001F2" w:rsidRDefault="0069577E" w:rsidP="0069577E">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025A2622" w14:textId="0CCF71AC" w:rsidR="0069577E" w:rsidRPr="0069577E" w:rsidRDefault="0069577E" w:rsidP="0069577E">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69577E">
              <w:rPr>
                <w:rFonts w:ascii="Times New Roman" w:hAnsi="Times New Roman" w:cs="Times New Roman"/>
                <w:sz w:val="24"/>
                <w:szCs w:val="24"/>
                <w:lang w:val="uk-UA" w:eastAsia="uk-UA"/>
              </w:rPr>
              <w:t>Досвід аналізу екологічних ризиків та оцінки кліматичних заходів;</w:t>
            </w:r>
          </w:p>
        </w:tc>
        <w:tc>
          <w:tcPr>
            <w:tcW w:w="4967" w:type="dxa"/>
          </w:tcPr>
          <w:p w14:paraId="577592C8" w14:textId="77777777" w:rsidR="0069577E" w:rsidRPr="005001F2" w:rsidRDefault="0069577E" w:rsidP="0069577E">
            <w:pPr>
              <w:spacing w:before="60" w:after="60"/>
              <w:jc w:val="center"/>
              <w:rPr>
                <w:rFonts w:ascii="Times New Roman" w:hAnsi="Times New Roman"/>
                <w:b/>
                <w:bCs/>
                <w:sz w:val="24"/>
                <w:szCs w:val="24"/>
                <w:lang w:val="ru-RU"/>
              </w:rPr>
            </w:pPr>
          </w:p>
        </w:tc>
      </w:tr>
      <w:tr w:rsidR="0069577E" w:rsidRPr="00FD0E23" w14:paraId="3850ABD3" w14:textId="77777777">
        <w:tc>
          <w:tcPr>
            <w:tcW w:w="704" w:type="dxa"/>
          </w:tcPr>
          <w:p w14:paraId="6A91BE1C" w14:textId="77777777" w:rsidR="0069577E" w:rsidRPr="005001F2" w:rsidRDefault="0069577E" w:rsidP="0069577E">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74372018" w14:textId="0D48998C" w:rsidR="0069577E" w:rsidRPr="0069577E" w:rsidRDefault="0069577E" w:rsidP="0069577E">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69577E">
              <w:rPr>
                <w:rFonts w:ascii="Times New Roman" w:hAnsi="Times New Roman" w:cs="Times New Roman"/>
                <w:sz w:val="24"/>
                <w:szCs w:val="24"/>
                <w:lang w:val="uk-UA" w:eastAsia="uk-UA"/>
              </w:rPr>
              <w:t>Досвід підготовки аналітичних звітів.</w:t>
            </w:r>
          </w:p>
        </w:tc>
        <w:tc>
          <w:tcPr>
            <w:tcW w:w="4967" w:type="dxa"/>
          </w:tcPr>
          <w:p w14:paraId="01D73674" w14:textId="77777777" w:rsidR="0069577E" w:rsidRPr="005001F2" w:rsidRDefault="0069577E" w:rsidP="0069577E">
            <w:pPr>
              <w:spacing w:before="60" w:after="60"/>
              <w:jc w:val="center"/>
              <w:rPr>
                <w:rFonts w:ascii="Times New Roman" w:hAnsi="Times New Roman"/>
                <w:b/>
                <w:bCs/>
                <w:sz w:val="24"/>
                <w:szCs w:val="24"/>
                <w:lang w:val="ru-RU"/>
              </w:rPr>
            </w:pPr>
          </w:p>
        </w:tc>
      </w:tr>
      <w:tr w:rsidR="00956D23" w:rsidRPr="00440C10" w14:paraId="36DB3ACF" w14:textId="77777777" w:rsidTr="003F5A03">
        <w:tc>
          <w:tcPr>
            <w:tcW w:w="704" w:type="dxa"/>
            <w:tcBorders>
              <w:right w:val="nil"/>
            </w:tcBorders>
          </w:tcPr>
          <w:p w14:paraId="4024C698" w14:textId="77777777" w:rsidR="00956D23" w:rsidRPr="005001F2" w:rsidRDefault="00956D23" w:rsidP="003F5A03">
            <w:pPr>
              <w:pStyle w:val="af7"/>
              <w:spacing w:before="60" w:after="60"/>
              <w:ind w:left="470" w:firstLine="0"/>
              <w:contextualSpacing w:val="0"/>
              <w:rPr>
                <w:rFonts w:ascii="Times New Roman" w:hAnsi="Times New Roman"/>
                <w:b/>
                <w:bCs/>
                <w:sz w:val="24"/>
                <w:szCs w:val="24"/>
                <w:lang w:val="ru-RU"/>
              </w:rPr>
            </w:pPr>
          </w:p>
        </w:tc>
        <w:tc>
          <w:tcPr>
            <w:tcW w:w="4536" w:type="dxa"/>
            <w:tcBorders>
              <w:left w:val="nil"/>
              <w:right w:val="nil"/>
            </w:tcBorders>
          </w:tcPr>
          <w:p w14:paraId="5DE38C36" w14:textId="19A053AB" w:rsidR="00956D23" w:rsidRPr="00477D23" w:rsidRDefault="003F5A03" w:rsidP="003F5A03">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sz w:val="24"/>
                <w:szCs w:val="24"/>
                <w:lang w:val="uk-UA"/>
              </w:rPr>
            </w:pPr>
            <w:r>
              <w:rPr>
                <w:rFonts w:ascii="Times New Roman" w:hAnsi="Times New Roman" w:cs="Times New Roman"/>
                <w:i/>
                <w:iCs/>
                <w:sz w:val="24"/>
                <w:szCs w:val="24"/>
                <w:u w:val="single"/>
                <w:lang w:val="uk-UA"/>
              </w:rPr>
              <w:t>Бажані</w:t>
            </w:r>
            <w:r w:rsidRPr="00667372">
              <w:rPr>
                <w:rFonts w:ascii="Times New Roman" w:hAnsi="Times New Roman" w:cs="Times New Roman"/>
                <w:i/>
                <w:iCs/>
                <w:sz w:val="24"/>
                <w:szCs w:val="24"/>
                <w:u w:val="single"/>
                <w:lang w:val="uk-UA"/>
              </w:rPr>
              <w:t xml:space="preserve"> вимоги:</w:t>
            </w:r>
          </w:p>
        </w:tc>
        <w:tc>
          <w:tcPr>
            <w:tcW w:w="4967" w:type="dxa"/>
            <w:tcBorders>
              <w:left w:val="nil"/>
            </w:tcBorders>
          </w:tcPr>
          <w:p w14:paraId="7D86C908" w14:textId="77777777" w:rsidR="00956D23" w:rsidRPr="005001F2" w:rsidRDefault="00956D23" w:rsidP="003F5A03">
            <w:pPr>
              <w:spacing w:before="60" w:after="60"/>
              <w:jc w:val="center"/>
              <w:rPr>
                <w:rFonts w:ascii="Times New Roman" w:hAnsi="Times New Roman"/>
                <w:b/>
                <w:bCs/>
                <w:sz w:val="24"/>
                <w:szCs w:val="24"/>
                <w:lang w:val="ru-RU"/>
              </w:rPr>
            </w:pPr>
          </w:p>
        </w:tc>
      </w:tr>
      <w:tr w:rsidR="0069577E" w:rsidRPr="00FD0E23" w14:paraId="3C48B3C7" w14:textId="77777777">
        <w:tc>
          <w:tcPr>
            <w:tcW w:w="704" w:type="dxa"/>
          </w:tcPr>
          <w:p w14:paraId="12A0F795" w14:textId="77777777" w:rsidR="0069577E" w:rsidRPr="005001F2" w:rsidRDefault="0069577E" w:rsidP="0069577E">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4446C693" w14:textId="79D772C8" w:rsidR="0069577E" w:rsidRPr="0069577E" w:rsidRDefault="0069577E" w:rsidP="0069577E">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69577E">
              <w:rPr>
                <w:rFonts w:ascii="Times New Roman" w:hAnsi="Times New Roman" w:cs="Times New Roman"/>
                <w:sz w:val="24"/>
                <w:szCs w:val="24"/>
                <w:lang w:val="uk-UA" w:eastAsia="uk-UA"/>
              </w:rPr>
              <w:t>Досвід виконання аналогічних завдань за проектами, що фінансуються міжнародними фінансовими та донорськими організаціями;</w:t>
            </w:r>
          </w:p>
        </w:tc>
        <w:tc>
          <w:tcPr>
            <w:tcW w:w="4967" w:type="dxa"/>
          </w:tcPr>
          <w:p w14:paraId="6A3CDF20" w14:textId="77777777" w:rsidR="0069577E" w:rsidRPr="005001F2" w:rsidRDefault="0069577E" w:rsidP="0069577E">
            <w:pPr>
              <w:spacing w:before="60" w:after="60"/>
              <w:jc w:val="center"/>
              <w:rPr>
                <w:rFonts w:ascii="Times New Roman" w:hAnsi="Times New Roman"/>
                <w:b/>
                <w:bCs/>
                <w:sz w:val="24"/>
                <w:szCs w:val="24"/>
                <w:lang w:val="ru-RU"/>
              </w:rPr>
            </w:pPr>
          </w:p>
        </w:tc>
      </w:tr>
      <w:tr w:rsidR="0069577E" w:rsidRPr="00FD0E23" w14:paraId="5659AA75" w14:textId="77777777">
        <w:tc>
          <w:tcPr>
            <w:tcW w:w="704" w:type="dxa"/>
          </w:tcPr>
          <w:p w14:paraId="11A24ECB" w14:textId="77777777" w:rsidR="0069577E" w:rsidRPr="005001F2" w:rsidRDefault="0069577E" w:rsidP="0069577E">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1AB57766" w14:textId="218AA811" w:rsidR="0069577E" w:rsidRPr="0069577E" w:rsidRDefault="0069577E" w:rsidP="0069577E">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69577E">
              <w:rPr>
                <w:rFonts w:ascii="Times New Roman" w:hAnsi="Times New Roman" w:cs="Times New Roman"/>
                <w:sz w:val="24"/>
                <w:szCs w:val="24"/>
                <w:lang w:val="uk-UA" w:eastAsia="uk-UA"/>
              </w:rPr>
              <w:t>Наявність у Консультанта актуальних сертифікатів ISO 27001 та ISO 9001.</w:t>
            </w:r>
          </w:p>
        </w:tc>
        <w:tc>
          <w:tcPr>
            <w:tcW w:w="4967" w:type="dxa"/>
          </w:tcPr>
          <w:p w14:paraId="3EB239A1" w14:textId="77777777" w:rsidR="0069577E" w:rsidRPr="005001F2" w:rsidRDefault="0069577E" w:rsidP="0069577E">
            <w:pPr>
              <w:spacing w:before="60" w:after="60"/>
              <w:jc w:val="center"/>
              <w:rPr>
                <w:rFonts w:ascii="Times New Roman" w:hAnsi="Times New Roman"/>
                <w:b/>
                <w:bCs/>
                <w:sz w:val="24"/>
                <w:szCs w:val="24"/>
                <w:lang w:val="ru-RU"/>
              </w:rPr>
            </w:pPr>
          </w:p>
        </w:tc>
      </w:tr>
      <w:bookmarkEnd w:id="2"/>
    </w:tbl>
    <w:p w14:paraId="2AAFC70F" w14:textId="77777777" w:rsidR="00D127E0" w:rsidRPr="00D127E0" w:rsidRDefault="00D127E0" w:rsidP="00D127E0">
      <w:pPr>
        <w:spacing w:before="120" w:after="120"/>
        <w:jc w:val="center"/>
        <w:rPr>
          <w:b/>
          <w:bCs/>
          <w:lang w:val="ru-RU"/>
        </w:rPr>
      </w:pPr>
    </w:p>
    <w:p w14:paraId="34745EE5" w14:textId="77777777" w:rsidR="00D127E0" w:rsidRPr="00D127E0" w:rsidRDefault="00D127E0" w:rsidP="00D127E0">
      <w:pPr>
        <w:spacing w:before="120" w:after="120"/>
        <w:jc w:val="center"/>
        <w:rPr>
          <w:b/>
          <w:bCs/>
          <w:lang w:val="ru-RU"/>
        </w:rPr>
      </w:pPr>
    </w:p>
    <w:p w14:paraId="6044B66E" w14:textId="77777777" w:rsidR="003F5A03" w:rsidRDefault="00D127E0" w:rsidP="00A02B81">
      <w:pPr>
        <w:widowControl w:val="0"/>
        <w:tabs>
          <w:tab w:val="left" w:pos="4120"/>
        </w:tabs>
        <w:autoSpaceDE w:val="0"/>
        <w:autoSpaceDN w:val="0"/>
        <w:spacing w:line="272" w:lineRule="exact"/>
        <w:jc w:val="center"/>
        <w:outlineLvl w:val="0"/>
        <w:rPr>
          <w:rFonts w:asciiTheme="minorHAnsi" w:hAnsiTheme="minorHAnsi"/>
          <w:sz w:val="24"/>
          <w:szCs w:val="24"/>
          <w:lang w:val="uk-UA"/>
        </w:rPr>
      </w:pPr>
      <w:r>
        <w:rPr>
          <w:sz w:val="24"/>
          <w:szCs w:val="24"/>
          <w:lang w:val="uk-UA"/>
        </w:rPr>
        <w:br w:type="page"/>
      </w:r>
    </w:p>
    <w:p w14:paraId="54D00631" w14:textId="159DF299" w:rsidR="003F5A03" w:rsidRDefault="003F5A03" w:rsidP="003F5A03">
      <w:pPr>
        <w:jc w:val="right"/>
        <w:rPr>
          <w:rFonts w:ascii="Times New Roman" w:hAnsi="Times New Roman"/>
          <w:b/>
          <w:bCs/>
          <w:spacing w:val="-2"/>
          <w:sz w:val="24"/>
          <w:szCs w:val="24"/>
          <w:lang w:val="uk-UA"/>
        </w:rPr>
      </w:pPr>
      <w:r>
        <w:rPr>
          <w:rFonts w:ascii="Times New Roman" w:hAnsi="Times New Roman"/>
          <w:b/>
          <w:bCs/>
          <w:spacing w:val="-2"/>
          <w:sz w:val="24"/>
          <w:szCs w:val="24"/>
          <w:lang w:val="uk-UA"/>
        </w:rPr>
        <w:lastRenderedPageBreak/>
        <w:t>ДОДАТОК 2</w:t>
      </w:r>
    </w:p>
    <w:p w14:paraId="69ED6F34" w14:textId="77777777" w:rsidR="003F5A03" w:rsidRDefault="003F5A03" w:rsidP="00A02B81">
      <w:pPr>
        <w:widowControl w:val="0"/>
        <w:tabs>
          <w:tab w:val="left" w:pos="4120"/>
        </w:tabs>
        <w:autoSpaceDE w:val="0"/>
        <w:autoSpaceDN w:val="0"/>
        <w:spacing w:line="272" w:lineRule="exact"/>
        <w:jc w:val="center"/>
        <w:outlineLvl w:val="0"/>
        <w:rPr>
          <w:rFonts w:asciiTheme="minorHAnsi" w:hAnsiTheme="minorHAnsi"/>
          <w:sz w:val="24"/>
          <w:szCs w:val="24"/>
          <w:lang w:val="uk-UA"/>
        </w:rPr>
      </w:pPr>
    </w:p>
    <w:p w14:paraId="4DA264A1"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Cs/>
          <w:sz w:val="24"/>
          <w:szCs w:val="24"/>
          <w:lang w:val="uk-UA"/>
        </w:rPr>
      </w:pPr>
      <w:r w:rsidRPr="00AC1D15">
        <w:rPr>
          <w:rFonts w:ascii="Times New Roman" w:hAnsi="Times New Roman"/>
          <w:bCs/>
          <w:sz w:val="24"/>
          <w:szCs w:val="24"/>
          <w:lang w:val="uk-UA"/>
        </w:rPr>
        <w:t>УКРАЇНА</w:t>
      </w:r>
    </w:p>
    <w:p w14:paraId="69FB64E1"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Cs/>
          <w:sz w:val="24"/>
          <w:szCs w:val="24"/>
          <w:lang w:val="uk-UA"/>
        </w:rPr>
      </w:pPr>
      <w:r w:rsidRPr="00AC1D15">
        <w:rPr>
          <w:rFonts w:ascii="Times New Roman" w:hAnsi="Times New Roman"/>
          <w:bCs/>
          <w:sz w:val="24"/>
          <w:szCs w:val="24"/>
          <w:lang w:val="uk-UA"/>
        </w:rPr>
        <w:t>Міністерство фінансів України</w:t>
      </w:r>
    </w:p>
    <w:p w14:paraId="6C59F742"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r w:rsidRPr="00AC1D15">
        <w:rPr>
          <w:rFonts w:ascii="Times New Roman" w:hAnsi="Times New Roman"/>
          <w:b/>
          <w:bCs/>
          <w:sz w:val="24"/>
          <w:szCs w:val="24"/>
          <w:lang w:val="uk-UA"/>
        </w:rPr>
        <w:t xml:space="preserve">Проєкт «Зміцнення спроможності Уряду щодо впровадження фіскальної реформи» </w:t>
      </w:r>
    </w:p>
    <w:p w14:paraId="526F91EA"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r w:rsidRPr="00AC1D15">
        <w:rPr>
          <w:rFonts w:ascii="Times New Roman" w:hAnsi="Times New Roman"/>
          <w:b/>
          <w:bCs/>
          <w:sz w:val="24"/>
          <w:szCs w:val="24"/>
          <w:lang w:val="uk-UA"/>
        </w:rPr>
        <w:t>Грант No. TF0C6689</w:t>
      </w:r>
    </w:p>
    <w:p w14:paraId="1D3DB06D"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p>
    <w:p w14:paraId="62A60715"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p>
    <w:p w14:paraId="274F6256" w14:textId="77777777" w:rsidR="0069577E" w:rsidRPr="0069577E" w:rsidRDefault="0069577E" w:rsidP="0069577E">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r w:rsidRPr="0069577E">
        <w:rPr>
          <w:rFonts w:ascii="Times New Roman" w:hAnsi="Times New Roman"/>
          <w:b/>
          <w:bCs/>
          <w:sz w:val="24"/>
          <w:szCs w:val="24"/>
          <w:lang w:val="uk-UA"/>
        </w:rPr>
        <w:t>ТЕХНІЧНЕ</w:t>
      </w:r>
      <w:r w:rsidRPr="0069577E">
        <w:rPr>
          <w:rFonts w:ascii="Times New Roman" w:hAnsi="Times New Roman"/>
          <w:b/>
          <w:bCs/>
          <w:spacing w:val="-2"/>
          <w:sz w:val="24"/>
          <w:szCs w:val="24"/>
          <w:lang w:val="uk-UA"/>
        </w:rPr>
        <w:t xml:space="preserve"> </w:t>
      </w:r>
      <w:r w:rsidRPr="0069577E">
        <w:rPr>
          <w:rFonts w:ascii="Times New Roman" w:hAnsi="Times New Roman"/>
          <w:b/>
          <w:bCs/>
          <w:sz w:val="24"/>
          <w:szCs w:val="24"/>
          <w:lang w:val="uk-UA"/>
        </w:rPr>
        <w:t>ЗАВДАННЯ</w:t>
      </w:r>
    </w:p>
    <w:p w14:paraId="2B7C4F84" w14:textId="77777777" w:rsidR="0069577E" w:rsidRPr="0069577E" w:rsidRDefault="0069577E" w:rsidP="0069577E">
      <w:pPr>
        <w:widowControl w:val="0"/>
        <w:tabs>
          <w:tab w:val="left" w:pos="4120"/>
        </w:tabs>
        <w:autoSpaceDE w:val="0"/>
        <w:autoSpaceDN w:val="0"/>
        <w:spacing w:before="1" w:line="235" w:lineRule="auto"/>
        <w:jc w:val="center"/>
        <w:rPr>
          <w:rFonts w:ascii="Times New Roman" w:hAnsi="Times New Roman"/>
          <w:sz w:val="24"/>
          <w:szCs w:val="24"/>
          <w:lang w:val="uk-UA"/>
        </w:rPr>
      </w:pPr>
      <w:r w:rsidRPr="0069577E">
        <w:rPr>
          <w:rFonts w:ascii="Times New Roman" w:hAnsi="Times New Roman"/>
          <w:sz w:val="24"/>
          <w:szCs w:val="24"/>
          <w:lang w:val="uk-UA"/>
        </w:rPr>
        <w:t xml:space="preserve">на консультаційні послуги </w:t>
      </w:r>
    </w:p>
    <w:p w14:paraId="5B033F5D" w14:textId="77777777" w:rsidR="0069577E" w:rsidRPr="0069577E" w:rsidRDefault="0069577E" w:rsidP="0069577E">
      <w:pPr>
        <w:widowControl w:val="0"/>
        <w:tabs>
          <w:tab w:val="left" w:pos="4120"/>
        </w:tabs>
        <w:autoSpaceDE w:val="0"/>
        <w:autoSpaceDN w:val="0"/>
        <w:spacing w:before="2"/>
        <w:jc w:val="center"/>
        <w:outlineLvl w:val="0"/>
        <w:rPr>
          <w:rFonts w:ascii="Times New Roman" w:hAnsi="Times New Roman"/>
          <w:b/>
          <w:bCs/>
          <w:sz w:val="24"/>
          <w:szCs w:val="24"/>
          <w:lang w:val="uk-UA"/>
        </w:rPr>
      </w:pPr>
      <w:r w:rsidRPr="0069577E">
        <w:rPr>
          <w:rFonts w:ascii="Times New Roman" w:hAnsi="Times New Roman"/>
          <w:b/>
          <w:bCs/>
          <w:sz w:val="24"/>
          <w:szCs w:val="24"/>
          <w:lang w:val="uk-UA"/>
        </w:rPr>
        <w:t>«Агент з верифікації для підтвердження досягнення Результатів, повʼязаних з вибіркою коштів за Програмою SURGE»</w:t>
      </w:r>
    </w:p>
    <w:p w14:paraId="26A2A668" w14:textId="77777777" w:rsidR="0069577E" w:rsidRPr="0069577E" w:rsidRDefault="0069577E" w:rsidP="0069577E">
      <w:pPr>
        <w:widowControl w:val="0"/>
        <w:tabs>
          <w:tab w:val="left" w:pos="4120"/>
        </w:tabs>
        <w:autoSpaceDE w:val="0"/>
        <w:autoSpaceDN w:val="0"/>
        <w:jc w:val="center"/>
        <w:rPr>
          <w:rFonts w:ascii="Times New Roman" w:hAnsi="Times New Roman"/>
          <w:sz w:val="24"/>
          <w:szCs w:val="24"/>
          <w:lang w:val="uk-UA"/>
        </w:rPr>
      </w:pPr>
      <w:r w:rsidRPr="0069577E">
        <w:rPr>
          <w:rFonts w:ascii="Times New Roman" w:hAnsi="Times New Roman"/>
          <w:sz w:val="24"/>
          <w:szCs w:val="24"/>
          <w:lang w:val="uk-UA"/>
        </w:rPr>
        <w:t>(пакет закупівель</w:t>
      </w:r>
      <w:r w:rsidRPr="0069577E">
        <w:rPr>
          <w:rFonts w:ascii="Times New Roman" w:hAnsi="Times New Roman"/>
          <w:spacing w:val="-1"/>
          <w:sz w:val="24"/>
          <w:szCs w:val="24"/>
          <w:lang w:val="uk-UA"/>
        </w:rPr>
        <w:t xml:space="preserve"> </w:t>
      </w:r>
      <w:r w:rsidRPr="0069577E">
        <w:rPr>
          <w:rFonts w:ascii="Times New Roman" w:hAnsi="Times New Roman"/>
          <w:sz w:val="24"/>
          <w:szCs w:val="24"/>
          <w:lang w:val="uk-UA"/>
        </w:rPr>
        <w:t>№</w:t>
      </w:r>
      <w:r w:rsidRPr="0069577E">
        <w:rPr>
          <w:rFonts w:ascii="Times New Roman" w:hAnsi="Times New Roman"/>
          <w:spacing w:val="-1"/>
          <w:sz w:val="24"/>
          <w:szCs w:val="24"/>
          <w:lang w:val="uk-UA"/>
        </w:rPr>
        <w:t xml:space="preserve"> </w:t>
      </w:r>
      <w:r w:rsidRPr="0069577E">
        <w:rPr>
          <w:rFonts w:ascii="Times New Roman" w:hAnsi="Times New Roman"/>
          <w:sz w:val="24"/>
          <w:szCs w:val="24"/>
          <w:lang w:val="uk-UA"/>
        </w:rPr>
        <w:t>CQS-6.3.1)</w:t>
      </w:r>
    </w:p>
    <w:p w14:paraId="48D6B288" w14:textId="77777777" w:rsidR="0069577E" w:rsidRPr="0069577E" w:rsidRDefault="0069577E" w:rsidP="0069577E">
      <w:pPr>
        <w:rPr>
          <w:rFonts w:ascii="Times New Roman" w:hAnsi="Times New Roman"/>
          <w:sz w:val="24"/>
          <w:szCs w:val="24"/>
          <w:lang w:val="uk-UA"/>
        </w:rPr>
      </w:pPr>
    </w:p>
    <w:p w14:paraId="6F8BE192" w14:textId="77777777" w:rsidR="0069577E" w:rsidRPr="0069577E" w:rsidRDefault="0069577E" w:rsidP="0069577E">
      <w:pPr>
        <w:keepNext/>
        <w:keepLines/>
        <w:numPr>
          <w:ilvl w:val="0"/>
          <w:numId w:val="35"/>
        </w:numPr>
        <w:tabs>
          <w:tab w:val="left" w:pos="426"/>
        </w:tabs>
        <w:spacing w:before="240" w:after="240"/>
        <w:outlineLvl w:val="0"/>
        <w:rPr>
          <w:rFonts w:ascii="Times New Roman Bold" w:hAnsi="Times New Roman Bold"/>
          <w:b/>
          <w:sz w:val="28"/>
          <w:szCs w:val="28"/>
          <w:lang w:val="uk-UA"/>
        </w:rPr>
      </w:pPr>
      <w:r w:rsidRPr="0069577E">
        <w:rPr>
          <w:rFonts w:ascii="Times New Roman Bold" w:hAnsi="Times New Roman Bold"/>
          <w:b/>
          <w:sz w:val="28"/>
          <w:szCs w:val="28"/>
          <w:lang w:val="uk-UA"/>
        </w:rPr>
        <w:t>Загальна інформація</w:t>
      </w:r>
    </w:p>
    <w:p w14:paraId="645999E5" w14:textId="77777777" w:rsidR="0069577E" w:rsidRPr="0069577E" w:rsidRDefault="0069577E" w:rsidP="0069577E">
      <w:pPr>
        <w:spacing w:line="257" w:lineRule="auto"/>
        <w:ind w:firstLine="567"/>
        <w:jc w:val="both"/>
        <w:rPr>
          <w:rFonts w:ascii="Times New Roman" w:hAnsi="Times New Roman"/>
          <w:sz w:val="24"/>
          <w:szCs w:val="24"/>
          <w:lang w:val="uk-UA"/>
        </w:rPr>
      </w:pPr>
      <w:r w:rsidRPr="0069577E">
        <w:rPr>
          <w:rFonts w:ascii="Times New Roman" w:hAnsi="Times New Roman"/>
          <w:sz w:val="24"/>
          <w:szCs w:val="24"/>
          <w:lang w:val="uk-UA"/>
        </w:rPr>
        <w:t xml:space="preserve">Міністерство фінансів України (далі – «Мінфін», «Замовник»), як Реципієнт, отримало фінансування від Міжнародного банку реконструкції та розвитку та Міжнародної асоціації розвитку (далі – </w:t>
      </w:r>
      <w:r w:rsidRPr="0069577E">
        <w:rPr>
          <w:rFonts w:ascii="Calibri" w:hAnsi="Calibri"/>
          <w:szCs w:val="24"/>
          <w:lang w:val="uk-UA"/>
        </w:rPr>
        <w:t>«</w:t>
      </w:r>
      <w:r w:rsidRPr="0069577E">
        <w:rPr>
          <w:rFonts w:ascii="Times New Roman" w:hAnsi="Times New Roman"/>
          <w:sz w:val="24"/>
          <w:szCs w:val="24"/>
          <w:lang w:val="uk-UA"/>
        </w:rPr>
        <w:t>Банк</w:t>
      </w:r>
      <w:r w:rsidRPr="0069577E">
        <w:rPr>
          <w:rFonts w:ascii="Calibri" w:hAnsi="Calibri"/>
          <w:szCs w:val="24"/>
          <w:lang w:val="uk-UA"/>
        </w:rPr>
        <w:t xml:space="preserve">» </w:t>
      </w:r>
      <w:r w:rsidRPr="0069577E">
        <w:rPr>
          <w:rFonts w:ascii="Times New Roman" w:hAnsi="Times New Roman"/>
          <w:sz w:val="24"/>
          <w:szCs w:val="24"/>
          <w:lang w:val="uk-UA"/>
        </w:rPr>
        <w:t>або «Світовий банк»), які діють як адміністратор програми допомоги Україні, Цільовий фонд багатьох донорів з підтримки, відновлення, відбудови та реформування України (далі – «URTF») для реалізації проекту «Зміцнення спроможності Уряду щодо впровадження фіскальної реформи» (</w:t>
      </w:r>
      <w:r w:rsidRPr="0069577E">
        <w:rPr>
          <w:rFonts w:ascii="Calibri" w:hAnsi="Calibri"/>
          <w:szCs w:val="24"/>
          <w:lang w:val="uk-UA"/>
        </w:rPr>
        <w:t>«</w:t>
      </w:r>
      <w:r w:rsidRPr="0069577E">
        <w:rPr>
          <w:rFonts w:ascii="Times New Roman" w:hAnsi="Times New Roman"/>
          <w:sz w:val="24"/>
          <w:szCs w:val="24"/>
          <w:lang w:val="uk-UA"/>
        </w:rPr>
        <w:t>Проект</w:t>
      </w:r>
      <w:r w:rsidRPr="0069577E">
        <w:rPr>
          <w:rFonts w:ascii="Calibri" w:hAnsi="Calibri"/>
          <w:szCs w:val="24"/>
          <w:lang w:val="uk-UA"/>
        </w:rPr>
        <w:t>»</w:t>
      </w:r>
      <w:r w:rsidRPr="0069577E">
        <w:rPr>
          <w:rFonts w:ascii="Times New Roman" w:hAnsi="Times New Roman"/>
          <w:sz w:val="24"/>
          <w:szCs w:val="24"/>
          <w:lang w:val="uk-UA"/>
        </w:rPr>
        <w:t>). Грантову угоду URTF №TF0C6689 було підписано 13.11.2024 (далі – «Грант»).</w:t>
      </w:r>
    </w:p>
    <w:p w14:paraId="5C71C9C5" w14:textId="77777777" w:rsidR="0069577E" w:rsidRPr="0069577E" w:rsidRDefault="0069577E" w:rsidP="0069577E">
      <w:pPr>
        <w:spacing w:line="257" w:lineRule="auto"/>
        <w:ind w:firstLine="567"/>
        <w:jc w:val="both"/>
        <w:rPr>
          <w:rFonts w:ascii="Times New Roman" w:hAnsi="Times New Roman"/>
          <w:sz w:val="24"/>
          <w:szCs w:val="24"/>
          <w:lang w:val="uk-UA"/>
        </w:rPr>
      </w:pPr>
      <w:r w:rsidRPr="0069577E">
        <w:rPr>
          <w:rFonts w:ascii="Times New Roman" w:hAnsi="Times New Roman"/>
          <w:sz w:val="24"/>
          <w:szCs w:val="24"/>
          <w:lang w:val="uk-UA"/>
        </w:rPr>
        <w:t>Проект спрямований на підвищення спроможності Уряду планувати та фінансувати відновлення та відбудову. Проект має шість компонентів, які надаватимуть технічну допомогу для зміцнення спроможності для i ) управління публічними інвестиціями заради відбудови, ii) містобудівна діяльність на місцевому рівні, iii) управління бюджетами місцевого самоврядування для відновлення; iv) доброчесність і дотримання вимог в адмініструванні доходів; v) управління публічними закупівлями для відновлення; vi) управління проектами та операційна підтримка.</w:t>
      </w:r>
    </w:p>
    <w:p w14:paraId="145673C5" w14:textId="77777777" w:rsidR="0069577E" w:rsidRPr="0069577E" w:rsidRDefault="0069577E" w:rsidP="0069577E">
      <w:pPr>
        <w:spacing w:line="257" w:lineRule="auto"/>
        <w:ind w:firstLine="567"/>
        <w:jc w:val="both"/>
        <w:rPr>
          <w:rFonts w:ascii="Times New Roman" w:hAnsi="Times New Roman"/>
          <w:sz w:val="24"/>
          <w:szCs w:val="24"/>
          <w:lang w:val="uk-UA"/>
        </w:rPr>
      </w:pPr>
      <w:r w:rsidRPr="0069577E">
        <w:rPr>
          <w:rFonts w:ascii="Times New Roman" w:hAnsi="Times New Roman"/>
          <w:sz w:val="24"/>
          <w:szCs w:val="24"/>
          <w:lang w:val="uk-UA"/>
        </w:rPr>
        <w:t>Проект також підтримує реалізацію фінансованої Банком Програми для досягнення результатів «Підтримка відбудови шляхом розумного фіскального управління (SURGE)» (далі – «Програма SURGE»). Програма SURGE підтримує інституційні реформи в чотирьох сферах досягнення результатів: управління публічними інвестиціями, управління державними фінансами на місцевому рівні, надаючи фінансування на основі результатів для зміцнення інституційних основ для відновлення та реконструкції, фіскальне управління на місцевому рівні та адміністрування доходів. Банк надає фінансування в рамках Програми SURGE на основі досягнення узгоджених результатів, пов’язаних з виплатою (DLR) і показників, пов’язаних з виплатою (DLI).</w:t>
      </w:r>
    </w:p>
    <w:p w14:paraId="53A400F1" w14:textId="77777777" w:rsidR="0069577E" w:rsidRPr="0069577E" w:rsidRDefault="0069577E" w:rsidP="0069577E">
      <w:pPr>
        <w:autoSpaceDE w:val="0"/>
        <w:autoSpaceDN w:val="0"/>
        <w:adjustRightInd w:val="0"/>
        <w:ind w:firstLine="567"/>
        <w:jc w:val="both"/>
        <w:rPr>
          <w:rFonts w:ascii="Times New Roman" w:hAnsi="Times New Roman"/>
          <w:sz w:val="24"/>
          <w:szCs w:val="24"/>
          <w:lang w:val="uk-UA"/>
        </w:rPr>
      </w:pPr>
      <w:r w:rsidRPr="0069577E">
        <w:rPr>
          <w:rFonts w:ascii="Times New Roman" w:hAnsi="Times New Roman"/>
          <w:sz w:val="24"/>
          <w:szCs w:val="24"/>
          <w:lang w:val="uk-UA"/>
        </w:rPr>
        <w:t xml:space="preserve">Мінфін є відповідальним за реалізацію Проекту та Програми SURGE. Міністерство економіки, довкілля та сільського господарства України </w:t>
      </w:r>
      <w:r w:rsidRPr="0069577E" w:rsidDel="000C563C">
        <w:rPr>
          <w:rFonts w:ascii="Times New Roman" w:hAnsi="Times New Roman"/>
          <w:sz w:val="24"/>
          <w:szCs w:val="24"/>
          <w:lang w:val="uk-UA"/>
        </w:rPr>
        <w:t xml:space="preserve"> </w:t>
      </w:r>
      <w:r w:rsidRPr="0069577E">
        <w:rPr>
          <w:rFonts w:ascii="Times New Roman" w:hAnsi="Times New Roman"/>
          <w:sz w:val="24"/>
          <w:szCs w:val="24"/>
          <w:lang w:val="uk-UA"/>
        </w:rPr>
        <w:t>(далі – «Мінекономіки»), Міністерство розвитку громад та територій України (далі – «Мінрозвитку») та Державна податкова служба України (далі – «ДПС») є партнерами Мінфіну в рамках Проекту та Програми SURGE.</w:t>
      </w:r>
    </w:p>
    <w:p w14:paraId="55C4F61D" w14:textId="77777777" w:rsidR="0069577E" w:rsidRPr="0069577E" w:rsidRDefault="0069577E" w:rsidP="0069577E">
      <w:pPr>
        <w:spacing w:line="257" w:lineRule="auto"/>
        <w:ind w:firstLine="567"/>
        <w:jc w:val="both"/>
        <w:rPr>
          <w:rFonts w:ascii="Times New Roman" w:hAnsi="Times New Roman"/>
          <w:sz w:val="24"/>
          <w:szCs w:val="24"/>
          <w:lang w:val="uk-UA"/>
        </w:rPr>
      </w:pPr>
      <w:r w:rsidRPr="0069577E">
        <w:rPr>
          <w:rFonts w:ascii="Times New Roman" w:hAnsi="Times New Roman"/>
          <w:sz w:val="24"/>
          <w:szCs w:val="24"/>
          <w:lang w:val="uk-UA"/>
        </w:rPr>
        <w:t>Мінфін для отримання фінансування за Програмою SURGE за досягнуті результати має надати Банку докази досягнень. Проект підтримує Мінфін у проведенні незалежної перевірки досягнення DLR/DLI, а також у підготовці та поданні відповідних доказів до Світового банку для виділення відповідних коштів.</w:t>
      </w:r>
    </w:p>
    <w:p w14:paraId="0022AB34" w14:textId="77777777" w:rsidR="0069577E" w:rsidRPr="0069577E" w:rsidRDefault="0069577E" w:rsidP="0069577E">
      <w:pPr>
        <w:spacing w:line="257" w:lineRule="auto"/>
        <w:ind w:firstLine="567"/>
        <w:jc w:val="both"/>
        <w:rPr>
          <w:rFonts w:ascii="Times New Roman" w:hAnsi="Times New Roman"/>
          <w:sz w:val="24"/>
          <w:szCs w:val="24"/>
          <w:lang w:val="uk-UA"/>
        </w:rPr>
      </w:pPr>
      <w:bookmarkStart w:id="3" w:name="_heading=h.3j2qqm3"/>
      <w:bookmarkStart w:id="4" w:name="_heading=h.1y810tw" w:colFirst="0" w:colLast="0"/>
      <w:bookmarkEnd w:id="3"/>
      <w:bookmarkEnd w:id="4"/>
      <w:r w:rsidRPr="0069577E">
        <w:rPr>
          <w:rFonts w:ascii="Times New Roman" w:hAnsi="Times New Roman"/>
          <w:sz w:val="24"/>
          <w:szCs w:val="24"/>
          <w:lang w:val="uk-UA"/>
        </w:rPr>
        <w:lastRenderedPageBreak/>
        <w:t xml:space="preserve">Мінфін з цією метою та для забезпечення дотримання DLI та DLR Програми SURGE, а також відповідності реалізації вимогам Світового банку, </w:t>
      </w:r>
      <w:r w:rsidRPr="0069577E">
        <w:rPr>
          <w:rFonts w:ascii="Times New Roman" w:hAnsi="Times New Roman"/>
          <w:sz w:val="24"/>
          <w:szCs w:val="24"/>
          <w:lang w:val="ru-RU"/>
        </w:rPr>
        <w:t>плану</w:t>
      </w:r>
      <w:r w:rsidRPr="0069577E">
        <w:rPr>
          <w:rFonts w:ascii="Times New Roman" w:hAnsi="Times New Roman"/>
          <w:sz w:val="24"/>
          <w:szCs w:val="24"/>
          <w:lang w:val="uk-UA"/>
        </w:rPr>
        <w:t>є залучити в рамках Проекту Агента з верифікації для підтвердження досягнення Результатів, пов’язаних з вибіркою коштів за Програмою SURGE</w:t>
      </w:r>
      <w:r w:rsidRPr="0069577E" w:rsidDel="009B291E">
        <w:rPr>
          <w:rFonts w:ascii="Times New Roman" w:hAnsi="Times New Roman"/>
          <w:sz w:val="24"/>
          <w:szCs w:val="24"/>
          <w:lang w:val="uk-UA"/>
        </w:rPr>
        <w:t xml:space="preserve"> </w:t>
      </w:r>
      <w:r w:rsidRPr="0069577E">
        <w:rPr>
          <w:rFonts w:ascii="Times New Roman" w:hAnsi="Times New Roman"/>
          <w:sz w:val="24"/>
          <w:szCs w:val="24"/>
          <w:lang w:val="uk-UA"/>
        </w:rPr>
        <w:t>(далі – «Консультант»), щоб незалежно перевірити та підтвердити базові показники та досягнення DLR Програми SURGE, досягнуті у 2026 та 2027 роках, як зазначено в цьому Технічному завданні (ТЗ).</w:t>
      </w:r>
    </w:p>
    <w:p w14:paraId="4D0E963F" w14:textId="77777777" w:rsidR="0069577E" w:rsidRPr="0069577E" w:rsidRDefault="0069577E" w:rsidP="0069577E">
      <w:pPr>
        <w:keepNext/>
        <w:keepLines/>
        <w:numPr>
          <w:ilvl w:val="0"/>
          <w:numId w:val="35"/>
        </w:numPr>
        <w:tabs>
          <w:tab w:val="left" w:pos="426"/>
        </w:tabs>
        <w:spacing w:before="240" w:after="240"/>
        <w:outlineLvl w:val="0"/>
        <w:rPr>
          <w:rFonts w:ascii="Times New Roman Bold" w:hAnsi="Times New Roman Bold"/>
          <w:b/>
          <w:sz w:val="28"/>
          <w:szCs w:val="28"/>
          <w:lang w:val="uk-UA"/>
        </w:rPr>
      </w:pPr>
      <w:bookmarkStart w:id="5" w:name="_heading=h.2xcytpi" w:colFirst="0" w:colLast="0"/>
      <w:bookmarkStart w:id="6" w:name="_heading=h.1ci93xb" w:colFirst="0" w:colLast="0"/>
      <w:bookmarkStart w:id="7" w:name="_Toc180512314"/>
      <w:bookmarkEnd w:id="5"/>
      <w:bookmarkEnd w:id="6"/>
      <w:r w:rsidRPr="0069577E">
        <w:rPr>
          <w:rFonts w:ascii="Times New Roman Bold" w:hAnsi="Times New Roman Bold"/>
          <w:b/>
          <w:sz w:val="28"/>
          <w:szCs w:val="28"/>
          <w:lang w:val="uk-UA"/>
        </w:rPr>
        <w:t>Мета</w:t>
      </w:r>
      <w:bookmarkEnd w:id="7"/>
      <w:r w:rsidRPr="0069577E">
        <w:rPr>
          <w:rFonts w:ascii="Times New Roman Bold" w:hAnsi="Times New Roman Bold"/>
          <w:b/>
          <w:sz w:val="28"/>
          <w:szCs w:val="28"/>
          <w:lang w:val="uk-UA"/>
        </w:rPr>
        <w:t xml:space="preserve"> </w:t>
      </w:r>
    </w:p>
    <w:p w14:paraId="43A6DD1C" w14:textId="77777777"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Метою цього завдання є визначення/підтвердження Консультантом досягнення результатів 2026 та 2027 року в рамках Програми SURGE (PforR) шляхом проведення незалежної верифікації доказів, наданих Мінфіном, і підготовка верифікаційних звітів, що підтверджують статус досягнення відповідно до вимог Світового банку.</w:t>
      </w:r>
    </w:p>
    <w:p w14:paraId="737D4473" w14:textId="77777777" w:rsidR="0069577E" w:rsidRPr="0069577E" w:rsidRDefault="0069577E" w:rsidP="0069577E">
      <w:pPr>
        <w:keepNext/>
        <w:keepLines/>
        <w:numPr>
          <w:ilvl w:val="0"/>
          <w:numId w:val="35"/>
        </w:numPr>
        <w:tabs>
          <w:tab w:val="left" w:pos="426"/>
        </w:tabs>
        <w:spacing w:before="240" w:after="240"/>
        <w:outlineLvl w:val="0"/>
        <w:rPr>
          <w:rFonts w:ascii="Times New Roman Bold" w:hAnsi="Times New Roman Bold"/>
          <w:b/>
          <w:sz w:val="28"/>
          <w:szCs w:val="28"/>
          <w:lang w:val="uk-UA"/>
        </w:rPr>
      </w:pPr>
      <w:bookmarkStart w:id="8" w:name="_Toc180512315"/>
      <w:r w:rsidRPr="0069577E">
        <w:rPr>
          <w:rFonts w:ascii="Times New Roman Bold" w:hAnsi="Times New Roman Bold"/>
          <w:b/>
          <w:sz w:val="28"/>
          <w:szCs w:val="28"/>
          <w:lang w:val="uk-UA"/>
        </w:rPr>
        <w:t>Обсяг послуг і завдань</w:t>
      </w:r>
      <w:bookmarkEnd w:id="8"/>
      <w:r w:rsidRPr="0069577E">
        <w:rPr>
          <w:rFonts w:ascii="Times New Roman Bold" w:hAnsi="Times New Roman Bold"/>
          <w:b/>
          <w:sz w:val="28"/>
          <w:szCs w:val="28"/>
          <w:lang w:val="uk-UA"/>
        </w:rPr>
        <w:t xml:space="preserve"> </w:t>
      </w:r>
    </w:p>
    <w:p w14:paraId="27B7E258" w14:textId="77777777"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Консультант під час виконання завдання має провести незалежну перевірку досягнення тринадцяти (13) DLR, зазначених у Додатку 1.</w:t>
      </w:r>
    </w:p>
    <w:p w14:paraId="54731977" w14:textId="23C6148E"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Консультант виконує верифікацію відповідно до процедур, описаних у Протокол</w:t>
      </w:r>
      <w:r w:rsidR="00A82A2A">
        <w:rPr>
          <w:rFonts w:ascii="Times New Roman" w:hAnsi="Times New Roman"/>
          <w:sz w:val="24"/>
          <w:szCs w:val="24"/>
          <w:lang w:val="uk-UA"/>
        </w:rPr>
        <w:t>ах</w:t>
      </w:r>
      <w:r w:rsidRPr="0069577E">
        <w:rPr>
          <w:rFonts w:ascii="Times New Roman" w:hAnsi="Times New Roman"/>
          <w:sz w:val="24"/>
          <w:szCs w:val="24"/>
          <w:lang w:val="uk-UA"/>
        </w:rPr>
        <w:t xml:space="preserve"> верифікації, наведен</w:t>
      </w:r>
      <w:r w:rsidR="00A82A2A">
        <w:rPr>
          <w:rFonts w:ascii="Times New Roman" w:hAnsi="Times New Roman"/>
          <w:sz w:val="24"/>
          <w:szCs w:val="24"/>
          <w:lang w:val="uk-UA"/>
        </w:rPr>
        <w:t>их</w:t>
      </w:r>
      <w:r w:rsidRPr="0069577E">
        <w:rPr>
          <w:rFonts w:ascii="Times New Roman" w:hAnsi="Times New Roman"/>
          <w:sz w:val="24"/>
          <w:szCs w:val="24"/>
          <w:lang w:val="uk-UA"/>
        </w:rPr>
        <w:t xml:space="preserve"> в Додатку 2.</w:t>
      </w:r>
    </w:p>
    <w:p w14:paraId="5EA4DFB7" w14:textId="77777777"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Консультант зосередиться на аналізі програмної документації та опитуванні відповідних зацікавлених сторін, щоб забезпечити точну незалежну перевірку та визначити статус досягнення результатів.</w:t>
      </w:r>
    </w:p>
    <w:p w14:paraId="7627687D" w14:textId="77777777"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Консультант виконуватиме такі завдання:</w:t>
      </w:r>
    </w:p>
    <w:p w14:paraId="60E06AA9" w14:textId="77777777" w:rsidR="0069577E" w:rsidRPr="0069577E" w:rsidRDefault="0069577E" w:rsidP="0069577E">
      <w:pPr>
        <w:keepNext/>
        <w:jc w:val="both"/>
        <w:outlineLvl w:val="1"/>
        <w:rPr>
          <w:rFonts w:ascii="Times New Roman" w:hAnsi="Times New Roman"/>
          <w:sz w:val="24"/>
          <w:szCs w:val="24"/>
          <w:lang w:val="uk-UA"/>
        </w:rPr>
      </w:pPr>
      <w:bookmarkStart w:id="9" w:name="_Toc180512316"/>
      <w:r w:rsidRPr="0069577E">
        <w:rPr>
          <w:rFonts w:ascii="Times New Roman" w:hAnsi="Times New Roman"/>
          <w:sz w:val="24"/>
          <w:szCs w:val="24"/>
          <w:lang w:val="uk-UA"/>
        </w:rPr>
        <w:t>Огляд документації Програми SURGE:</w:t>
      </w:r>
      <w:bookmarkEnd w:id="9"/>
    </w:p>
    <w:p w14:paraId="1C68BAED"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Перегляд ключових документів, включаючи документ щодо Проекту (</w:t>
      </w:r>
      <w:r w:rsidRPr="0069577E">
        <w:rPr>
          <w:rFonts w:ascii="Times New Roman" w:hAnsi="Times New Roman"/>
          <w:sz w:val="24"/>
          <w:szCs w:val="24"/>
        </w:rPr>
        <w:t>Project Paper</w:t>
      </w:r>
      <w:r w:rsidRPr="0069577E">
        <w:rPr>
          <w:rFonts w:ascii="Times New Roman" w:hAnsi="Times New Roman"/>
          <w:sz w:val="24"/>
          <w:szCs w:val="24"/>
          <w:lang w:val="uk-UA"/>
        </w:rPr>
        <w:t>), угоду про позику, матрицю DLI,</w:t>
      </w:r>
      <w:r w:rsidRPr="0069577E">
        <w:rPr>
          <w:rFonts w:ascii="Times New Roman" w:hAnsi="Times New Roman"/>
          <w:strike/>
          <w:sz w:val="24"/>
          <w:szCs w:val="24"/>
          <w:lang w:val="uk-UA"/>
        </w:rPr>
        <w:t xml:space="preserve"> </w:t>
      </w:r>
      <w:r w:rsidRPr="0069577E">
        <w:rPr>
          <w:rFonts w:ascii="Times New Roman" w:hAnsi="Times New Roman"/>
          <w:sz w:val="24"/>
          <w:szCs w:val="24"/>
          <w:lang w:val="uk-UA"/>
        </w:rPr>
        <w:t>рамки результатів та будь-які відповідні звіти про прогрес Програми SURGE, включаючи верифікаційні звіти, підготовлені для DLR, досягнутих у попередні періоди (за необхідності).</w:t>
      </w:r>
    </w:p>
    <w:p w14:paraId="78D7CE4A"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Аналіз доступних даних з систем моніторингу виконання Програми SURGE, фінансових записів і звітів, поданих партнерами.</w:t>
      </w:r>
    </w:p>
    <w:p w14:paraId="0A11F5EE" w14:textId="77777777" w:rsidR="0069577E" w:rsidRPr="0069577E" w:rsidRDefault="0069577E" w:rsidP="0069577E">
      <w:pPr>
        <w:keepNext/>
        <w:ind w:left="720" w:hanging="720"/>
        <w:jc w:val="both"/>
        <w:outlineLvl w:val="1"/>
        <w:rPr>
          <w:rFonts w:ascii="Times New Roman" w:hAnsi="Times New Roman"/>
          <w:sz w:val="24"/>
          <w:szCs w:val="24"/>
          <w:lang w:val="uk-UA"/>
        </w:rPr>
      </w:pPr>
      <w:bookmarkStart w:id="10" w:name="_Toc180512317"/>
      <w:r w:rsidRPr="0069577E">
        <w:rPr>
          <w:rFonts w:ascii="Times New Roman" w:hAnsi="Times New Roman"/>
          <w:sz w:val="24"/>
          <w:szCs w:val="24"/>
          <w:lang w:val="uk-UA"/>
        </w:rPr>
        <w:t>Незалежна перевірка DLI/DLR:</w:t>
      </w:r>
      <w:bookmarkEnd w:id="10"/>
    </w:p>
    <w:p w14:paraId="6E14677A"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Перевірка досягнення DLI/DLR, як зазначено в Додатку 1, шляхом перегляду відповідних доказів, наданих Мінфіном, а також додаткових доказів, які необхідно зібрати під час верифікації.</w:t>
      </w:r>
    </w:p>
    <w:p w14:paraId="1FD2A01E"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Запити від Мінфіну та партнерів-виконавців із впровадження будь-яких наявних доказів, що підтверджують досягнення відповідних DLRs.</w:t>
      </w:r>
    </w:p>
    <w:p w14:paraId="6E556ED8"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Перевірка точніості даних, наданих партнерами Програми SURGE, на відповідність цілям DLI/DLR.</w:t>
      </w:r>
      <w:bookmarkStart w:id="11" w:name="_Toc180512318"/>
    </w:p>
    <w:p w14:paraId="5E8A4D67"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Перевірка функціональності системи шляхом живої або записаної демонстрації, проведеної агентством-виконавцем, для DLR, пов'язаних з інтероперабельністю DREAM, кліматичними модулями, LOGICA та SAF-T UA. Консультант повинен задокументувати демонстрацію у звіті про верифікацію, включаючи знімки екрана, системні журнали (логи) або інші докази спостережуваної функціональності. Самих лише документальних доказів недостатньо для підтвердження досягнення цих DLR.</w:t>
      </w:r>
    </w:p>
    <w:p w14:paraId="7AC848D9"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Незалежний перерахунок досягнення показників на основі первинних (вихідних) наборів даних, а не лише на основі зведеної</w:t>
      </w:r>
      <w:r w:rsidRPr="0069577E">
        <w:rPr>
          <w:rFonts w:ascii="Times New Roman" w:hAnsi="Times New Roman"/>
          <w:sz w:val="24"/>
          <w:szCs w:val="24"/>
        </w:rPr>
        <w:t xml:space="preserve"> інформації, наданої агентствами-виконавцями, для масштабованих DLR. </w:t>
      </w:r>
    </w:p>
    <w:p w14:paraId="709FA444" w14:textId="77777777" w:rsidR="0069577E" w:rsidRPr="0069577E" w:rsidRDefault="0069577E" w:rsidP="0069577E">
      <w:pPr>
        <w:keepNext/>
        <w:ind w:left="720" w:hanging="720"/>
        <w:jc w:val="both"/>
        <w:outlineLvl w:val="1"/>
        <w:rPr>
          <w:rFonts w:ascii="Times New Roman" w:hAnsi="Times New Roman"/>
          <w:sz w:val="24"/>
          <w:szCs w:val="24"/>
          <w:lang w:val="uk-UA"/>
        </w:rPr>
      </w:pPr>
      <w:r w:rsidRPr="0069577E">
        <w:rPr>
          <w:rFonts w:ascii="Times New Roman" w:hAnsi="Times New Roman"/>
          <w:sz w:val="24"/>
          <w:szCs w:val="24"/>
          <w:lang w:val="uk-UA"/>
        </w:rPr>
        <w:lastRenderedPageBreak/>
        <w:t>Інтерв'ю з ключовими зацікавленими сторонами:</w:t>
      </w:r>
      <w:bookmarkEnd w:id="11"/>
    </w:p>
    <w:p w14:paraId="376DB339"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Проведення співбесід з ключовим персоналом, залученим до впровадження Програми SURGE, включаючи представників агенції-виконавця та партнерів, робочої групи Світового банку та інших відповідних зацікавлених сторін, щоб підтвердити статус досягнення відповідних DLR/DLI.</w:t>
      </w:r>
    </w:p>
    <w:p w14:paraId="0681688E"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Використання інтерв’ю, щоб отримати додаткову якісну інформацію про труднощі впровадження, досягнення та загальний прогрес Програми SURGE.</w:t>
      </w:r>
    </w:p>
    <w:p w14:paraId="2D94B0B5" w14:textId="77777777" w:rsidR="0069577E" w:rsidRPr="0069577E" w:rsidRDefault="0069577E" w:rsidP="0069577E">
      <w:pPr>
        <w:keepNext/>
        <w:ind w:left="720" w:hanging="720"/>
        <w:jc w:val="both"/>
        <w:outlineLvl w:val="1"/>
        <w:rPr>
          <w:rFonts w:ascii="Times New Roman" w:hAnsi="Times New Roman"/>
          <w:sz w:val="24"/>
          <w:szCs w:val="24"/>
          <w:lang w:val="uk-UA"/>
        </w:rPr>
      </w:pPr>
      <w:bookmarkStart w:id="12" w:name="_Toc180512319"/>
      <w:r w:rsidRPr="0069577E">
        <w:rPr>
          <w:rFonts w:ascii="Times New Roman" w:hAnsi="Times New Roman"/>
          <w:sz w:val="24"/>
          <w:szCs w:val="24"/>
          <w:lang w:val="uk-UA"/>
        </w:rPr>
        <w:t>Оцінка досягнення результатів Програми SURGE:</w:t>
      </w:r>
      <w:bookmarkEnd w:id="12"/>
    </w:p>
    <w:p w14:paraId="3C4BCE2B"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Оцінка того, чи було досягнуто DLR, на основі перевірених доказів і проведених інтерв’ю, а також визначення будь-яких проблем або відхилень від узгоджених процесів.</w:t>
      </w:r>
    </w:p>
    <w:p w14:paraId="43312D39"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Визначення ризиків або вузьких місць, які можуть перешкоджати прогресу Програми SURGE або досягненню DLR/DLI, і надання пропозицій щодо заходів пом’якшення, якщо це можливо.</w:t>
      </w:r>
    </w:p>
    <w:p w14:paraId="50A0C93C" w14:textId="77777777" w:rsidR="0069577E" w:rsidRPr="0069577E" w:rsidRDefault="0069577E" w:rsidP="0069577E">
      <w:pPr>
        <w:keepNext/>
        <w:ind w:left="720" w:hanging="720"/>
        <w:jc w:val="both"/>
        <w:outlineLvl w:val="1"/>
        <w:rPr>
          <w:rFonts w:ascii="Times New Roman" w:hAnsi="Times New Roman"/>
          <w:sz w:val="24"/>
          <w:szCs w:val="24"/>
          <w:lang w:val="uk-UA"/>
        </w:rPr>
      </w:pPr>
      <w:bookmarkStart w:id="13" w:name="_Toc180512320"/>
      <w:r w:rsidRPr="0069577E">
        <w:rPr>
          <w:rFonts w:ascii="Times New Roman" w:hAnsi="Times New Roman"/>
          <w:sz w:val="24"/>
          <w:szCs w:val="24"/>
          <w:lang w:val="uk-UA"/>
        </w:rPr>
        <w:t>Підготовка звітів про перевірку:</w:t>
      </w:r>
      <w:bookmarkEnd w:id="13"/>
    </w:p>
    <w:p w14:paraId="4354E15B"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Підготовка верифікаційних звітів, що підтверджують досягнення відповідних DLR/DLI на основі аналізу отриманих доказів та проведених інтерв’ю. Надання рекомендацій щодо вдосконалення Програми SURGE, розвитку потенціалу або технічної допомоги для посилення ефективності Програми SURGE.</w:t>
      </w:r>
    </w:p>
    <w:p w14:paraId="2A5642BE" w14:textId="77777777" w:rsidR="0069577E" w:rsidRPr="0069577E" w:rsidRDefault="0069577E" w:rsidP="0069577E">
      <w:pPr>
        <w:widowControl w:val="0"/>
        <w:numPr>
          <w:ilvl w:val="0"/>
          <w:numId w:val="33"/>
        </w:numPr>
        <w:autoSpaceDE w:val="0"/>
        <w:autoSpaceDN w:val="0"/>
        <w:adjustRightInd w:val="0"/>
        <w:spacing w:after="120"/>
        <w:ind w:left="709" w:hanging="425"/>
        <w:contextualSpacing/>
        <w:jc w:val="both"/>
        <w:rPr>
          <w:rFonts w:ascii="Times New Roman" w:hAnsi="Times New Roman"/>
          <w:sz w:val="24"/>
          <w:szCs w:val="24"/>
          <w:lang w:val="uk-UA"/>
        </w:rPr>
      </w:pPr>
      <w:r w:rsidRPr="0069577E">
        <w:rPr>
          <w:rFonts w:ascii="Times New Roman" w:hAnsi="Times New Roman"/>
          <w:sz w:val="24"/>
          <w:szCs w:val="24"/>
          <w:lang w:val="uk-UA"/>
        </w:rPr>
        <w:t>Надання пропозицій щодо стратегічних вдосконалень для майбутніх процесів верифікації для покращення досягнення цілей Програми, якщо це можливо.</w:t>
      </w:r>
    </w:p>
    <w:p w14:paraId="4A4B2EF7" w14:textId="77777777" w:rsidR="0069577E" w:rsidRPr="0069577E" w:rsidRDefault="0069577E" w:rsidP="0069577E">
      <w:pPr>
        <w:keepNext/>
        <w:keepLines/>
        <w:numPr>
          <w:ilvl w:val="0"/>
          <w:numId w:val="35"/>
        </w:numPr>
        <w:tabs>
          <w:tab w:val="left" w:pos="426"/>
        </w:tabs>
        <w:spacing w:before="240" w:after="240"/>
        <w:outlineLvl w:val="0"/>
        <w:rPr>
          <w:rFonts w:ascii="Times New Roman Bold" w:hAnsi="Times New Roman Bold"/>
          <w:b/>
          <w:sz w:val="28"/>
          <w:szCs w:val="28"/>
          <w:lang w:val="uk-UA"/>
        </w:rPr>
      </w:pPr>
      <w:bookmarkStart w:id="14" w:name="_Toc180512321"/>
      <w:r w:rsidRPr="0069577E">
        <w:rPr>
          <w:rFonts w:ascii="Times New Roman Bold" w:hAnsi="Times New Roman Bold"/>
          <w:b/>
          <w:sz w:val="28"/>
          <w:szCs w:val="28"/>
          <w:lang w:val="uk-UA"/>
        </w:rPr>
        <w:t>Вимоги до звітності та графік для кінцевих результатів</w:t>
      </w:r>
      <w:bookmarkEnd w:id="14"/>
    </w:p>
    <w:p w14:paraId="41559F8F" w14:textId="77777777" w:rsidR="0069577E" w:rsidRPr="0069577E" w:rsidRDefault="0069577E" w:rsidP="0069577E">
      <w:pPr>
        <w:spacing w:after="120"/>
        <w:ind w:left="720"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Консультант повинен підготувати та надати такі результати:</w:t>
      </w:r>
    </w:p>
    <w:tbl>
      <w:tblPr>
        <w:tblStyle w:val="unVaodaynghebainaydibanhttpnhatquanglanxlphpnet1"/>
        <w:tblW w:w="0" w:type="auto"/>
        <w:tblInd w:w="720" w:type="dxa"/>
        <w:tblLayout w:type="fixed"/>
        <w:tblLook w:val="04A0" w:firstRow="1" w:lastRow="0" w:firstColumn="1" w:lastColumn="0" w:noHBand="0" w:noVBand="1"/>
      </w:tblPr>
      <w:tblGrid>
        <w:gridCol w:w="693"/>
        <w:gridCol w:w="5326"/>
        <w:gridCol w:w="3010"/>
      </w:tblGrid>
      <w:tr w:rsidR="0069577E" w:rsidRPr="0069577E" w14:paraId="755821EE"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0CD70506" w14:textId="77777777" w:rsidR="0069577E" w:rsidRPr="0069577E" w:rsidRDefault="0069577E" w:rsidP="0069577E">
            <w:pPr>
              <w:spacing w:after="120"/>
              <w:ind w:right="86"/>
              <w:jc w:val="both"/>
              <w:rPr>
                <w:rFonts w:ascii="Times New Roman" w:hAnsi="Times New Roman"/>
                <w:color w:val="000000"/>
                <w:sz w:val="24"/>
                <w:szCs w:val="24"/>
                <w:lang w:val="uk-UA"/>
              </w:rPr>
            </w:pP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2FE86304" w14:textId="77777777" w:rsidR="0069577E" w:rsidRPr="0069577E" w:rsidRDefault="0069577E" w:rsidP="0069577E">
            <w:pPr>
              <w:spacing w:after="120"/>
              <w:ind w:right="86"/>
              <w:jc w:val="center"/>
              <w:rPr>
                <w:rFonts w:ascii="Times New Roman" w:hAnsi="Times New Roman"/>
                <w:color w:val="000000"/>
                <w:sz w:val="24"/>
                <w:szCs w:val="24"/>
                <w:lang w:val="uk-UA"/>
              </w:rPr>
            </w:pPr>
            <w:r w:rsidRPr="0069577E">
              <w:rPr>
                <w:rFonts w:ascii="Times New Roman" w:hAnsi="Times New Roman"/>
                <w:color w:val="000000"/>
                <w:sz w:val="24"/>
                <w:szCs w:val="24"/>
                <w:lang w:val="uk-UA"/>
              </w:rPr>
              <w:t>Результат</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012B4DE6" w14:textId="77777777" w:rsidR="0069577E" w:rsidRPr="0069577E" w:rsidRDefault="0069577E" w:rsidP="0069577E">
            <w:pPr>
              <w:spacing w:after="120"/>
              <w:ind w:right="86"/>
              <w:jc w:val="both"/>
              <w:rPr>
                <w:rFonts w:ascii="Times New Roman" w:hAnsi="Times New Roman"/>
                <w:sz w:val="24"/>
                <w:szCs w:val="24"/>
                <w:lang w:val="uk-UA"/>
              </w:rPr>
            </w:pPr>
            <w:r w:rsidRPr="0069577E">
              <w:rPr>
                <w:rFonts w:ascii="Times New Roman" w:hAnsi="Times New Roman"/>
                <w:sz w:val="24"/>
                <w:szCs w:val="24"/>
                <w:lang w:val="uk-UA"/>
              </w:rPr>
              <w:t>Кінцевий термін подання (з дати повідомлення Мінфіном про початок проведення перевірки та надання доказів)</w:t>
            </w:r>
          </w:p>
        </w:tc>
      </w:tr>
      <w:tr w:rsidR="0069577E" w:rsidRPr="0069577E" w14:paraId="458D160F"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511A9C33"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1 .</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04E735C2"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1. Верифікаційний звіт щодо досягнення DLR 1.7 (i).</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3506162A"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6 робочих днів</w:t>
            </w:r>
          </w:p>
        </w:tc>
      </w:tr>
      <w:tr w:rsidR="0069577E" w:rsidRPr="0069577E" w14:paraId="77FAA2E6"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50941E42"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2.</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5D599787" w14:textId="77777777" w:rsidR="0069577E" w:rsidRPr="0069577E" w:rsidDel="00717333"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2. Верифікаційний звіт щодо досягнення DLR 1.7 (iі).</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5116EFCE"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6 робочих днів</w:t>
            </w:r>
          </w:p>
        </w:tc>
      </w:tr>
      <w:tr w:rsidR="0069577E" w:rsidRPr="0069577E" w14:paraId="6CF7BE53"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6548556D"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3.</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23022AD0" w14:textId="77777777" w:rsidR="0069577E" w:rsidRPr="0069577E" w:rsidDel="00717333"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3. Верифікаційний звіт щодо досягнення  DLR 1.7 (iіі).</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25313CD7"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6 робочих днів</w:t>
            </w:r>
          </w:p>
        </w:tc>
      </w:tr>
      <w:tr w:rsidR="0069577E" w:rsidRPr="0069577E" w14:paraId="4B1CB97F"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774D5529"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4 .</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6CC8EC05"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4 містить Верифікаційний звіт щодо досягнення двох DLR: DLR 1.8 (і)  та DLR 1.8 (і</w:t>
            </w:r>
            <w:r w:rsidRPr="0069577E">
              <w:rPr>
                <w:rFonts w:ascii="Times New Roman" w:hAnsi="Times New Roman"/>
                <w:color w:val="000000"/>
                <w:sz w:val="24"/>
                <w:szCs w:val="24"/>
              </w:rPr>
              <w:t>i</w:t>
            </w:r>
            <w:r w:rsidRPr="0069577E">
              <w:rPr>
                <w:rFonts w:ascii="Times New Roman" w:hAnsi="Times New Roman"/>
                <w:color w:val="000000"/>
                <w:sz w:val="24"/>
                <w:szCs w:val="24"/>
                <w:lang w:val="uk-UA"/>
              </w:rPr>
              <w:t>).</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73136BD5"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10 робочих днів</w:t>
            </w:r>
          </w:p>
        </w:tc>
      </w:tr>
      <w:tr w:rsidR="0069577E" w:rsidRPr="0069577E" w14:paraId="3984256A"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2805255D"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5 .</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68772DA9"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5. Верифікаційний звіт щодо досягнення DLR 2.4 (ii).</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3F1F942C"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10 робочих днів</w:t>
            </w:r>
          </w:p>
        </w:tc>
      </w:tr>
      <w:tr w:rsidR="0069577E" w:rsidRPr="0069577E" w14:paraId="0733E727"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1D9C2DA6"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6.</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0B90007D"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6. Верифікаційний звіт про досягнення DLR 2.5.</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2E6F8451"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7 робочих днів</w:t>
            </w:r>
          </w:p>
        </w:tc>
      </w:tr>
      <w:tr w:rsidR="0069577E" w:rsidRPr="0069577E" w14:paraId="1382D025"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6D3780D5"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7.</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05565807"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7. Верифікаційний звіт про досягнення DLR 2.6.</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5C7BC6B4"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7 робочих днів</w:t>
            </w:r>
          </w:p>
        </w:tc>
      </w:tr>
      <w:tr w:rsidR="0069577E" w:rsidRPr="0069577E" w14:paraId="1DBA374C"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1C77CC5F"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lastRenderedPageBreak/>
              <w:t>8.</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3AE82371"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 xml:space="preserve">Звіт 8. Верифікаційний звіт щодо досягнення DLR 2.7 (і). </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76A4721A"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3 робочих днів</w:t>
            </w:r>
          </w:p>
        </w:tc>
      </w:tr>
      <w:tr w:rsidR="0069577E" w:rsidRPr="0069577E" w14:paraId="4FA254B4"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0BE82F29"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9.</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6565F57C"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9. Верифікаційний звіт щодо досягнення DLR 2.7 (іі).</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13877BBA"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6 робочих днів</w:t>
            </w:r>
          </w:p>
        </w:tc>
      </w:tr>
      <w:tr w:rsidR="0069577E" w:rsidRPr="0069577E" w14:paraId="46508973"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219857D5"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10.</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6C6E4312"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10. Верифікаційний звіт про досягнення DLR 4.3.</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5D0FE852"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8 робочих днів</w:t>
            </w:r>
          </w:p>
        </w:tc>
      </w:tr>
      <w:tr w:rsidR="0069577E" w:rsidRPr="0069577E" w14:paraId="0DF8C901"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1AB5DDB1"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11.</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4E068BC4"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11. Верифікаційний звіт про досягнення DLR 4.4.</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6C2CCE71"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3 робочих днів</w:t>
            </w:r>
          </w:p>
        </w:tc>
      </w:tr>
      <w:tr w:rsidR="0069577E" w:rsidRPr="0069577E" w14:paraId="4F20E07E" w14:textId="77777777" w:rsidTr="008D5022">
        <w:trPr>
          <w:trHeight w:val="300"/>
        </w:trPr>
        <w:tc>
          <w:tcPr>
            <w:tcW w:w="693" w:type="dxa"/>
            <w:tcBorders>
              <w:top w:val="single" w:sz="8" w:space="0" w:color="auto"/>
              <w:left w:val="single" w:sz="8" w:space="0" w:color="auto"/>
              <w:bottom w:val="single" w:sz="8" w:space="0" w:color="auto"/>
              <w:right w:val="single" w:sz="8" w:space="0" w:color="auto"/>
            </w:tcBorders>
            <w:tcMar>
              <w:left w:w="108" w:type="dxa"/>
              <w:right w:w="108" w:type="dxa"/>
            </w:tcMar>
          </w:tcPr>
          <w:p w14:paraId="1C43D9E5"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12.</w:t>
            </w:r>
          </w:p>
        </w:tc>
        <w:tc>
          <w:tcPr>
            <w:tcW w:w="5326" w:type="dxa"/>
            <w:tcBorders>
              <w:top w:val="single" w:sz="8" w:space="0" w:color="auto"/>
              <w:left w:val="single" w:sz="8" w:space="0" w:color="auto"/>
              <w:bottom w:val="single" w:sz="8" w:space="0" w:color="auto"/>
              <w:right w:val="single" w:sz="8" w:space="0" w:color="auto"/>
            </w:tcBorders>
            <w:tcMar>
              <w:left w:w="108" w:type="dxa"/>
              <w:right w:w="108" w:type="dxa"/>
            </w:tcMar>
          </w:tcPr>
          <w:p w14:paraId="720AF84F"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Звіт 12. Верифікаційний звіт про досягнення DLR 4.5.</w:t>
            </w:r>
          </w:p>
        </w:tc>
        <w:tc>
          <w:tcPr>
            <w:tcW w:w="3010" w:type="dxa"/>
            <w:tcBorders>
              <w:top w:val="single" w:sz="8" w:space="0" w:color="auto"/>
              <w:left w:val="single" w:sz="8" w:space="0" w:color="auto"/>
              <w:bottom w:val="single" w:sz="8" w:space="0" w:color="auto"/>
              <w:right w:val="single" w:sz="8" w:space="0" w:color="auto"/>
            </w:tcBorders>
            <w:tcMar>
              <w:left w:w="108" w:type="dxa"/>
              <w:right w:w="108" w:type="dxa"/>
            </w:tcMar>
          </w:tcPr>
          <w:p w14:paraId="29E4F1E6" w14:textId="77777777" w:rsidR="0069577E" w:rsidRPr="0069577E" w:rsidRDefault="0069577E" w:rsidP="0069577E">
            <w:pPr>
              <w:spacing w:after="120"/>
              <w:ind w:right="86"/>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Протягом 7 робочих днів</w:t>
            </w:r>
          </w:p>
        </w:tc>
      </w:tr>
    </w:tbl>
    <w:p w14:paraId="3B5116BE" w14:textId="77777777" w:rsidR="0069577E" w:rsidRPr="0069577E" w:rsidRDefault="0069577E" w:rsidP="0069577E">
      <w:pPr>
        <w:widowControl w:val="0"/>
        <w:spacing w:after="120"/>
        <w:ind w:right="86"/>
        <w:jc w:val="both"/>
        <w:rPr>
          <w:rFonts w:ascii="Times New Roman" w:hAnsi="Times New Roman"/>
          <w:sz w:val="24"/>
          <w:szCs w:val="24"/>
          <w:lang w:val="uk-UA"/>
        </w:rPr>
      </w:pPr>
    </w:p>
    <w:p w14:paraId="30E2501D" w14:textId="77777777" w:rsidR="0069577E" w:rsidRPr="0069577E" w:rsidRDefault="0069577E" w:rsidP="0069577E">
      <w:pPr>
        <w:widowControl w:val="0"/>
        <w:spacing w:after="120"/>
        <w:ind w:right="86" w:firstLine="567"/>
        <w:jc w:val="both"/>
        <w:rPr>
          <w:rFonts w:ascii="Times New Roman" w:hAnsi="Times New Roman"/>
          <w:sz w:val="24"/>
          <w:szCs w:val="24"/>
          <w:lang w:val="uk-UA"/>
        </w:rPr>
      </w:pPr>
      <w:r w:rsidRPr="0069577E">
        <w:rPr>
          <w:rFonts w:ascii="Times New Roman" w:hAnsi="Times New Roman"/>
          <w:sz w:val="24"/>
          <w:szCs w:val="24"/>
          <w:lang w:val="uk-UA"/>
        </w:rPr>
        <w:t>Консультант повинен підготувати верифікаційні звіти для кожного DLR у деталях, як того вимагає Протокол верифікації, детально описаний у Додатку 2 до ТЗ, та інші деталі, які можуть бути запитані Мінфіном заздалегідь.</w:t>
      </w:r>
    </w:p>
    <w:p w14:paraId="7528413F" w14:textId="77777777" w:rsidR="0069577E" w:rsidRPr="0069577E" w:rsidRDefault="0069577E" w:rsidP="0069577E">
      <w:pPr>
        <w:widowControl w:val="0"/>
        <w:spacing w:after="120"/>
        <w:ind w:right="86" w:firstLine="567"/>
        <w:jc w:val="both"/>
        <w:rPr>
          <w:rFonts w:ascii="Times New Roman" w:hAnsi="Times New Roman"/>
          <w:sz w:val="24"/>
          <w:szCs w:val="24"/>
          <w:lang w:val="uk-UA"/>
        </w:rPr>
      </w:pPr>
      <w:r w:rsidRPr="0069577E">
        <w:rPr>
          <w:rFonts w:ascii="Times New Roman" w:hAnsi="Times New Roman"/>
          <w:sz w:val="24"/>
          <w:szCs w:val="24"/>
          <w:lang w:val="uk-UA"/>
        </w:rPr>
        <w:t>У кожному верифікаційному звіті повинні бути представлені результати проведеної процедури перевірки, включно з результатами кабінетних перевірок та проведених інтерв’ю, а також висновки щодо статусу досягнення DLR та його готовності до відшкодування. Верифікаційні звіти повинні містити:</w:t>
      </w:r>
    </w:p>
    <w:p w14:paraId="245C107D" w14:textId="77777777" w:rsidR="0069577E" w:rsidRPr="0069577E" w:rsidRDefault="0069577E" w:rsidP="0069577E">
      <w:pPr>
        <w:widowControl w:val="0"/>
        <w:numPr>
          <w:ilvl w:val="0"/>
          <w:numId w:val="32"/>
        </w:numPr>
        <w:pBdr>
          <w:top w:val="nil"/>
          <w:left w:val="nil"/>
          <w:bottom w:val="nil"/>
          <w:right w:val="nil"/>
          <w:between w:val="nil"/>
        </w:pBdr>
        <w:spacing w:after="120"/>
        <w:ind w:left="720" w:right="86" w:hanging="543"/>
        <w:jc w:val="both"/>
        <w:rPr>
          <w:rFonts w:ascii="Times New Roman" w:hAnsi="Times New Roman"/>
          <w:color w:val="000000"/>
          <w:sz w:val="24"/>
          <w:szCs w:val="24"/>
          <w:lang w:val="uk-UA"/>
        </w:rPr>
      </w:pPr>
      <w:r w:rsidRPr="0069577E">
        <w:rPr>
          <w:rFonts w:ascii="Times New Roman" w:hAnsi="Times New Roman"/>
          <w:color w:val="000000"/>
          <w:sz w:val="24"/>
          <w:szCs w:val="24"/>
          <w:lang w:val="uk-UA"/>
        </w:rPr>
        <w:t>Резюме ключових висновків і статус досягнення DLR;</w:t>
      </w:r>
    </w:p>
    <w:p w14:paraId="7AF155F6" w14:textId="77777777" w:rsidR="0069577E" w:rsidRPr="0069577E" w:rsidRDefault="0069577E" w:rsidP="0069577E">
      <w:pPr>
        <w:widowControl w:val="0"/>
        <w:numPr>
          <w:ilvl w:val="0"/>
          <w:numId w:val="32"/>
        </w:numPr>
        <w:pBdr>
          <w:top w:val="nil"/>
          <w:left w:val="nil"/>
          <w:bottom w:val="nil"/>
          <w:right w:val="nil"/>
          <w:between w:val="nil"/>
        </w:pBdr>
        <w:spacing w:after="120"/>
        <w:ind w:left="720" w:right="86" w:hanging="543"/>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Застосовану методологію верифікації та аналізу зібраних даних;</w:t>
      </w:r>
    </w:p>
    <w:p w14:paraId="177BB44F" w14:textId="77777777" w:rsidR="0069577E" w:rsidRPr="0069577E" w:rsidRDefault="0069577E" w:rsidP="0069577E">
      <w:pPr>
        <w:widowControl w:val="0"/>
        <w:numPr>
          <w:ilvl w:val="0"/>
          <w:numId w:val="32"/>
        </w:numPr>
        <w:pBdr>
          <w:top w:val="nil"/>
          <w:left w:val="nil"/>
          <w:bottom w:val="nil"/>
          <w:right w:val="nil"/>
          <w:between w:val="nil"/>
        </w:pBdr>
        <w:spacing w:after="120"/>
        <w:ind w:left="720" w:right="86" w:hanging="543"/>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Короткий виклад інформації та даних, зібраних для перевірки, з посиланнями на спосіб отримання інформації, джерела інформації та перелік даних посадових осіб, з якими було проведено інтерв’ю/контакт, якщо це застосовується;</w:t>
      </w:r>
    </w:p>
    <w:p w14:paraId="7FC0EA93" w14:textId="77777777" w:rsidR="0069577E" w:rsidRPr="0069577E" w:rsidRDefault="0069577E" w:rsidP="0069577E">
      <w:pPr>
        <w:widowControl w:val="0"/>
        <w:numPr>
          <w:ilvl w:val="0"/>
          <w:numId w:val="32"/>
        </w:numPr>
        <w:pBdr>
          <w:top w:val="nil"/>
          <w:left w:val="nil"/>
          <w:bottom w:val="nil"/>
          <w:right w:val="nil"/>
          <w:between w:val="nil"/>
        </w:pBdr>
        <w:spacing w:after="120"/>
        <w:ind w:left="720" w:right="86" w:hanging="543"/>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Висновок про статус досягнення DLR та його готовність щодо здійснення подальшої виплати відповідних коштів позики або рекомендації щодо незавершених кроків, необхідних для досягнення цілей.</w:t>
      </w:r>
    </w:p>
    <w:p w14:paraId="26F40C3B" w14:textId="77777777" w:rsidR="0069577E" w:rsidRPr="0069577E" w:rsidRDefault="0069577E" w:rsidP="0069577E">
      <w:pPr>
        <w:spacing w:after="120"/>
        <w:ind w:firstLine="567"/>
        <w:jc w:val="both"/>
        <w:rPr>
          <w:rFonts w:ascii="Times New Roman" w:hAnsi="Times New Roman"/>
          <w:sz w:val="24"/>
          <w:szCs w:val="24"/>
          <w:lang w:val="uk-UA"/>
        </w:rPr>
      </w:pPr>
      <w:r w:rsidRPr="0069577E">
        <w:rPr>
          <w:rFonts w:ascii="Times New Roman" w:hAnsi="Times New Roman"/>
          <w:sz w:val="24"/>
          <w:szCs w:val="24"/>
          <w:lang w:val="uk-UA"/>
        </w:rPr>
        <w:t>Кожен звіт про перевірку повинен містити копії відповідних перевірених доказів або посилання на них, якщо це застосовується.</w:t>
      </w:r>
    </w:p>
    <w:p w14:paraId="7B85EC9A" w14:textId="77777777"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 xml:space="preserve">Усі результати повинні мати форму та зміст, які вимагаються протоколами верифікації та прийнятні для Мінфіну. Консультант подає наступні результати: i) верифікаційний звіт українською мовою в електронній формі на електронну адресу </w:t>
      </w:r>
      <w:hyperlink r:id="rId8" w:history="1">
        <w:r w:rsidRPr="0069577E">
          <w:rPr>
            <w:rFonts w:ascii="Times New Roman" w:hAnsi="Times New Roman"/>
            <w:color w:val="0000FF"/>
            <w:sz w:val="24"/>
            <w:szCs w:val="24"/>
            <w:u w:val="single"/>
            <w:lang w:val="uk-UA"/>
          </w:rPr>
          <w:t>YTashuta@minfin.gov.ua</w:t>
        </w:r>
      </w:hyperlink>
      <w:r w:rsidRPr="0069577E">
        <w:rPr>
          <w:rFonts w:ascii="Times New Roman" w:hAnsi="Times New Roman"/>
          <w:sz w:val="24"/>
          <w:szCs w:val="24"/>
          <w:lang w:val="uk-UA"/>
        </w:rPr>
        <w:t xml:space="preserve"> для розгляду та коментарів Мінфіну, та ii) остаточні версії, погоджені Світовим банком, в електронному та друкованому (2 копії) вигляді українською та англійською мовами мають бути адресовані Координатору проекту Мінфіну.</w:t>
      </w:r>
    </w:p>
    <w:p w14:paraId="5BD2C07C" w14:textId="77777777" w:rsidR="0069577E" w:rsidRPr="0069577E" w:rsidRDefault="0069577E" w:rsidP="0069577E">
      <w:pPr>
        <w:spacing w:before="120" w:line="257" w:lineRule="auto"/>
        <w:ind w:firstLine="567"/>
        <w:jc w:val="both"/>
        <w:rPr>
          <w:rFonts w:ascii="Times New Roman" w:hAnsi="Times New Roman"/>
          <w:sz w:val="24"/>
          <w:szCs w:val="24"/>
          <w:lang w:val="uk-UA"/>
        </w:rPr>
      </w:pPr>
      <w:r w:rsidRPr="0069577E">
        <w:rPr>
          <w:rFonts w:ascii="Times New Roman" w:hAnsi="Times New Roman"/>
          <w:color w:val="000000"/>
          <w:sz w:val="24"/>
          <w:szCs w:val="24"/>
          <w:lang w:val="uk-UA"/>
        </w:rPr>
        <w:t xml:space="preserve">Мінфін розглядає кожний поданий верифікаційний звіт </w:t>
      </w:r>
      <w:r w:rsidRPr="0069577E">
        <w:rPr>
          <w:rFonts w:ascii="Times New Roman" w:hAnsi="Times New Roman"/>
          <w:sz w:val="24"/>
          <w:szCs w:val="24"/>
          <w:lang w:val="uk-UA"/>
        </w:rPr>
        <w:t xml:space="preserve">та у разі необхідності надає свої зауваження/коментарі протягом 5 робочих днів з дня отримання верифікаційного звіту. Консультант має виправити зауваження та/або надати відповідні коментарі протягом 5 робочих днів з дня їх отримання від Мінфіну. </w:t>
      </w:r>
      <w:r w:rsidRPr="0069577E">
        <w:rPr>
          <w:rFonts w:ascii="Times New Roman" w:hAnsi="Times New Roman"/>
          <w:color w:val="000000"/>
          <w:sz w:val="24"/>
          <w:szCs w:val="24"/>
          <w:lang w:val="uk-UA"/>
        </w:rPr>
        <w:t>У разі відсутності зауважень Мінфіну такі звіти направляються Мінфіном на розгляд Світового банку.</w:t>
      </w:r>
      <w:r w:rsidRPr="0069577E">
        <w:rPr>
          <w:rFonts w:ascii="Times New Roman" w:hAnsi="Times New Roman"/>
          <w:sz w:val="24"/>
          <w:szCs w:val="24"/>
          <w:lang w:val="uk-UA"/>
        </w:rPr>
        <w:t xml:space="preserve"> У разі коментарів та зауважень з боку Світового банку Мінфін доводить про це до відома Консультанта і він має виправити зауваження </w:t>
      </w:r>
      <w:r w:rsidRPr="0069577E">
        <w:rPr>
          <w:rFonts w:ascii="Times New Roman" w:hAnsi="Times New Roman"/>
          <w:sz w:val="24"/>
          <w:szCs w:val="24"/>
          <w:lang w:val="uk-UA"/>
        </w:rPr>
        <w:lastRenderedPageBreak/>
        <w:t>та/або надати відповідні коментарі протягом 5 робочих днів з дня їх отримання від Мінфіну після чого процедура повторюється.</w:t>
      </w:r>
    </w:p>
    <w:p w14:paraId="3F2F4EA8" w14:textId="77777777" w:rsidR="0069577E" w:rsidRPr="0069577E" w:rsidRDefault="0069577E" w:rsidP="0069577E">
      <w:pPr>
        <w:spacing w:before="120"/>
        <w:ind w:firstLine="567"/>
        <w:jc w:val="both"/>
        <w:rPr>
          <w:rFonts w:ascii="Times New Roman" w:hAnsi="Times New Roman"/>
          <w:sz w:val="24"/>
          <w:szCs w:val="24"/>
          <w:lang w:val="uk-UA"/>
        </w:rPr>
      </w:pPr>
      <w:r w:rsidRPr="0069577E">
        <w:rPr>
          <w:rFonts w:ascii="Times New Roman" w:hAnsi="Times New Roman"/>
          <w:sz w:val="24"/>
          <w:szCs w:val="24"/>
          <w:lang w:val="uk-UA"/>
        </w:rPr>
        <w:t>Мінфін надсилає свої коментарі та коментарі Світового банку до звітів у письмовій формі на електронну адресу Консультанта. Консультант повинен підтвердити отримання коментарів протягом доби після отримання повідомлення Мінфіну.</w:t>
      </w:r>
    </w:p>
    <w:p w14:paraId="14E9554E" w14:textId="77777777" w:rsidR="0069577E" w:rsidRPr="0069577E" w:rsidRDefault="0069577E" w:rsidP="0069577E">
      <w:pPr>
        <w:spacing w:before="120" w:line="257" w:lineRule="auto"/>
        <w:ind w:firstLine="567"/>
        <w:jc w:val="both"/>
        <w:rPr>
          <w:rFonts w:ascii="Times New Roman" w:hAnsi="Times New Roman"/>
          <w:sz w:val="24"/>
          <w:szCs w:val="24"/>
          <w:lang w:val="uk-UA"/>
        </w:rPr>
      </w:pPr>
      <w:r w:rsidRPr="0069577E">
        <w:rPr>
          <w:rFonts w:ascii="Times New Roman" w:hAnsi="Times New Roman"/>
          <w:sz w:val="24"/>
          <w:szCs w:val="24"/>
          <w:lang w:val="uk-UA"/>
        </w:rPr>
        <w:t>Після отримання від Консультанта остаточного підписаного верифікаційного звіту Мінфін направляє такий звіт Світовому банку листом, підписаним Координатором.</w:t>
      </w:r>
    </w:p>
    <w:p w14:paraId="567A55BF" w14:textId="77777777" w:rsidR="0069577E" w:rsidRPr="0069577E" w:rsidRDefault="0069577E" w:rsidP="0069577E">
      <w:pPr>
        <w:spacing w:before="120" w:line="257" w:lineRule="auto"/>
        <w:ind w:firstLine="567"/>
        <w:jc w:val="both"/>
        <w:rPr>
          <w:rFonts w:ascii="Times New Roman" w:hAnsi="Times New Roman"/>
          <w:sz w:val="24"/>
          <w:szCs w:val="24"/>
          <w:lang w:val="uk-UA"/>
        </w:rPr>
      </w:pPr>
      <w:r w:rsidRPr="0069577E">
        <w:rPr>
          <w:rFonts w:ascii="Times New Roman" w:hAnsi="Times New Roman"/>
          <w:sz w:val="24"/>
          <w:szCs w:val="24"/>
          <w:lang w:val="uk-UA"/>
        </w:rPr>
        <w:t>Прийняття кожного верифікаційного звіту має бути підтверджено Актом наданих послуг, підписаним між Мінфіном та Консультантом, після погодження Світовим банком такого звіту.  Підготовлений верифікаційний звіт, погодження Світовим банком цього верифікаційного звіту та підписаний Акт наданих послуг</w:t>
      </w:r>
      <w:r w:rsidRPr="0069577E" w:rsidDel="004B0E0A">
        <w:rPr>
          <w:rFonts w:ascii="Times New Roman" w:hAnsi="Times New Roman"/>
          <w:sz w:val="24"/>
          <w:szCs w:val="24"/>
          <w:lang w:val="uk-UA"/>
        </w:rPr>
        <w:t xml:space="preserve"> </w:t>
      </w:r>
      <w:r w:rsidRPr="0069577E">
        <w:rPr>
          <w:rFonts w:ascii="Times New Roman" w:hAnsi="Times New Roman"/>
          <w:sz w:val="24"/>
          <w:szCs w:val="24"/>
          <w:lang w:val="uk-UA"/>
        </w:rPr>
        <w:t>будуть слугувати підставою для розрахунків за надану послугу.</w:t>
      </w:r>
    </w:p>
    <w:p w14:paraId="2E385402" w14:textId="77777777" w:rsidR="0069577E" w:rsidRPr="0069577E" w:rsidRDefault="0069577E" w:rsidP="0069577E">
      <w:pPr>
        <w:jc w:val="both"/>
        <w:rPr>
          <w:rFonts w:ascii="Times New Roman" w:hAnsi="Times New Roman"/>
          <w:sz w:val="24"/>
          <w:szCs w:val="24"/>
          <w:lang w:val="uk-UA"/>
        </w:rPr>
      </w:pPr>
    </w:p>
    <w:p w14:paraId="41FB9F7A" w14:textId="77777777" w:rsidR="0069577E" w:rsidRPr="0069577E" w:rsidRDefault="0069577E" w:rsidP="0069577E">
      <w:pPr>
        <w:keepNext/>
        <w:keepLines/>
        <w:numPr>
          <w:ilvl w:val="0"/>
          <w:numId w:val="35"/>
        </w:numPr>
        <w:tabs>
          <w:tab w:val="left" w:pos="426"/>
        </w:tabs>
        <w:spacing w:before="240" w:after="240"/>
        <w:outlineLvl w:val="0"/>
        <w:rPr>
          <w:rFonts w:ascii="Times New Roman Bold" w:hAnsi="Times New Roman Bold"/>
          <w:b/>
          <w:sz w:val="28"/>
          <w:szCs w:val="28"/>
          <w:lang w:val="uk-UA"/>
        </w:rPr>
      </w:pPr>
      <w:bookmarkStart w:id="15" w:name="_Toc180512322"/>
      <w:r w:rsidRPr="0069577E">
        <w:rPr>
          <w:rFonts w:ascii="Times New Roman Bold" w:hAnsi="Times New Roman Bold"/>
          <w:b/>
          <w:sz w:val="28"/>
          <w:szCs w:val="28"/>
          <w:lang w:val="uk-UA"/>
        </w:rPr>
        <w:t>Тривалість, місце та умови реалізації</w:t>
      </w:r>
      <w:bookmarkEnd w:id="15"/>
    </w:p>
    <w:p w14:paraId="6D21E17C" w14:textId="77777777"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 xml:space="preserve">Очікується, що Консультант надаватиме свої послуги протягом 10 місяців з дати підписання договору. </w:t>
      </w:r>
    </w:p>
    <w:p w14:paraId="47D44DE7" w14:textId="77777777"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 xml:space="preserve">Консультант виконує свої функції з верифікації незалежно та не підлягає нагляду з боку будь-якого державного органу, відповідального за досягнення DLR. Виключно з адміністративних та договірних питань Консультант підпорядковується (звітує) Координатору Проекту. </w:t>
      </w:r>
    </w:p>
    <w:p w14:paraId="36BD7A80" w14:textId="77777777"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Для цілей отримання документації та доступу до відповідних посадових осіб Консультант координує свою діяльність з Міністерством фінансів (МФ) та агентствами-партнерами з реалізації. Така координація обмежується логістичними та адміністративними питаннями і не повинна впливати на незалежність суджень Консультанта під час проведення верифікації.</w:t>
      </w:r>
    </w:p>
    <w:p w14:paraId="1E114357" w14:textId="77777777" w:rsidR="0069577E" w:rsidRPr="0069577E" w:rsidRDefault="0069577E" w:rsidP="0069577E">
      <w:pPr>
        <w:autoSpaceDE w:val="0"/>
        <w:autoSpaceDN w:val="0"/>
        <w:adjustRightInd w:val="0"/>
        <w:ind w:firstLine="567"/>
        <w:jc w:val="both"/>
        <w:rPr>
          <w:rFonts w:ascii="Times New Roman" w:hAnsi="Times New Roman"/>
          <w:sz w:val="24"/>
          <w:szCs w:val="24"/>
          <w:lang w:val="uk-UA"/>
        </w:rPr>
      </w:pPr>
      <w:r w:rsidRPr="0069577E">
        <w:rPr>
          <w:rFonts w:ascii="Times New Roman" w:hAnsi="Times New Roman"/>
          <w:sz w:val="24"/>
          <w:szCs w:val="24"/>
          <w:lang w:val="uk-UA"/>
        </w:rPr>
        <w:t xml:space="preserve">Консультант тісно співпрацює із Групою впровадження Проектом, Сектором з питань управління публічними інвестиціями Мінфіну, Департаментом політики міжбюджетних відносин та місцевих бюджетів Мінфіну, </w:t>
      </w:r>
      <w:r w:rsidRPr="0069577E">
        <w:rPr>
          <w:rFonts w:ascii="Times New Roman" w:hAnsi="Times New Roman"/>
          <w:bCs/>
          <w:sz w:val="24"/>
          <w:szCs w:val="24"/>
          <w:lang w:val="uk-UA"/>
        </w:rPr>
        <w:t xml:space="preserve">Департаментом з питань цифрового розвитку, цифрових трансформацій і цифровізації Мінфіну, Департаментом забезпечення координаційно-моніторингової роботи Мінфіну, Департаментом податкової політики Мінфіну, </w:t>
      </w:r>
      <w:r w:rsidRPr="0069577E">
        <w:rPr>
          <w:rFonts w:ascii="Times New Roman" w:hAnsi="Times New Roman"/>
          <w:sz w:val="24"/>
          <w:szCs w:val="24"/>
          <w:lang w:val="uk-UA"/>
        </w:rPr>
        <w:t>а також відповідальними посадовими особами партнерів-виконавців Програми SURGE – Мінекономіки, Мінрозвитку, ДПС, інших зацікавлених сторін місцевого самоврядування, якщо це може знадобитися, а також представниками Світового банку команди Проекту.</w:t>
      </w:r>
    </w:p>
    <w:p w14:paraId="175114FC" w14:textId="77777777" w:rsidR="0069577E" w:rsidRPr="0069577E" w:rsidRDefault="0069577E" w:rsidP="0069577E">
      <w:pPr>
        <w:autoSpaceDE w:val="0"/>
        <w:autoSpaceDN w:val="0"/>
        <w:adjustRightInd w:val="0"/>
        <w:ind w:firstLine="567"/>
        <w:jc w:val="both"/>
        <w:rPr>
          <w:rFonts w:ascii="Times New Roman" w:hAnsi="Times New Roman"/>
          <w:bCs/>
          <w:sz w:val="24"/>
          <w:szCs w:val="24"/>
          <w:lang w:val="uk-UA"/>
        </w:rPr>
      </w:pPr>
      <w:r w:rsidRPr="0069577E">
        <w:rPr>
          <w:rFonts w:ascii="Times New Roman" w:hAnsi="Times New Roman"/>
          <w:bCs/>
          <w:sz w:val="24"/>
          <w:szCs w:val="24"/>
          <w:lang w:val="uk-UA"/>
        </w:rPr>
        <w:t>Консультант повинен виконувати всі функції перевірки незалежно та неупереджено, без будь-яких вказівок чи впливу з боку організацій, чиє досягнення DLR перевіряється, включаючи виконавчі департаменти Міністерства фінансів, Мінекономіки, Мінрозвитку та ДПС. Консультант повинен негайно повідомити Міністерство фінансів України про будь-які фактичні або потенційні конфлікти інтересів після їх виявлення. Нерозкриття конфлікту інтересів може призвести до розірвання договору.</w:t>
      </w:r>
    </w:p>
    <w:p w14:paraId="1C9EB9C0" w14:textId="77777777"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Консультант несе відповідальність за всі витрати, пов’язані з наданням Послуг, включаючи, але не обмежуючись: транспортні витрати, проживання за місцем надання послуг, витрати на переклад, зв’язок, друк.</w:t>
      </w:r>
    </w:p>
    <w:p w14:paraId="1048C90E" w14:textId="77777777" w:rsidR="0069577E" w:rsidRPr="0069577E" w:rsidRDefault="0069577E" w:rsidP="0069577E">
      <w:pPr>
        <w:ind w:firstLine="567"/>
        <w:jc w:val="both"/>
        <w:rPr>
          <w:rFonts w:ascii="Times New Roman" w:hAnsi="Times New Roman"/>
          <w:color w:val="000000"/>
          <w:sz w:val="24"/>
          <w:szCs w:val="24"/>
          <w:lang w:val="uk-UA"/>
        </w:rPr>
      </w:pPr>
      <w:r w:rsidRPr="0069577E">
        <w:rPr>
          <w:rFonts w:ascii="Times New Roman" w:hAnsi="Times New Roman"/>
          <w:sz w:val="24"/>
          <w:szCs w:val="24"/>
          <w:lang w:val="uk-UA"/>
        </w:rPr>
        <w:t>Залежно від потреб Мінфіну, наявності фінансування та задовільної роботи Консультанта завдання може бути продовжено або розширено за взаємною письмовою угодою між Мінфіном</w:t>
      </w:r>
      <w:r w:rsidRPr="0069577E">
        <w:rPr>
          <w:rFonts w:ascii="Times New Roman" w:hAnsi="Times New Roman"/>
          <w:color w:val="000000"/>
          <w:sz w:val="24"/>
          <w:szCs w:val="24"/>
          <w:lang w:val="uk-UA"/>
        </w:rPr>
        <w:t xml:space="preserve"> та Консультантом.</w:t>
      </w:r>
    </w:p>
    <w:p w14:paraId="5355CA71" w14:textId="77777777" w:rsidR="0069577E" w:rsidRPr="0069577E" w:rsidRDefault="0069577E" w:rsidP="0069577E">
      <w:pPr>
        <w:spacing w:line="257" w:lineRule="auto"/>
        <w:ind w:firstLine="567"/>
        <w:jc w:val="both"/>
        <w:rPr>
          <w:rFonts w:ascii="Times New Roman" w:hAnsi="Times New Roman"/>
          <w:sz w:val="24"/>
          <w:szCs w:val="24"/>
          <w:lang w:val="uk-UA"/>
        </w:rPr>
      </w:pPr>
      <w:r w:rsidRPr="0069577E">
        <w:rPr>
          <w:rFonts w:ascii="Times New Roman" w:hAnsi="Times New Roman"/>
          <w:sz w:val="24"/>
          <w:szCs w:val="24"/>
          <w:lang w:val="uk-UA"/>
        </w:rPr>
        <w:lastRenderedPageBreak/>
        <w:t>Мінфін надасть Консультанту такі послуги, документи та засоби для забезпечення спроможності Консультанта виконувати свої зобов’язання за завданням:</w:t>
      </w:r>
    </w:p>
    <w:p w14:paraId="1D443F46" w14:textId="77777777" w:rsidR="0069577E" w:rsidRPr="0069577E" w:rsidRDefault="0069577E" w:rsidP="0069577E">
      <w:pPr>
        <w:widowControl w:val="0"/>
        <w:numPr>
          <w:ilvl w:val="0"/>
          <w:numId w:val="34"/>
        </w:numPr>
        <w:autoSpaceDE w:val="0"/>
        <w:autoSpaceDN w:val="0"/>
        <w:adjustRightInd w:val="0"/>
        <w:contextualSpacing/>
        <w:jc w:val="both"/>
        <w:rPr>
          <w:rFonts w:ascii="Times New Roman" w:hAnsi="Times New Roman"/>
          <w:color w:val="000000"/>
          <w:sz w:val="24"/>
          <w:szCs w:val="24"/>
          <w:lang w:val="uk-UA"/>
        </w:rPr>
      </w:pPr>
      <w:r w:rsidRPr="0069577E">
        <w:rPr>
          <w:rFonts w:ascii="Times New Roman" w:hAnsi="Times New Roman"/>
          <w:color w:val="000000"/>
          <w:sz w:val="24"/>
          <w:szCs w:val="24"/>
          <w:lang w:val="uk-UA"/>
        </w:rPr>
        <w:t>усі відповідні документи та відомості, не позначені як обмежений доступ або не належать до конфіденційної інформації;</w:t>
      </w:r>
    </w:p>
    <w:p w14:paraId="5E3C1B52" w14:textId="77777777" w:rsidR="0069577E" w:rsidRPr="0069577E" w:rsidRDefault="0069577E" w:rsidP="0069577E">
      <w:pPr>
        <w:widowControl w:val="0"/>
        <w:numPr>
          <w:ilvl w:val="0"/>
          <w:numId w:val="34"/>
        </w:numPr>
        <w:autoSpaceDE w:val="0"/>
        <w:autoSpaceDN w:val="0"/>
        <w:adjustRightInd w:val="0"/>
        <w:contextualSpacing/>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докази досягнення DLR згідно з вимогами Протоколу верифікації;</w:t>
      </w:r>
    </w:p>
    <w:p w14:paraId="42F11026" w14:textId="77777777" w:rsidR="0069577E" w:rsidRPr="0069577E" w:rsidRDefault="0069577E" w:rsidP="0069577E">
      <w:pPr>
        <w:widowControl w:val="0"/>
        <w:numPr>
          <w:ilvl w:val="0"/>
          <w:numId w:val="34"/>
        </w:numPr>
        <w:autoSpaceDE w:val="0"/>
        <w:autoSpaceDN w:val="0"/>
        <w:adjustRightInd w:val="0"/>
        <w:contextualSpacing/>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доступ до приміщень Мінфіну;</w:t>
      </w:r>
    </w:p>
    <w:p w14:paraId="35056935" w14:textId="77777777" w:rsidR="0069577E" w:rsidRPr="0069577E" w:rsidRDefault="0069577E" w:rsidP="0069577E">
      <w:pPr>
        <w:widowControl w:val="0"/>
        <w:numPr>
          <w:ilvl w:val="0"/>
          <w:numId w:val="34"/>
        </w:numPr>
        <w:autoSpaceDE w:val="0"/>
        <w:autoSpaceDN w:val="0"/>
        <w:adjustRightInd w:val="0"/>
        <w:contextualSpacing/>
        <w:jc w:val="both"/>
        <w:rPr>
          <w:rFonts w:ascii="Times New Roman" w:hAnsi="Times New Roman"/>
          <w:color w:val="000000"/>
          <w:sz w:val="24"/>
          <w:szCs w:val="24"/>
          <w:lang w:val="uk-UA"/>
        </w:rPr>
      </w:pPr>
      <w:r w:rsidRPr="0069577E">
        <w:rPr>
          <w:rFonts w:ascii="Times New Roman" w:hAnsi="Times New Roman"/>
          <w:color w:val="000000"/>
          <w:sz w:val="24"/>
          <w:szCs w:val="24"/>
          <w:lang w:val="uk-UA"/>
        </w:rPr>
        <w:t>контакти відповідних посадових осіб (i) партнерів-виконавців Програми SURGE та (ii) установ, які надають вихідні дані, що підтверджують досягнення DLI/DLR;</w:t>
      </w:r>
    </w:p>
    <w:p w14:paraId="2BA1E335" w14:textId="77777777" w:rsidR="0069577E" w:rsidRPr="0069577E" w:rsidRDefault="0069577E" w:rsidP="0069577E">
      <w:pPr>
        <w:jc w:val="both"/>
        <w:rPr>
          <w:rFonts w:ascii="Times New Roman" w:hAnsi="Times New Roman"/>
          <w:sz w:val="24"/>
          <w:szCs w:val="24"/>
          <w:lang w:val="uk-UA"/>
        </w:rPr>
      </w:pPr>
    </w:p>
    <w:p w14:paraId="7C9630A2" w14:textId="77777777" w:rsidR="0069577E" w:rsidRPr="0069577E" w:rsidRDefault="0069577E" w:rsidP="0069577E">
      <w:pPr>
        <w:ind w:firstLine="567"/>
        <w:jc w:val="both"/>
        <w:rPr>
          <w:rFonts w:ascii="Times New Roman" w:hAnsi="Times New Roman"/>
          <w:sz w:val="24"/>
          <w:szCs w:val="24"/>
          <w:lang w:val="uk-UA"/>
        </w:rPr>
      </w:pPr>
      <w:r w:rsidRPr="0069577E">
        <w:rPr>
          <w:rFonts w:ascii="Times New Roman" w:hAnsi="Times New Roman"/>
          <w:sz w:val="24"/>
          <w:szCs w:val="24"/>
          <w:lang w:val="uk-UA"/>
        </w:rPr>
        <w:t>Щоб Консультант міг ефективно та незалежно виконувати свої функції з верифікації, Мінфін та партнери з впровадження повинні забезпечити Консультанту своєчасний та необмежений доступ до всієї інформації, систем, наборів даних, журналів та документації, необхідних для верифікації. Про будь-яке обмеження доступу має бути повідомлено Консультанту у письмовій формі з чітким обґрунтуванням. У випадку, якщо у доступі до будь-якої системи, набору даних чи документа відмовлено або затримано понад узгоджені терміни, Консультант повинен письмово повідомити Мінфін. Мінфін має вжити негайних заходів для вирішення проблем з доступом. Якщо доступ не може бути наданий, Консультант повинен задокументувати обмеження у звіті про верифікацію та може відповідно кваліфікувати або утриматися від свого висновку з верифікації для відповідного DLR. Якщо доступ до систем або наборів даних стосується конфіденційної або чутливої ​​інформації, включаючи дані платників податків, що зберігаються ДПС, Мінфін має сприяти укладенню Угоди про нерозголошення між Консультантом та відповідним партнером з впровадження до початку верифікаційних заходів. Зобов'язання щодо конфіденційності не повинні використовуватися як підстава для відмови Консультанту в доступі до інформації, необхідної для верифікації.</w:t>
      </w:r>
    </w:p>
    <w:p w14:paraId="28D4A286" w14:textId="77777777" w:rsidR="0069577E" w:rsidRPr="0069577E" w:rsidRDefault="0069577E" w:rsidP="0069577E">
      <w:pPr>
        <w:autoSpaceDE w:val="0"/>
        <w:autoSpaceDN w:val="0"/>
        <w:adjustRightInd w:val="0"/>
        <w:ind w:firstLine="567"/>
        <w:jc w:val="both"/>
        <w:rPr>
          <w:rFonts w:ascii="Times New Roman" w:hAnsi="Times New Roman"/>
          <w:bCs/>
          <w:sz w:val="24"/>
          <w:szCs w:val="24"/>
          <w:lang w:val="uk-UA"/>
        </w:rPr>
      </w:pPr>
      <w:r w:rsidRPr="0069577E">
        <w:rPr>
          <w:rFonts w:ascii="Times New Roman" w:hAnsi="Times New Roman"/>
          <w:bCs/>
          <w:sz w:val="24"/>
          <w:szCs w:val="24"/>
          <w:lang w:val="uk-UA"/>
        </w:rPr>
        <w:t xml:space="preserve">Перед початком верифікації </w:t>
      </w:r>
      <w:r w:rsidRPr="0069577E">
        <w:rPr>
          <w:rFonts w:ascii="Times New Roman" w:hAnsi="Times New Roman"/>
          <w:sz w:val="24"/>
          <w:szCs w:val="24"/>
          <w:lang w:val="uk-UA"/>
        </w:rPr>
        <w:t>DLR №</w:t>
      </w:r>
      <w:r w:rsidRPr="0069577E">
        <w:rPr>
          <w:rFonts w:ascii="Times New Roman" w:hAnsi="Times New Roman"/>
          <w:bCs/>
          <w:sz w:val="24"/>
          <w:szCs w:val="24"/>
          <w:lang w:val="uk-UA"/>
        </w:rPr>
        <w:t xml:space="preserve"> 4.3 від Консультанта та його експертів вимагатиметься підписання декларації стосовно зобов'язання щодо нерозголошення персональних даних, конфіденційності та заборони розголошення або передачі інформації за формою, визначеною ДПС.</w:t>
      </w:r>
    </w:p>
    <w:p w14:paraId="006BC946" w14:textId="77777777" w:rsidR="0069577E" w:rsidRPr="0069577E" w:rsidRDefault="0069577E" w:rsidP="0069577E">
      <w:pPr>
        <w:ind w:firstLine="567"/>
        <w:jc w:val="both"/>
        <w:rPr>
          <w:rFonts w:ascii="Times New Roman" w:hAnsi="Times New Roman"/>
          <w:color w:val="000000"/>
          <w:sz w:val="24"/>
          <w:szCs w:val="24"/>
          <w:lang w:val="uk-UA"/>
        </w:rPr>
      </w:pPr>
      <w:r w:rsidRPr="0069577E">
        <w:rPr>
          <w:rFonts w:ascii="Times New Roman" w:hAnsi="Times New Roman"/>
          <w:sz w:val="24"/>
          <w:szCs w:val="24"/>
          <w:lang w:val="uk-UA"/>
        </w:rPr>
        <w:t>Мінфін визначить професійний і допоміжний персонал для роботи з Консультантом на початку виконання завдання.</w:t>
      </w:r>
    </w:p>
    <w:p w14:paraId="421526B2" w14:textId="77777777" w:rsidR="0069577E" w:rsidRPr="0069577E" w:rsidRDefault="0069577E" w:rsidP="0069577E">
      <w:pPr>
        <w:spacing w:after="120"/>
        <w:ind w:firstLine="567"/>
        <w:jc w:val="both"/>
        <w:rPr>
          <w:rFonts w:ascii="Times New Roman" w:hAnsi="Times New Roman"/>
          <w:sz w:val="24"/>
          <w:szCs w:val="24"/>
          <w:lang w:val="uk-UA"/>
        </w:rPr>
      </w:pPr>
    </w:p>
    <w:p w14:paraId="407A5135" w14:textId="77777777" w:rsidR="0069577E" w:rsidRPr="0069577E" w:rsidRDefault="0069577E" w:rsidP="0069577E">
      <w:pPr>
        <w:keepNext/>
        <w:keepLines/>
        <w:numPr>
          <w:ilvl w:val="0"/>
          <w:numId w:val="35"/>
        </w:numPr>
        <w:tabs>
          <w:tab w:val="left" w:pos="426"/>
        </w:tabs>
        <w:spacing w:before="240" w:after="240"/>
        <w:ind w:left="0" w:firstLine="0"/>
        <w:jc w:val="both"/>
        <w:outlineLvl w:val="0"/>
        <w:rPr>
          <w:rFonts w:ascii="Times New Roman Bold" w:hAnsi="Times New Roman Bold"/>
          <w:b/>
          <w:sz w:val="28"/>
          <w:szCs w:val="28"/>
          <w:lang w:val="uk-UA"/>
        </w:rPr>
      </w:pPr>
      <w:r w:rsidRPr="0069577E">
        <w:rPr>
          <w:rFonts w:ascii="Times New Roman Bold" w:hAnsi="Times New Roman Bold"/>
          <w:b/>
          <w:sz w:val="28"/>
          <w:szCs w:val="28"/>
          <w:lang w:val="uk-UA"/>
        </w:rPr>
        <w:t>Кваліфікаційні вимоги до Консультанта, складу проектної групи та ключових експертів Консультанта.</w:t>
      </w:r>
    </w:p>
    <w:p w14:paraId="2F8A3BB1" w14:textId="77777777" w:rsidR="0069577E" w:rsidRPr="0069577E" w:rsidRDefault="0069577E" w:rsidP="0069577E">
      <w:pPr>
        <w:numPr>
          <w:ilvl w:val="3"/>
          <w:numId w:val="32"/>
        </w:numPr>
        <w:spacing w:after="120"/>
        <w:ind w:left="426"/>
        <w:contextualSpacing/>
        <w:jc w:val="both"/>
        <w:rPr>
          <w:rFonts w:ascii="Times New Roman" w:hAnsi="Times New Roman"/>
          <w:b/>
          <w:bCs/>
          <w:sz w:val="24"/>
          <w:szCs w:val="24"/>
          <w:u w:val="single"/>
          <w:lang w:val="uk-UA"/>
        </w:rPr>
      </w:pPr>
      <w:r w:rsidRPr="0069577E">
        <w:rPr>
          <w:rFonts w:ascii="Times New Roman" w:hAnsi="Times New Roman"/>
          <w:b/>
          <w:bCs/>
          <w:sz w:val="24"/>
          <w:szCs w:val="24"/>
          <w:u w:val="single"/>
          <w:lang w:val="uk-UA"/>
        </w:rPr>
        <w:t>Кваліфікаційні вимоги до Консультанта (компанії).</w:t>
      </w:r>
    </w:p>
    <w:p w14:paraId="6520BC2E" w14:textId="77777777" w:rsidR="0069577E" w:rsidRPr="0069577E" w:rsidRDefault="0069577E" w:rsidP="0069577E">
      <w:pPr>
        <w:spacing w:before="60" w:after="60"/>
        <w:jc w:val="both"/>
        <w:rPr>
          <w:rFonts w:ascii="Times New Roman" w:hAnsi="Times New Roman"/>
          <w:sz w:val="24"/>
          <w:szCs w:val="24"/>
          <w:lang w:val="uk-UA"/>
        </w:rPr>
      </w:pPr>
      <w:r w:rsidRPr="0069577E">
        <w:rPr>
          <w:rFonts w:ascii="Times New Roman" w:hAnsi="Times New Roman"/>
          <w:sz w:val="24"/>
          <w:szCs w:val="24"/>
          <w:lang w:val="uk-UA"/>
        </w:rPr>
        <w:t>Консультант повинен відповідати наступним кваліфікаційним вимогам:</w:t>
      </w:r>
    </w:p>
    <w:p w14:paraId="33E02A78" w14:textId="77777777" w:rsidR="0069577E" w:rsidRPr="0069577E" w:rsidRDefault="0069577E" w:rsidP="0069577E">
      <w:pPr>
        <w:spacing w:before="60" w:after="60"/>
        <w:ind w:firstLine="709"/>
        <w:jc w:val="both"/>
        <w:rPr>
          <w:rFonts w:ascii="Times New Roman" w:hAnsi="Times New Roman"/>
          <w:b/>
          <w:bCs/>
          <w:i/>
          <w:iCs/>
          <w:sz w:val="24"/>
          <w:szCs w:val="24"/>
          <w:lang w:val="uk-UA"/>
        </w:rPr>
      </w:pPr>
      <w:r w:rsidRPr="0069577E">
        <w:rPr>
          <w:rFonts w:ascii="Times New Roman" w:hAnsi="Times New Roman"/>
          <w:b/>
          <w:bCs/>
          <w:i/>
          <w:iCs/>
          <w:sz w:val="24"/>
          <w:szCs w:val="24"/>
          <w:lang w:val="uk-UA"/>
        </w:rPr>
        <w:t>Обов’язкові вимоги:</w:t>
      </w:r>
    </w:p>
    <w:p w14:paraId="39CA1DCD" w14:textId="77777777" w:rsidR="0069577E" w:rsidRPr="0069577E" w:rsidRDefault="0069577E" w:rsidP="0069577E">
      <w:pPr>
        <w:numPr>
          <w:ilvl w:val="0"/>
          <w:numId w:val="33"/>
        </w:numPr>
        <w:spacing w:before="60" w:after="60"/>
        <w:ind w:left="709" w:hanging="425"/>
        <w:jc w:val="both"/>
        <w:rPr>
          <w:rFonts w:ascii="Times New Roman" w:hAnsi="Times New Roman"/>
          <w:sz w:val="24"/>
          <w:szCs w:val="24"/>
          <w:lang w:val="uk-UA"/>
        </w:rPr>
      </w:pPr>
      <w:r w:rsidRPr="0069577E">
        <w:rPr>
          <w:rFonts w:ascii="Times New Roman" w:hAnsi="Times New Roman"/>
          <w:sz w:val="24"/>
          <w:szCs w:val="24"/>
          <w:lang w:val="uk-UA"/>
        </w:rPr>
        <w:t>Не менше 5 років досвіду надання консультаційних, верифікаційних або дорадчих послуг суб'єктам державного сектору, включаючи органи центральної або місцевої влади;</w:t>
      </w:r>
    </w:p>
    <w:p w14:paraId="19E62402" w14:textId="77777777" w:rsidR="0069577E" w:rsidRPr="0069577E" w:rsidRDefault="0069577E" w:rsidP="0069577E">
      <w:pPr>
        <w:numPr>
          <w:ilvl w:val="0"/>
          <w:numId w:val="33"/>
        </w:numPr>
        <w:spacing w:before="60" w:after="60"/>
        <w:ind w:left="709" w:hanging="425"/>
        <w:jc w:val="both"/>
        <w:rPr>
          <w:rFonts w:ascii="Times New Roman" w:hAnsi="Times New Roman"/>
          <w:sz w:val="24"/>
          <w:szCs w:val="24"/>
          <w:lang w:val="uk-UA"/>
        </w:rPr>
      </w:pPr>
      <w:r w:rsidRPr="0069577E">
        <w:rPr>
          <w:rFonts w:ascii="Times New Roman" w:hAnsi="Times New Roman"/>
          <w:sz w:val="24"/>
          <w:szCs w:val="24"/>
          <w:lang w:val="uk-UA"/>
        </w:rPr>
        <w:t>Не менше 3 років досвіду проведення аудиту або оцінці державних ІТ-систем;</w:t>
      </w:r>
    </w:p>
    <w:p w14:paraId="2D000EBC" w14:textId="77777777" w:rsidR="0069577E" w:rsidRPr="0069577E" w:rsidRDefault="0069577E" w:rsidP="0069577E">
      <w:pPr>
        <w:numPr>
          <w:ilvl w:val="0"/>
          <w:numId w:val="33"/>
        </w:numPr>
        <w:spacing w:before="60" w:after="60"/>
        <w:ind w:left="709" w:hanging="425"/>
        <w:jc w:val="both"/>
        <w:rPr>
          <w:rFonts w:ascii="Times New Roman" w:hAnsi="Times New Roman"/>
          <w:sz w:val="24"/>
          <w:szCs w:val="24"/>
          <w:lang w:val="uk-UA"/>
        </w:rPr>
      </w:pPr>
      <w:r w:rsidRPr="0069577E">
        <w:rPr>
          <w:rFonts w:ascii="Times New Roman" w:hAnsi="Times New Roman"/>
          <w:sz w:val="24"/>
          <w:szCs w:val="24"/>
          <w:lang w:val="uk-UA"/>
        </w:rPr>
        <w:t>Досвід верифікації або оцінки виконання бюджетних планів та / або аналізу фінансових потоків;</w:t>
      </w:r>
    </w:p>
    <w:p w14:paraId="76420A00" w14:textId="77777777" w:rsidR="0069577E" w:rsidRPr="0069577E" w:rsidRDefault="0069577E" w:rsidP="0069577E">
      <w:pPr>
        <w:numPr>
          <w:ilvl w:val="0"/>
          <w:numId w:val="33"/>
        </w:numPr>
        <w:spacing w:before="60" w:after="60"/>
        <w:ind w:left="709" w:hanging="425"/>
        <w:jc w:val="both"/>
        <w:rPr>
          <w:rFonts w:ascii="Times New Roman" w:hAnsi="Times New Roman"/>
          <w:sz w:val="24"/>
          <w:szCs w:val="24"/>
          <w:lang w:val="uk-UA"/>
        </w:rPr>
      </w:pPr>
      <w:r w:rsidRPr="0069577E">
        <w:rPr>
          <w:rFonts w:ascii="Times New Roman" w:hAnsi="Times New Roman"/>
          <w:sz w:val="24"/>
          <w:szCs w:val="24"/>
          <w:lang w:val="uk-UA"/>
        </w:rPr>
        <w:t>Досвід аналізу екологічних ризиків та оцінки кліматичних заходів;</w:t>
      </w:r>
    </w:p>
    <w:p w14:paraId="5E869BAF" w14:textId="77777777" w:rsidR="0069577E" w:rsidRPr="0069577E" w:rsidRDefault="0069577E" w:rsidP="0069577E">
      <w:pPr>
        <w:numPr>
          <w:ilvl w:val="0"/>
          <w:numId w:val="33"/>
        </w:numPr>
        <w:spacing w:before="60" w:after="60"/>
        <w:ind w:left="709" w:hanging="425"/>
        <w:jc w:val="both"/>
        <w:rPr>
          <w:rFonts w:ascii="Times New Roman" w:hAnsi="Times New Roman"/>
          <w:sz w:val="24"/>
          <w:szCs w:val="24"/>
          <w:lang w:val="uk-UA"/>
        </w:rPr>
      </w:pPr>
      <w:r w:rsidRPr="0069577E">
        <w:rPr>
          <w:rFonts w:ascii="Times New Roman" w:hAnsi="Times New Roman"/>
          <w:sz w:val="24"/>
          <w:szCs w:val="24"/>
          <w:lang w:val="uk-UA"/>
        </w:rPr>
        <w:t>Досвід підготовки аналітичних звітів.</w:t>
      </w:r>
    </w:p>
    <w:p w14:paraId="6D0F61D0" w14:textId="77777777" w:rsidR="0069577E" w:rsidRPr="0069577E" w:rsidRDefault="0069577E" w:rsidP="0069577E">
      <w:pPr>
        <w:spacing w:before="60" w:after="60"/>
        <w:ind w:firstLine="709"/>
        <w:jc w:val="both"/>
        <w:rPr>
          <w:rFonts w:ascii="Times New Roman" w:hAnsi="Times New Roman"/>
          <w:b/>
          <w:bCs/>
          <w:i/>
          <w:iCs/>
          <w:sz w:val="24"/>
          <w:szCs w:val="24"/>
          <w:lang w:val="uk-UA"/>
        </w:rPr>
      </w:pPr>
      <w:r w:rsidRPr="0069577E">
        <w:rPr>
          <w:rFonts w:ascii="Times New Roman" w:hAnsi="Times New Roman"/>
          <w:b/>
          <w:bCs/>
          <w:i/>
          <w:iCs/>
          <w:sz w:val="24"/>
          <w:szCs w:val="24"/>
          <w:lang w:val="uk-UA"/>
        </w:rPr>
        <w:t>Бажані вимоги:</w:t>
      </w:r>
    </w:p>
    <w:p w14:paraId="02284F38" w14:textId="77777777" w:rsidR="0069577E" w:rsidRPr="0069577E" w:rsidRDefault="0069577E" w:rsidP="0069577E">
      <w:pPr>
        <w:numPr>
          <w:ilvl w:val="0"/>
          <w:numId w:val="33"/>
        </w:numPr>
        <w:spacing w:before="60" w:after="60"/>
        <w:ind w:left="709" w:hanging="425"/>
        <w:jc w:val="both"/>
        <w:rPr>
          <w:rFonts w:ascii="Times New Roman" w:hAnsi="Times New Roman"/>
          <w:sz w:val="24"/>
          <w:szCs w:val="24"/>
          <w:lang w:val="uk-UA"/>
        </w:rPr>
      </w:pPr>
      <w:r w:rsidRPr="0069577E">
        <w:rPr>
          <w:rFonts w:ascii="Times New Roman" w:hAnsi="Times New Roman"/>
          <w:sz w:val="24"/>
          <w:szCs w:val="24"/>
          <w:lang w:val="uk-UA"/>
        </w:rPr>
        <w:lastRenderedPageBreak/>
        <w:t>Досвід виконання аналогічних завдань за проектами, що фінансуються міжнародними фінансовими та донорськими організаціями;</w:t>
      </w:r>
    </w:p>
    <w:p w14:paraId="5F73C520" w14:textId="77777777" w:rsidR="0069577E" w:rsidRPr="0069577E" w:rsidRDefault="0069577E" w:rsidP="0069577E">
      <w:pPr>
        <w:numPr>
          <w:ilvl w:val="0"/>
          <w:numId w:val="33"/>
        </w:numPr>
        <w:spacing w:before="60" w:after="60"/>
        <w:ind w:left="709" w:hanging="425"/>
        <w:jc w:val="both"/>
        <w:rPr>
          <w:rFonts w:ascii="Times New Roman" w:hAnsi="Times New Roman"/>
          <w:sz w:val="24"/>
          <w:szCs w:val="24"/>
          <w:lang w:val="uk-UA"/>
        </w:rPr>
      </w:pPr>
      <w:r w:rsidRPr="0069577E">
        <w:rPr>
          <w:rFonts w:ascii="Times New Roman" w:hAnsi="Times New Roman"/>
          <w:sz w:val="24"/>
          <w:szCs w:val="24"/>
          <w:lang w:val="uk-UA"/>
        </w:rPr>
        <w:t>Наявність у Консультанта актуальних сертифікатів ISO 27001 та ISO 9001.</w:t>
      </w:r>
    </w:p>
    <w:p w14:paraId="775E35CA" w14:textId="77777777" w:rsidR="0069577E" w:rsidRPr="0069577E" w:rsidRDefault="0069577E" w:rsidP="0069577E">
      <w:pPr>
        <w:ind w:left="709"/>
        <w:contextualSpacing/>
        <w:rPr>
          <w:rFonts w:ascii="Times New Roman" w:hAnsi="Times New Roman"/>
          <w:sz w:val="24"/>
          <w:szCs w:val="24"/>
          <w:lang w:val="uk-UA"/>
        </w:rPr>
      </w:pPr>
    </w:p>
    <w:p w14:paraId="74427D11" w14:textId="77777777" w:rsidR="0069577E" w:rsidRPr="0069577E" w:rsidRDefault="0069577E" w:rsidP="0069577E">
      <w:pPr>
        <w:numPr>
          <w:ilvl w:val="3"/>
          <w:numId w:val="32"/>
        </w:numPr>
        <w:spacing w:before="60" w:after="60"/>
        <w:ind w:left="426"/>
        <w:jc w:val="both"/>
        <w:rPr>
          <w:rFonts w:ascii="Times New Roman" w:hAnsi="Times New Roman"/>
          <w:b/>
          <w:bCs/>
          <w:sz w:val="24"/>
          <w:szCs w:val="24"/>
          <w:u w:val="single"/>
          <w:lang w:val="uk-UA"/>
        </w:rPr>
      </w:pPr>
      <w:r w:rsidRPr="0069577E">
        <w:rPr>
          <w:rFonts w:ascii="Times New Roman" w:hAnsi="Times New Roman"/>
          <w:b/>
          <w:bCs/>
          <w:sz w:val="24"/>
          <w:szCs w:val="24"/>
          <w:u w:val="single"/>
          <w:lang w:val="uk-UA"/>
        </w:rPr>
        <w:t>Кваліфікаційні вимоги до персоналу (ключових експертів) Консультанта.</w:t>
      </w:r>
    </w:p>
    <w:p w14:paraId="35C4EA97" w14:textId="77777777" w:rsidR="0069577E" w:rsidRPr="0069577E" w:rsidRDefault="0069577E" w:rsidP="0069577E">
      <w:pPr>
        <w:rPr>
          <w:rFonts w:ascii="Times New Roman" w:hAnsi="Times New Roman"/>
          <w:sz w:val="24"/>
          <w:szCs w:val="24"/>
          <w:lang w:val="uk-UA"/>
        </w:rPr>
      </w:pPr>
      <w:r w:rsidRPr="0069577E">
        <w:rPr>
          <w:rFonts w:ascii="Times New Roman" w:hAnsi="Times New Roman"/>
          <w:sz w:val="24"/>
          <w:szCs w:val="24"/>
          <w:lang w:val="uk-UA"/>
        </w:rPr>
        <w:t>Для виконання завдань, передбачених цим Технічним завданням, до команди Консультанта повинні входити такі ключові експерти з наступним досвідом:</w:t>
      </w:r>
    </w:p>
    <w:p w14:paraId="5E686E9B" w14:textId="77777777" w:rsidR="0069577E" w:rsidRPr="0069577E" w:rsidRDefault="0069577E" w:rsidP="0069577E">
      <w:pPr>
        <w:rPr>
          <w:rFonts w:ascii="Times New Roman" w:hAnsi="Times New Roman"/>
          <w:sz w:val="24"/>
          <w:szCs w:val="24"/>
          <w:lang w:val="uk-UA"/>
        </w:rPr>
      </w:pPr>
    </w:p>
    <w:p w14:paraId="676822A6" w14:textId="77777777" w:rsidR="0069577E" w:rsidRPr="0069577E" w:rsidRDefault="0069577E" w:rsidP="0069577E">
      <w:pPr>
        <w:numPr>
          <w:ilvl w:val="0"/>
          <w:numId w:val="37"/>
        </w:numPr>
        <w:contextualSpacing/>
        <w:rPr>
          <w:rFonts w:ascii="Times New Roman" w:hAnsi="Times New Roman"/>
          <w:sz w:val="24"/>
          <w:szCs w:val="24"/>
          <w:u w:val="single"/>
          <w:lang w:val="uk-UA"/>
        </w:rPr>
      </w:pPr>
      <w:r w:rsidRPr="0069577E">
        <w:rPr>
          <w:rFonts w:ascii="Times New Roman" w:hAnsi="Times New Roman"/>
          <w:sz w:val="24"/>
          <w:szCs w:val="24"/>
          <w:u w:val="single"/>
          <w:lang w:val="uk-UA"/>
        </w:rPr>
        <w:t>Керівник проекту:</w:t>
      </w:r>
    </w:p>
    <w:p w14:paraId="21061B30"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Вища освіта у галузі бухгалтерського обліку, аудиту, управління, економіки, ІТ або суміжних дисциплін;</w:t>
      </w:r>
    </w:p>
    <w:p w14:paraId="024DD4F6"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Не менше 15 років професійного досвіду в консалтингу, верифікації, оцінці програм або управлінні державними фінансами державного сектору;</w:t>
      </w:r>
    </w:p>
    <w:p w14:paraId="7EEF90A5"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Не менше 5 років досвіду керування командами, що залучені до аудиту/верифікації/надання дорадчих послуг/консультаційних послуг;</w:t>
      </w:r>
    </w:p>
    <w:p w14:paraId="478CFB63"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Досвід роботи з вибірковими аудитами та верифікацією результатів.</w:t>
      </w:r>
    </w:p>
    <w:p w14:paraId="0694CFAC"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Наявність сертифікатів CIA (Certified Internal Auditor) та/або ICAC (Certified Audit Control Associate) та/або еквівалентна професійна кваліфікація;</w:t>
      </w:r>
    </w:p>
    <w:p w14:paraId="15EFB0A2"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Вільне володіння українською мовою та англійською мовою на рівні не нижче B2;</w:t>
      </w:r>
    </w:p>
    <w:p w14:paraId="275804B4" w14:textId="77777777" w:rsidR="0069577E" w:rsidRPr="0069577E" w:rsidRDefault="0069577E" w:rsidP="0069577E">
      <w:pPr>
        <w:numPr>
          <w:ilvl w:val="0"/>
          <w:numId w:val="37"/>
        </w:numPr>
        <w:contextualSpacing/>
        <w:jc w:val="both"/>
        <w:rPr>
          <w:rFonts w:ascii="Times New Roman" w:hAnsi="Times New Roman"/>
          <w:sz w:val="24"/>
          <w:szCs w:val="24"/>
          <w:lang w:val="uk-UA"/>
        </w:rPr>
      </w:pPr>
      <w:bookmarkStart w:id="16" w:name="керівник-проекту-team-leader"/>
      <w:bookmarkStart w:id="17" w:name="Xe17aa71f7dc19d1aa81a748a0b338dfd90831a5"/>
      <w:bookmarkEnd w:id="16"/>
      <w:r w:rsidRPr="0069577E">
        <w:rPr>
          <w:rFonts w:ascii="Times New Roman" w:hAnsi="Times New Roman"/>
          <w:sz w:val="24"/>
          <w:szCs w:val="24"/>
          <w:lang w:val="uk-UA"/>
        </w:rPr>
        <w:t>Економіст:</w:t>
      </w:r>
    </w:p>
    <w:p w14:paraId="76B93CA9"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Вища освіта у галузі бухгалтерського обліку, аудиту, управління, економіки або суміжних дисциплін;</w:t>
      </w:r>
    </w:p>
    <w:p w14:paraId="3B592657"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Не менше 5 років досвіду аналітичної роботи в державному секторі у сфері фінансів;</w:t>
      </w:r>
    </w:p>
    <w:p w14:paraId="6620B6B0"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Практичне розуміння бюджетного процесу та управління публічними інвестиціями в Україні;</w:t>
      </w:r>
    </w:p>
    <w:p w14:paraId="100D6B09"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Знання податкового адміністрування в Україні.</w:t>
      </w:r>
    </w:p>
    <w:p w14:paraId="6DCFFDBA"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bookmarkStart w:id="18" w:name="Xc9c09f4d2e774bb76b4855c81cb44fd7d3bfcd2"/>
      <w:bookmarkEnd w:id="17"/>
      <w:r w:rsidRPr="0069577E">
        <w:rPr>
          <w:rFonts w:ascii="Times New Roman" w:eastAsia="Calibri" w:hAnsi="Times New Roman"/>
          <w:sz w:val="24"/>
          <w:szCs w:val="24"/>
          <w:lang w:val="uk-UA"/>
        </w:rPr>
        <w:t>Вільне володіння українською мовою та робочий рівень англійської мови.</w:t>
      </w:r>
    </w:p>
    <w:p w14:paraId="5F45B105" w14:textId="77777777" w:rsidR="0069577E" w:rsidRPr="0069577E" w:rsidRDefault="0069577E" w:rsidP="0069577E">
      <w:pPr>
        <w:numPr>
          <w:ilvl w:val="0"/>
          <w:numId w:val="37"/>
        </w:numPr>
        <w:contextualSpacing/>
        <w:jc w:val="both"/>
        <w:rPr>
          <w:rFonts w:ascii="Times New Roman" w:hAnsi="Times New Roman"/>
          <w:sz w:val="24"/>
          <w:szCs w:val="24"/>
          <w:lang w:val="uk-UA"/>
        </w:rPr>
      </w:pPr>
      <w:r w:rsidRPr="0069577E">
        <w:rPr>
          <w:rFonts w:ascii="Times New Roman" w:hAnsi="Times New Roman"/>
          <w:sz w:val="24"/>
          <w:szCs w:val="24"/>
          <w:lang w:val="uk-UA"/>
        </w:rPr>
        <w:t>IT-фахівець:</w:t>
      </w:r>
    </w:p>
    <w:p w14:paraId="0FA4EEC0"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 xml:space="preserve">Вища освіта у сфері ІТ або суміжних технічних дисциплін </w:t>
      </w:r>
    </w:p>
    <w:p w14:paraId="4567FEBC" w14:textId="77777777" w:rsidR="0069577E" w:rsidRPr="0069577E" w:rsidRDefault="0069577E" w:rsidP="0069577E">
      <w:pPr>
        <w:numPr>
          <w:ilvl w:val="1"/>
          <w:numId w:val="36"/>
        </w:numPr>
        <w:contextualSpacing/>
        <w:rPr>
          <w:rFonts w:ascii="Times New Roman" w:eastAsia="Calibri" w:hAnsi="Times New Roman"/>
          <w:sz w:val="24"/>
          <w:szCs w:val="24"/>
          <w:lang w:val="uk-UA"/>
        </w:rPr>
      </w:pPr>
      <w:r w:rsidRPr="0069577E">
        <w:rPr>
          <w:rFonts w:ascii="Times New Roman" w:eastAsia="Calibri" w:hAnsi="Times New Roman"/>
          <w:sz w:val="24"/>
          <w:szCs w:val="24"/>
          <w:lang w:val="uk-UA"/>
        </w:rPr>
        <w:t>Не менше 5 років досвіду проведення ІТ аудитів;</w:t>
      </w:r>
    </w:p>
    <w:p w14:paraId="41A45AF9"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Знання типових ІТ-архітектур та систем управління БД</w:t>
      </w:r>
      <w:bookmarkEnd w:id="18"/>
      <w:r w:rsidRPr="0069577E">
        <w:rPr>
          <w:rFonts w:ascii="Times New Roman" w:eastAsia="Calibri" w:hAnsi="Times New Roman"/>
          <w:sz w:val="24"/>
          <w:szCs w:val="24"/>
          <w:lang w:val="uk-UA"/>
        </w:rPr>
        <w:t>;</w:t>
      </w:r>
    </w:p>
    <w:p w14:paraId="5942D2C7"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Наявність сертифікату, що підтверджує кваліфікацію фахівця у сфері безпеки, управління та контролю інформаційних систем;</w:t>
      </w:r>
    </w:p>
    <w:p w14:paraId="739D11B4" w14:textId="77777777" w:rsidR="0069577E" w:rsidRPr="0069577E" w:rsidRDefault="0069577E" w:rsidP="0069577E">
      <w:pPr>
        <w:numPr>
          <w:ilvl w:val="0"/>
          <w:numId w:val="37"/>
        </w:numPr>
        <w:contextualSpacing/>
        <w:jc w:val="both"/>
        <w:rPr>
          <w:rFonts w:ascii="Times New Roman" w:hAnsi="Times New Roman"/>
          <w:sz w:val="24"/>
          <w:szCs w:val="24"/>
          <w:lang w:val="uk-UA"/>
        </w:rPr>
      </w:pPr>
      <w:r w:rsidRPr="0069577E">
        <w:rPr>
          <w:rFonts w:ascii="Times New Roman" w:hAnsi="Times New Roman"/>
          <w:sz w:val="24"/>
          <w:szCs w:val="24"/>
          <w:lang w:val="uk-UA"/>
        </w:rPr>
        <w:t>Фахівець з аналізу екологічних ризиків та оцінки кліматичних заходів:</w:t>
      </w:r>
    </w:p>
    <w:p w14:paraId="6BBD186E"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Вища освіта в галузі економіки, права, екології, охорони навколишнього середовища, енергетики або суміжних галузей;</w:t>
      </w:r>
    </w:p>
    <w:p w14:paraId="505F1F7B"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Не менше 3 років досвіду роботи в галузі пом'якшення наслідків зміни клімату, екології та охорони навколишнього середовища;</w:t>
      </w:r>
    </w:p>
    <w:p w14:paraId="6C47A4B2"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Досвід оцінки вразливості до кліматичних ризиків;</w:t>
      </w:r>
    </w:p>
    <w:p w14:paraId="138639E7" w14:textId="77777777" w:rsidR="0069577E" w:rsidRPr="0069577E" w:rsidRDefault="0069577E" w:rsidP="0069577E">
      <w:pPr>
        <w:numPr>
          <w:ilvl w:val="1"/>
          <w:numId w:val="36"/>
        </w:numPr>
        <w:spacing w:before="36" w:after="36"/>
        <w:jc w:val="both"/>
        <w:rPr>
          <w:rFonts w:ascii="Times New Roman" w:eastAsia="Calibri" w:hAnsi="Times New Roman"/>
          <w:sz w:val="24"/>
          <w:szCs w:val="24"/>
          <w:lang w:val="uk-UA"/>
        </w:rPr>
      </w:pPr>
      <w:r w:rsidRPr="0069577E">
        <w:rPr>
          <w:rFonts w:ascii="Times New Roman" w:eastAsia="Calibri" w:hAnsi="Times New Roman"/>
          <w:sz w:val="24"/>
          <w:szCs w:val="24"/>
          <w:lang w:val="uk-UA"/>
        </w:rPr>
        <w:t>Вільне володіння українською мовою та робочий рівень англійської мови.</w:t>
      </w:r>
    </w:p>
    <w:p w14:paraId="3935A010" w14:textId="2815E806" w:rsidR="00952D53" w:rsidRDefault="00952D53" w:rsidP="0069577E">
      <w:pPr>
        <w:widowControl w:val="0"/>
        <w:tabs>
          <w:tab w:val="left" w:pos="4120"/>
        </w:tabs>
        <w:autoSpaceDE w:val="0"/>
        <w:autoSpaceDN w:val="0"/>
        <w:jc w:val="center"/>
        <w:rPr>
          <w:rFonts w:ascii="Times New Roman" w:hAnsi="Times New Roman"/>
          <w:sz w:val="24"/>
          <w:szCs w:val="24"/>
          <w:lang w:val="uk-UA"/>
        </w:rPr>
      </w:pPr>
      <w:r>
        <w:rPr>
          <w:rFonts w:ascii="Times New Roman" w:hAnsi="Times New Roman"/>
          <w:sz w:val="24"/>
          <w:szCs w:val="24"/>
          <w:lang w:val="uk-UA"/>
        </w:rPr>
        <w:br w:type="page"/>
      </w:r>
    </w:p>
    <w:p w14:paraId="202BB3AC" w14:textId="77777777" w:rsidR="00952D53" w:rsidRPr="00952D53" w:rsidRDefault="00952D53" w:rsidP="00952D53">
      <w:pPr>
        <w:jc w:val="both"/>
        <w:rPr>
          <w:rFonts w:ascii="Times New Roman" w:hAnsi="Times New Roman"/>
          <w:b/>
          <w:bCs/>
          <w:sz w:val="24"/>
          <w:szCs w:val="24"/>
          <w:lang w:val="uk-UA"/>
        </w:rPr>
      </w:pPr>
      <w:r w:rsidRPr="00952D53">
        <w:rPr>
          <w:rFonts w:ascii="Times New Roman" w:hAnsi="Times New Roman"/>
          <w:b/>
          <w:bCs/>
          <w:sz w:val="24"/>
          <w:szCs w:val="24"/>
          <w:lang w:val="uk-UA"/>
        </w:rPr>
        <w:lastRenderedPageBreak/>
        <w:t>Додаток 1. Перелік DLR, які повинні бути перевірені агентом з верифікації</w:t>
      </w:r>
      <w:r w:rsidRPr="00952D53">
        <w:rPr>
          <w:rFonts w:ascii="Times New Roman" w:hAnsi="Times New Roman"/>
          <w:b/>
          <w:bCs/>
          <w:sz w:val="24"/>
          <w:szCs w:val="24"/>
          <w:vertAlign w:val="superscript"/>
          <w:lang w:val="uk-UA"/>
        </w:rPr>
        <w:footnoteReference w:id="1"/>
      </w:r>
    </w:p>
    <w:p w14:paraId="4798A107" w14:textId="77777777" w:rsidR="00952D53" w:rsidRPr="00952D53" w:rsidRDefault="00952D53" w:rsidP="00952D53">
      <w:pPr>
        <w:jc w:val="both"/>
        <w:rPr>
          <w:rFonts w:ascii="Times New Roman" w:hAnsi="Times New Roman"/>
          <w:b/>
          <w:bCs/>
          <w:sz w:val="24"/>
          <w:szCs w:val="24"/>
          <w:lang w:val="uk-UA"/>
        </w:rPr>
      </w:pPr>
    </w:p>
    <w:tbl>
      <w:tblPr>
        <w:tblStyle w:val="unVaodaynghebainaydibanhttpnhatquanglanxlphpnet2"/>
        <w:tblW w:w="10031" w:type="dxa"/>
        <w:tblLayout w:type="fixed"/>
        <w:tblLook w:val="04A0" w:firstRow="1" w:lastRow="0" w:firstColumn="1" w:lastColumn="0" w:noHBand="0" w:noVBand="1"/>
      </w:tblPr>
      <w:tblGrid>
        <w:gridCol w:w="421"/>
        <w:gridCol w:w="9610"/>
      </w:tblGrid>
      <w:tr w:rsidR="00952D53" w:rsidRPr="00952D53" w14:paraId="070A753B" w14:textId="77777777" w:rsidTr="008D5022">
        <w:trPr>
          <w:trHeight w:val="300"/>
        </w:trPr>
        <w:tc>
          <w:tcPr>
            <w:tcW w:w="100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6677B0" w14:textId="77777777" w:rsidR="00952D53" w:rsidRPr="00952D53" w:rsidRDefault="00952D53" w:rsidP="00952D53">
            <w:pPr>
              <w:spacing w:line="257" w:lineRule="auto"/>
              <w:jc w:val="both"/>
              <w:rPr>
                <w:rFonts w:ascii="Times New Roman" w:hAnsi="Times New Roman"/>
                <w:b/>
                <w:bCs/>
                <w:sz w:val="24"/>
                <w:szCs w:val="24"/>
                <w:lang w:val="uk-UA"/>
              </w:rPr>
            </w:pPr>
            <w:r w:rsidRPr="00952D53">
              <w:rPr>
                <w:rFonts w:ascii="Times New Roman" w:hAnsi="Times New Roman"/>
                <w:b/>
                <w:bCs/>
                <w:sz w:val="24"/>
                <w:szCs w:val="24"/>
                <w:lang w:val="uk-UA"/>
              </w:rPr>
              <w:t>DLI №1. Публічні інвестиційні проекти узгоджуються зі стратегічними пріоритетами сталого розвитку</w:t>
            </w:r>
          </w:p>
        </w:tc>
      </w:tr>
      <w:tr w:rsidR="00952D53" w:rsidRPr="00952D53" w14:paraId="4C6BDCB4"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37400731"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1</w:t>
            </w:r>
          </w:p>
        </w:tc>
        <w:tc>
          <w:tcPr>
            <w:tcW w:w="9610" w:type="dxa"/>
            <w:tcBorders>
              <w:top w:val="nil"/>
              <w:left w:val="single" w:sz="8" w:space="0" w:color="auto"/>
              <w:bottom w:val="single" w:sz="8" w:space="0" w:color="auto"/>
              <w:right w:val="single" w:sz="8" w:space="0" w:color="auto"/>
            </w:tcBorders>
            <w:tcMar>
              <w:left w:w="108" w:type="dxa"/>
              <w:right w:w="108" w:type="dxa"/>
            </w:tcMar>
          </w:tcPr>
          <w:p w14:paraId="2E60A377" w14:textId="77777777" w:rsidR="00952D53" w:rsidRPr="00952D53" w:rsidRDefault="00952D53" w:rsidP="00952D53">
            <w:pPr>
              <w:jc w:val="both"/>
              <w:rPr>
                <w:rFonts w:ascii="Times New Roman" w:hAnsi="Times New Roman"/>
                <w:b/>
                <w:bCs/>
                <w:sz w:val="20"/>
                <w:lang w:val="uk-UA"/>
              </w:rPr>
            </w:pPr>
            <w:r w:rsidRPr="00952D53">
              <w:rPr>
                <w:rFonts w:ascii="Times New Roman" w:hAnsi="Times New Roman"/>
                <w:sz w:val="24"/>
                <w:szCs w:val="24"/>
                <w:lang w:val="uk-UA"/>
              </w:rPr>
              <w:t xml:space="preserve">DLR #1.7. (i): </w:t>
            </w:r>
            <w:r w:rsidRPr="00952D53">
              <w:rPr>
                <w:rFonts w:ascii="Times New Roman" w:hAnsi="Times New Roman"/>
                <w:bCs/>
                <w:kern w:val="2"/>
                <w:sz w:val="24"/>
                <w:szCs w:val="24"/>
                <w:lang w:val="uk-UA"/>
                <w14:ligatures w14:val="standardContextual"/>
              </w:rPr>
              <w:t>Кабінет Міністрів запровадив вимогу, щоб усі проекти, включені до Державного бюджету, були зареєстровані в системі DREAM.</w:t>
            </w:r>
          </w:p>
        </w:tc>
      </w:tr>
      <w:tr w:rsidR="00952D53" w:rsidRPr="00952D53" w14:paraId="7C99A09A"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60FEC260"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2</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2873C6AD" w14:textId="77777777" w:rsidR="00952D53" w:rsidRPr="00952D53" w:rsidRDefault="00952D53" w:rsidP="00952D53">
            <w:pPr>
              <w:jc w:val="both"/>
              <w:rPr>
                <w:rFonts w:ascii="Times New Roman" w:hAnsi="Times New Roman"/>
                <w:b/>
                <w:bCs/>
                <w:sz w:val="20"/>
                <w:lang w:val="uk-UA"/>
              </w:rPr>
            </w:pPr>
            <w:r w:rsidRPr="00952D53">
              <w:rPr>
                <w:rFonts w:ascii="Times New Roman" w:hAnsi="Times New Roman"/>
                <w:sz w:val="24"/>
                <w:szCs w:val="24"/>
                <w:lang w:val="uk-UA"/>
              </w:rPr>
              <w:t xml:space="preserve">DLR #1.7. (ii): </w:t>
            </w:r>
            <w:r w:rsidRPr="00952D53">
              <w:rPr>
                <w:rFonts w:ascii="Times New Roman" w:hAnsi="Times New Roman"/>
                <w:bCs/>
                <w:sz w:val="24"/>
                <w:szCs w:val="24"/>
                <w:lang w:val="uk-UA"/>
              </w:rPr>
              <w:t>Мінекономіки, Мінфін та Мінрозвитку налагодили регулярну звірку даних (принаймні раз на тиждень) системи DREAM з інформацією з Prozorro, системою державного казначейського обслуговування та бюджетними інформаційними системами.</w:t>
            </w:r>
          </w:p>
        </w:tc>
      </w:tr>
      <w:tr w:rsidR="00952D53" w:rsidRPr="00952D53" w14:paraId="13890C71"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2CB33845"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3</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72828083" w14:textId="77777777" w:rsidR="00952D53" w:rsidRPr="00952D53" w:rsidRDefault="00952D53" w:rsidP="00952D53">
            <w:pPr>
              <w:jc w:val="both"/>
              <w:rPr>
                <w:rFonts w:ascii="Times New Roman" w:hAnsi="Times New Roman"/>
                <w:b/>
                <w:bCs/>
                <w:sz w:val="20"/>
                <w:lang w:val="uk-UA"/>
              </w:rPr>
            </w:pPr>
            <w:r w:rsidRPr="00952D53">
              <w:rPr>
                <w:rFonts w:ascii="Times New Roman" w:hAnsi="Times New Roman"/>
                <w:sz w:val="24"/>
                <w:szCs w:val="24"/>
                <w:lang w:val="uk-UA"/>
              </w:rPr>
              <w:t xml:space="preserve">DLR #1.7 (ііi): </w:t>
            </w:r>
            <w:r w:rsidRPr="00952D53">
              <w:rPr>
                <w:rFonts w:ascii="Times New Roman" w:hAnsi="Times New Roman"/>
                <w:bCs/>
                <w:sz w:val="24"/>
                <w:szCs w:val="24"/>
                <w:lang w:val="uk-UA"/>
              </w:rPr>
              <w:t>Мінрозвитку операціоналізувало модулі зміни клімату в системі DREAM, що дозволяють центральним та місцевим органам влади визначати та вирішувати пов'язані з кліматом фізичні ризики (адаптація) та впливи (зменшення викидів ПГ) на рівні проектів.</w:t>
            </w:r>
          </w:p>
        </w:tc>
      </w:tr>
      <w:tr w:rsidR="00952D53" w:rsidRPr="00952D53" w14:paraId="692A068E"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0BAEFF6E"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4</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5389D129" w14:textId="77777777" w:rsidR="00952D53" w:rsidRPr="00952D53" w:rsidRDefault="00952D53" w:rsidP="00952D53">
            <w:pPr>
              <w:spacing w:before="60"/>
              <w:jc w:val="both"/>
              <w:rPr>
                <w:rFonts w:ascii="Times New Roman" w:hAnsi="Times New Roman"/>
                <w:bCs/>
                <w:sz w:val="24"/>
                <w:szCs w:val="24"/>
                <w:lang w:val="uk-UA"/>
              </w:rPr>
            </w:pPr>
            <w:r w:rsidRPr="00952D53">
              <w:rPr>
                <w:rFonts w:ascii="Times New Roman" w:hAnsi="Times New Roman"/>
                <w:sz w:val="24"/>
                <w:szCs w:val="24"/>
                <w:lang w:val="uk-UA"/>
              </w:rPr>
              <w:t>DLR #1.8 (і)</w:t>
            </w:r>
            <w:r w:rsidRPr="00952D53">
              <w:rPr>
                <w:rFonts w:ascii="Times New Roman" w:eastAsia="Calibri" w:hAnsi="Times New Roman"/>
                <w:b/>
                <w:bCs/>
                <w:sz w:val="20"/>
                <w:lang w:val="uk-UA"/>
              </w:rPr>
              <w:t xml:space="preserve">:  </w:t>
            </w:r>
            <w:r w:rsidRPr="00952D53">
              <w:rPr>
                <w:rFonts w:ascii="Times New Roman" w:hAnsi="Times New Roman"/>
                <w:bCs/>
                <w:sz w:val="24"/>
                <w:szCs w:val="24"/>
                <w:lang w:val="uk-UA"/>
              </w:rPr>
              <w:t xml:space="preserve">Щонайменше 80 відсотків публічних інвестиційних проектів, затверджених до реалізації на рівні центрального Уряду відповідають стратегічним пріоритетам. </w:t>
            </w:r>
          </w:p>
        </w:tc>
      </w:tr>
      <w:tr w:rsidR="00952D53" w:rsidRPr="00952D53" w14:paraId="5CD5DEDC"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0C4A6EAC"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5</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1E848458"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 xml:space="preserve">DLR #1.8 (іі): </w:t>
            </w:r>
            <w:r w:rsidRPr="00952D53">
              <w:rPr>
                <w:rFonts w:ascii="Times New Roman" w:hAnsi="Times New Roman"/>
                <w:bCs/>
                <w:sz w:val="24"/>
                <w:szCs w:val="24"/>
                <w:lang w:val="uk-UA"/>
              </w:rPr>
              <w:t>Щонайменше 30 публічних інвестиційних проєктів на рівні центрального Уряду, затверджених для впровадження, включають заходи з пом’якшення кліматичних ризиків та наслідків у своїх техніко-економічних обґрунтуваннях.</w:t>
            </w:r>
          </w:p>
        </w:tc>
      </w:tr>
      <w:tr w:rsidR="00952D53" w:rsidRPr="00952D53" w14:paraId="3712D28F" w14:textId="77777777" w:rsidTr="008D5022">
        <w:trPr>
          <w:trHeight w:val="300"/>
        </w:trPr>
        <w:tc>
          <w:tcPr>
            <w:tcW w:w="100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D39549" w14:textId="77777777" w:rsidR="00952D53" w:rsidRPr="00952D53" w:rsidRDefault="00952D53" w:rsidP="00952D53">
            <w:pPr>
              <w:spacing w:line="257" w:lineRule="auto"/>
              <w:jc w:val="both"/>
              <w:rPr>
                <w:rFonts w:ascii="Times New Roman" w:hAnsi="Times New Roman"/>
                <w:b/>
                <w:bCs/>
                <w:sz w:val="24"/>
                <w:szCs w:val="24"/>
                <w:lang w:val="uk-UA"/>
              </w:rPr>
            </w:pPr>
            <w:r w:rsidRPr="00952D53">
              <w:rPr>
                <w:rFonts w:ascii="Times New Roman" w:hAnsi="Times New Roman"/>
                <w:b/>
                <w:bCs/>
                <w:sz w:val="24"/>
                <w:szCs w:val="24"/>
                <w:lang w:val="uk-UA"/>
              </w:rPr>
              <w:t>DLI №2. Органи місцевого самоврядування публікують інформацію про свої бюджети, борги та результати надання послуг і відбудови</w:t>
            </w:r>
          </w:p>
        </w:tc>
      </w:tr>
      <w:tr w:rsidR="00952D53" w:rsidRPr="00952D53" w14:paraId="3A940148"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682484E6"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1</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5C0B5A4C" w14:textId="77777777" w:rsidR="00952D53" w:rsidRPr="00952D53" w:rsidRDefault="00952D53" w:rsidP="00952D53">
            <w:pPr>
              <w:contextualSpacing/>
              <w:jc w:val="both"/>
              <w:rPr>
                <w:rFonts w:ascii="Times New Roman" w:eastAsia="Calibri" w:hAnsi="Times New Roman"/>
                <w:b/>
                <w:bCs/>
                <w:sz w:val="24"/>
                <w:szCs w:val="24"/>
                <w:lang w:val="uk-UA"/>
              </w:rPr>
            </w:pPr>
            <w:r w:rsidRPr="00952D53">
              <w:rPr>
                <w:rFonts w:ascii="Times New Roman" w:hAnsi="Times New Roman"/>
                <w:sz w:val="24"/>
                <w:szCs w:val="24"/>
                <w:lang w:val="uk-UA"/>
              </w:rPr>
              <w:t xml:space="preserve">DLR #2.4 (іі): </w:t>
            </w:r>
            <w:r w:rsidRPr="00952D53">
              <w:rPr>
                <w:rFonts w:ascii="Times New Roman" w:hAnsi="Times New Roman"/>
                <w:bCs/>
                <w:sz w:val="24"/>
                <w:szCs w:val="24"/>
                <w:lang w:val="uk-UA"/>
              </w:rPr>
              <w:t>Щонайменше 60 відсотків  інвестиційних проєктних пропозицій громад, поданих у IT системі DREAM, включають аналіз впливу на довкілля.</w:t>
            </w:r>
          </w:p>
        </w:tc>
      </w:tr>
      <w:tr w:rsidR="00952D53" w:rsidRPr="00952D53" w14:paraId="5EDE511A"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5B0201AB"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2</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7706E724"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 xml:space="preserve">DLR #2.5: </w:t>
            </w:r>
            <w:r w:rsidRPr="00952D53">
              <w:rPr>
                <w:rFonts w:ascii="Times New Roman" w:hAnsi="Times New Roman"/>
                <w:bCs/>
                <w:kern w:val="2"/>
                <w:sz w:val="24"/>
                <w:szCs w:val="24"/>
                <w:lang w:val="uk-UA"/>
                <w14:ligatures w14:val="standardContextual"/>
              </w:rPr>
              <w:t>Щонайменше 90 відсотків громад, які мають боргові зобов’язання, щомісяця звітують про свої борги та гарантії.</w:t>
            </w:r>
          </w:p>
        </w:tc>
      </w:tr>
      <w:tr w:rsidR="00952D53" w:rsidRPr="00952D53" w14:paraId="6B695304"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11DA4A8F"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3</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7E6B09F1"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 xml:space="preserve">DLR #2.6: </w:t>
            </w:r>
            <w:r w:rsidRPr="00952D53">
              <w:rPr>
                <w:rFonts w:ascii="Times New Roman" w:hAnsi="Times New Roman"/>
                <w:bCs/>
                <w:kern w:val="2"/>
                <w:sz w:val="24"/>
                <w:szCs w:val="24"/>
                <w:lang w:val="uk-UA"/>
                <w14:ligatures w14:val="standardContextual"/>
              </w:rPr>
              <w:t>Мінфін оновив інформаційну систему управління місцевими фінансами (LOGICA) для цифрового збору, звітування та аналізу результативних показників на стадіях планування та виконання місцевих бюджетів, включаючи гендерну інформацію.</w:t>
            </w:r>
          </w:p>
        </w:tc>
      </w:tr>
      <w:tr w:rsidR="00952D53" w:rsidRPr="00952D53" w14:paraId="6F25708C"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42A2B305"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4</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76BA9650"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DLR #2.7 (і):</w:t>
            </w:r>
            <w:r w:rsidRPr="00952D53">
              <w:rPr>
                <w:rFonts w:ascii="Times New Roman" w:hAnsi="Times New Roman"/>
                <w:b/>
                <w:bCs/>
                <w:kern w:val="2"/>
                <w:sz w:val="20"/>
                <w:lang w:val="uk-UA"/>
                <w14:ligatures w14:val="standardContextual"/>
              </w:rPr>
              <w:t xml:space="preserve"> </w:t>
            </w:r>
            <w:r w:rsidRPr="00952D53">
              <w:rPr>
                <w:rFonts w:ascii="Times New Roman" w:hAnsi="Times New Roman"/>
                <w:bCs/>
                <w:kern w:val="2"/>
                <w:sz w:val="24"/>
                <w:szCs w:val="24"/>
                <w:lang w:val="uk-UA"/>
                <w14:ligatures w14:val="standardContextual"/>
              </w:rPr>
              <w:t>Мінфін ухвалив Методологію застосування гендерних показників у бюджетному процесі на місцевому рівні.</w:t>
            </w:r>
          </w:p>
        </w:tc>
      </w:tr>
      <w:tr w:rsidR="00952D53" w:rsidRPr="00952D53" w14:paraId="3BA3D6CE"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0A5BA3DF"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5</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78AA62F9"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 xml:space="preserve">DLR #2.7 (іі): </w:t>
            </w:r>
            <w:r w:rsidRPr="00952D53">
              <w:rPr>
                <w:rFonts w:ascii="Times New Roman" w:hAnsi="Times New Roman"/>
                <w:bCs/>
                <w:kern w:val="2"/>
                <w:sz w:val="24"/>
                <w:szCs w:val="24"/>
                <w:lang w:val="uk-UA"/>
                <w14:ligatures w14:val="standardContextual"/>
              </w:rPr>
              <w:t>Щонайменше 400 громад використали Методологію застосування гендерних показників у бюджетному процесі шляхом включення принаймні одного гендерного показника або гендерний аналіз до Паспортів бюджетних програм або звітів про виконання паспортів бюджетних програм, що були подані відповідному місцевому фінансовому органу.</w:t>
            </w:r>
          </w:p>
        </w:tc>
      </w:tr>
      <w:tr w:rsidR="00952D53" w:rsidRPr="00952D53" w14:paraId="67FFB347" w14:textId="77777777" w:rsidTr="008D5022">
        <w:trPr>
          <w:trHeight w:val="300"/>
        </w:trPr>
        <w:tc>
          <w:tcPr>
            <w:tcW w:w="1003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74697E" w14:textId="77777777" w:rsidR="00952D53" w:rsidRPr="00952D53" w:rsidRDefault="00952D53" w:rsidP="00952D53">
            <w:pPr>
              <w:spacing w:line="257" w:lineRule="auto"/>
              <w:jc w:val="both"/>
              <w:rPr>
                <w:rFonts w:ascii="Times New Roman" w:hAnsi="Times New Roman"/>
                <w:b/>
                <w:bCs/>
                <w:sz w:val="24"/>
                <w:szCs w:val="24"/>
                <w:lang w:val="uk-UA"/>
              </w:rPr>
            </w:pPr>
            <w:r w:rsidRPr="00952D53">
              <w:rPr>
                <w:rFonts w:ascii="Times New Roman" w:hAnsi="Times New Roman"/>
                <w:b/>
                <w:bCs/>
                <w:sz w:val="24"/>
                <w:szCs w:val="24"/>
                <w:lang w:val="uk-UA"/>
              </w:rPr>
              <w:t>DLI № 4. ДПС використовує систему управління податковими ризиками (комплаєнс-ризиками) для податкових перевірок великих платників податків</w:t>
            </w:r>
          </w:p>
        </w:tc>
      </w:tr>
      <w:tr w:rsidR="00952D53" w:rsidRPr="00952D53" w14:paraId="77B4BBFD"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578DA6F3"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1</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704A914A" w14:textId="77777777" w:rsidR="00952D53" w:rsidRPr="00952D53" w:rsidRDefault="00952D53" w:rsidP="00952D53">
            <w:pPr>
              <w:widowControl w:val="0"/>
              <w:jc w:val="both"/>
              <w:rPr>
                <w:rFonts w:ascii="Times New Roman" w:hAnsi="Times New Roman"/>
                <w:b/>
                <w:bCs/>
                <w:kern w:val="2"/>
                <w:sz w:val="20"/>
                <w:lang w:val="uk-UA"/>
                <w14:ligatures w14:val="standardContextual"/>
              </w:rPr>
            </w:pPr>
            <w:r w:rsidRPr="00952D53">
              <w:rPr>
                <w:rFonts w:ascii="Times New Roman" w:hAnsi="Times New Roman"/>
                <w:sz w:val="24"/>
                <w:szCs w:val="24"/>
                <w:lang w:val="uk-UA"/>
              </w:rPr>
              <w:t xml:space="preserve">DLR # 4.3 </w:t>
            </w:r>
            <w:r w:rsidRPr="00952D53">
              <w:rPr>
                <w:rFonts w:ascii="Times New Roman" w:hAnsi="Times New Roman"/>
                <w:bCs/>
                <w:kern w:val="2"/>
                <w:sz w:val="24"/>
                <w:szCs w:val="24"/>
                <w:lang w:val="uk-UA"/>
                <w14:ligatures w14:val="standardContextual"/>
              </w:rPr>
              <w:t>ДПС завершила встановлення та забезпечила безперебійну роботу та використання ІТ-системи, яка відповідає специфікаціям для обробки облікових даних між платниками податків та ДПС з використанням стандартного аудиторського файлу (SAF-T UA).</w:t>
            </w:r>
          </w:p>
        </w:tc>
      </w:tr>
      <w:tr w:rsidR="00952D53" w:rsidRPr="00952D53" w14:paraId="161FB3F8"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6B9CDFB4"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2</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7C3EF3E6"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 xml:space="preserve">DLR # 4.4 </w:t>
            </w:r>
            <w:r w:rsidRPr="00952D53">
              <w:rPr>
                <w:rFonts w:ascii="Times New Roman" w:hAnsi="Times New Roman"/>
                <w:bCs/>
                <w:kern w:val="2"/>
                <w:sz w:val="24"/>
                <w:szCs w:val="24"/>
                <w:lang w:val="uk-UA"/>
                <w14:ligatures w14:val="standardContextual"/>
              </w:rPr>
              <w:t>ДПС оприлюднила План цифрового розвитку, узгоджений з Національною стратегією доходів.</w:t>
            </w:r>
          </w:p>
        </w:tc>
      </w:tr>
      <w:tr w:rsidR="00952D53" w:rsidRPr="00952D53" w14:paraId="7712D214" w14:textId="77777777" w:rsidTr="008D5022">
        <w:trPr>
          <w:trHeight w:val="300"/>
        </w:trPr>
        <w:tc>
          <w:tcPr>
            <w:tcW w:w="421" w:type="dxa"/>
            <w:tcBorders>
              <w:top w:val="single" w:sz="8" w:space="0" w:color="auto"/>
              <w:left w:val="single" w:sz="8" w:space="0" w:color="auto"/>
              <w:bottom w:val="single" w:sz="8" w:space="0" w:color="auto"/>
              <w:right w:val="single" w:sz="8" w:space="0" w:color="auto"/>
            </w:tcBorders>
            <w:tcMar>
              <w:left w:w="108" w:type="dxa"/>
              <w:right w:w="108" w:type="dxa"/>
            </w:tcMar>
          </w:tcPr>
          <w:p w14:paraId="5947FCD8"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lastRenderedPageBreak/>
              <w:t>3</w:t>
            </w:r>
          </w:p>
        </w:tc>
        <w:tc>
          <w:tcPr>
            <w:tcW w:w="9610" w:type="dxa"/>
            <w:tcBorders>
              <w:top w:val="single" w:sz="8" w:space="0" w:color="auto"/>
              <w:left w:val="single" w:sz="8" w:space="0" w:color="auto"/>
              <w:bottom w:val="single" w:sz="8" w:space="0" w:color="auto"/>
              <w:right w:val="single" w:sz="8" w:space="0" w:color="auto"/>
            </w:tcBorders>
            <w:tcMar>
              <w:left w:w="108" w:type="dxa"/>
              <w:right w:w="108" w:type="dxa"/>
            </w:tcMar>
          </w:tcPr>
          <w:p w14:paraId="39BBDCCF" w14:textId="77777777" w:rsidR="00952D53" w:rsidRPr="00952D53" w:rsidRDefault="00952D53" w:rsidP="00952D53">
            <w:pPr>
              <w:spacing w:line="257" w:lineRule="auto"/>
              <w:jc w:val="both"/>
              <w:rPr>
                <w:rFonts w:ascii="Times New Roman" w:hAnsi="Times New Roman"/>
                <w:sz w:val="24"/>
                <w:szCs w:val="24"/>
                <w:lang w:val="uk-UA"/>
              </w:rPr>
            </w:pPr>
            <w:r w:rsidRPr="00952D53">
              <w:rPr>
                <w:rFonts w:ascii="Times New Roman" w:hAnsi="Times New Roman"/>
                <w:sz w:val="24"/>
                <w:szCs w:val="24"/>
                <w:lang w:val="uk-UA"/>
              </w:rPr>
              <w:t xml:space="preserve">DLR # 4.5 </w:t>
            </w:r>
            <w:r w:rsidRPr="00952D53">
              <w:rPr>
                <w:rFonts w:ascii="Times New Roman" w:eastAsia="Calibri" w:hAnsi="Times New Roman"/>
                <w:bCs/>
                <w:kern w:val="2"/>
                <w:sz w:val="24"/>
                <w:szCs w:val="24"/>
                <w:lang w:val="uk-UA"/>
                <w14:ligatures w14:val="standardContextual"/>
              </w:rPr>
              <w:t>ДПС використала дані, отримані в результаті впровадження системи управління податковими ризиками (комплаєнс-ризиками) для відбору 60 відсотків перевірок великих платників податків, включених до річного плану (графіку) перевірок.</w:t>
            </w:r>
          </w:p>
        </w:tc>
      </w:tr>
    </w:tbl>
    <w:p w14:paraId="28124426" w14:textId="77777777" w:rsidR="00952D53" w:rsidRPr="00952D53" w:rsidRDefault="00952D53" w:rsidP="00952D53">
      <w:pPr>
        <w:jc w:val="both"/>
        <w:rPr>
          <w:rFonts w:ascii="Times New Roman" w:hAnsi="Times New Roman"/>
          <w:sz w:val="24"/>
          <w:szCs w:val="24"/>
          <w:lang w:val="uk-UA"/>
        </w:rPr>
      </w:pPr>
    </w:p>
    <w:p w14:paraId="5FCD3B72" w14:textId="77777777" w:rsidR="00952D53" w:rsidRPr="00952D53" w:rsidRDefault="00952D53" w:rsidP="00952D53">
      <w:pPr>
        <w:rPr>
          <w:rFonts w:ascii="Times New Roman" w:hAnsi="Times New Roman"/>
          <w:sz w:val="24"/>
          <w:szCs w:val="24"/>
          <w:lang w:val="uk-UA"/>
        </w:rPr>
      </w:pPr>
      <w:r w:rsidRPr="00952D53">
        <w:rPr>
          <w:rFonts w:ascii="Times New Roman" w:hAnsi="Times New Roman"/>
          <w:sz w:val="24"/>
          <w:szCs w:val="24"/>
          <w:lang w:val="uk-UA"/>
        </w:rPr>
        <w:br w:type="page"/>
      </w:r>
    </w:p>
    <w:p w14:paraId="5F6E75DB" w14:textId="77777777" w:rsidR="00952D53" w:rsidRPr="00952D53" w:rsidRDefault="00952D53" w:rsidP="00952D53">
      <w:pPr>
        <w:jc w:val="both"/>
        <w:rPr>
          <w:rFonts w:ascii="Times New Roman" w:hAnsi="Times New Roman"/>
          <w:b/>
          <w:bCs/>
          <w:sz w:val="24"/>
          <w:szCs w:val="24"/>
          <w:lang w:val="uk-UA"/>
        </w:rPr>
      </w:pPr>
      <w:r w:rsidRPr="00952D53">
        <w:rPr>
          <w:rFonts w:ascii="Times New Roman" w:hAnsi="Times New Roman"/>
          <w:b/>
          <w:bCs/>
          <w:sz w:val="24"/>
          <w:szCs w:val="24"/>
          <w:lang w:val="uk-UA"/>
        </w:rPr>
        <w:lastRenderedPageBreak/>
        <w:t>Додаток 2. Протоколи верифікації для DLI та DLR, що підлягають верифікації</w:t>
      </w:r>
      <w:r w:rsidRPr="00952D53">
        <w:rPr>
          <w:rFonts w:ascii="Times New Roman" w:hAnsi="Times New Roman"/>
          <w:b/>
          <w:bCs/>
          <w:sz w:val="24"/>
          <w:szCs w:val="24"/>
          <w:vertAlign w:val="superscript"/>
          <w:lang w:val="uk-UA"/>
        </w:rPr>
        <w:footnoteReference w:id="2"/>
      </w:r>
    </w:p>
    <w:tbl>
      <w:tblPr>
        <w:tblW w:w="10760" w:type="dxa"/>
        <w:tblLayout w:type="fixed"/>
        <w:tblLook w:val="04A0" w:firstRow="1" w:lastRow="0" w:firstColumn="1" w:lastColumn="0" w:noHBand="0" w:noVBand="1"/>
      </w:tblPr>
      <w:tblGrid>
        <w:gridCol w:w="1785"/>
        <w:gridCol w:w="7996"/>
        <w:gridCol w:w="979"/>
      </w:tblGrid>
      <w:tr w:rsidR="00952D53" w:rsidRPr="00952D53" w14:paraId="0735D679" w14:textId="77777777" w:rsidTr="008D5022">
        <w:trPr>
          <w:trHeight w:val="435"/>
        </w:trPr>
        <w:tc>
          <w:tcPr>
            <w:tcW w:w="10760" w:type="dxa"/>
            <w:gridSpan w:val="3"/>
            <w:vAlign w:val="center"/>
          </w:tcPr>
          <w:p w14:paraId="2BAC2C8D" w14:textId="77777777" w:rsidR="00952D53" w:rsidRPr="00952D53" w:rsidRDefault="00952D53" w:rsidP="00952D53">
            <w:pPr>
              <w:spacing w:before="120" w:after="120"/>
              <w:jc w:val="both"/>
              <w:rPr>
                <w:rFonts w:ascii="Times New Roman" w:hAnsi="Times New Roman"/>
                <w:b/>
                <w:color w:val="002060"/>
                <w:sz w:val="24"/>
                <w:szCs w:val="24"/>
                <w:lang w:val="uk-UA"/>
              </w:rPr>
            </w:pPr>
          </w:p>
        </w:tc>
      </w:tr>
      <w:tr w:rsidR="00952D53" w:rsidRPr="00952D53" w14:paraId="6AC346B5"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4F81BD"/>
            <w:tcMar>
              <w:left w:w="115" w:type="dxa"/>
              <w:right w:w="115" w:type="dxa"/>
            </w:tcMar>
            <w:vAlign w:val="center"/>
          </w:tcPr>
          <w:p w14:paraId="37718ABE" w14:textId="77777777" w:rsidR="00952D53" w:rsidRPr="00952D53" w:rsidRDefault="00952D53" w:rsidP="00952D53">
            <w:pPr>
              <w:spacing w:line="254" w:lineRule="auto"/>
              <w:ind w:left="90"/>
              <w:jc w:val="both"/>
              <w:rPr>
                <w:rFonts w:ascii="Times New Roman" w:hAnsi="Times New Roman"/>
                <w:b/>
                <w:bCs/>
                <w:color w:val="FFFFFF"/>
                <w:szCs w:val="24"/>
                <w:lang w:val="uk-UA"/>
              </w:rPr>
            </w:pPr>
            <w:r w:rsidRPr="00952D53">
              <w:rPr>
                <w:rFonts w:ascii="Times New Roman" w:hAnsi="Times New Roman"/>
                <w:b/>
                <w:bCs/>
                <w:color w:val="FFFFFF"/>
                <w:szCs w:val="24"/>
                <w:lang w:val="uk-UA"/>
              </w:rPr>
              <w:t>DLI 1</w:t>
            </w:r>
          </w:p>
        </w:tc>
        <w:tc>
          <w:tcPr>
            <w:tcW w:w="7996" w:type="dxa"/>
            <w:tcBorders>
              <w:top w:val="single" w:sz="8" w:space="0" w:color="D9D9D9"/>
              <w:left w:val="single" w:sz="8" w:space="0" w:color="D9D9D9"/>
              <w:bottom w:val="single" w:sz="8" w:space="0" w:color="D9D9D9"/>
              <w:right w:val="single" w:sz="8" w:space="0" w:color="D9D9D9"/>
            </w:tcBorders>
            <w:shd w:val="clear" w:color="auto" w:fill="4F81BD"/>
            <w:tcMar>
              <w:left w:w="115" w:type="dxa"/>
              <w:right w:w="115" w:type="dxa"/>
            </w:tcMar>
            <w:vAlign w:val="center"/>
          </w:tcPr>
          <w:p w14:paraId="19E46A00" w14:textId="77777777" w:rsidR="00952D53" w:rsidRPr="00952D53" w:rsidRDefault="00952D53" w:rsidP="00952D53">
            <w:pPr>
              <w:spacing w:line="254" w:lineRule="auto"/>
              <w:ind w:right="85"/>
              <w:jc w:val="both"/>
              <w:rPr>
                <w:rFonts w:ascii="Times New Roman" w:hAnsi="Times New Roman"/>
                <w:b/>
                <w:bCs/>
                <w:color w:val="FFFFFF"/>
                <w:szCs w:val="24"/>
                <w:lang w:val="uk-UA"/>
              </w:rPr>
            </w:pPr>
            <w:r w:rsidRPr="00952D53">
              <w:rPr>
                <w:rFonts w:ascii="Times New Roman" w:hAnsi="Times New Roman"/>
                <w:color w:val="FFFFFF"/>
                <w:szCs w:val="24"/>
                <w:lang w:val="uk-UA"/>
              </w:rPr>
              <w:t>Публічні інвестиційні проекти узгоджуються зі стратегічними пріоритетами сталого розвитку</w:t>
            </w:r>
          </w:p>
        </w:tc>
      </w:tr>
      <w:tr w:rsidR="00952D53" w:rsidRPr="00952D53" w14:paraId="2FE2A59F"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607C7D3F"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Опис</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22DDBE84" w14:textId="77777777" w:rsidR="00952D53" w:rsidRPr="00952D53" w:rsidRDefault="00952D53" w:rsidP="00952D53">
            <w:pPr>
              <w:jc w:val="both"/>
              <w:rPr>
                <w:rFonts w:ascii="Times New Roman" w:hAnsi="Times New Roman"/>
                <w:color w:val="000000"/>
                <w:sz w:val="20"/>
                <w:lang w:val="uk-UA"/>
              </w:rPr>
            </w:pPr>
            <w:r w:rsidRPr="00952D53">
              <w:rPr>
                <w:rFonts w:ascii="Times New Roman" w:hAnsi="Times New Roman"/>
                <w:color w:val="000000"/>
                <w:sz w:val="20"/>
                <w:lang w:val="uk-UA"/>
              </w:rPr>
              <w:t xml:space="preserve">DLI </w:t>
            </w:r>
            <w:r w:rsidRPr="00952D53">
              <w:rPr>
                <w:rFonts w:ascii="Times New Roman" w:eastAsia="Calibri" w:hAnsi="Times New Roman"/>
                <w:sz w:val="20"/>
                <w:lang w:val="uk-UA"/>
              </w:rPr>
              <w:t xml:space="preserve">спрямований на підвищення ефективності та результативності системи управління публічними інвестиціями в Україні шляхом: </w:t>
            </w:r>
            <w:r w:rsidRPr="00952D53">
              <w:rPr>
                <w:rFonts w:ascii="Times New Roman" w:eastAsia="Calibri" w:hAnsi="Times New Roman"/>
                <w:bCs/>
                <w:sz w:val="20"/>
                <w:lang w:val="uk-UA"/>
              </w:rPr>
              <w:t>покращення координації та реалізації проектів, які включають питання адаптації до зміни клімату та пом'якшення наслідків зміни клімату на основі стратегічних пріоритетів; покращення доступу до стандартизованої, всебічної та актуальної інформації про інвестиційні лінії, проекти та їх реалізацію, що сприятиме прийняттю обґрунтованих рішень.</w:t>
            </w:r>
            <w:r w:rsidRPr="00952D53">
              <w:rPr>
                <w:rFonts w:ascii="Times New Roman" w:eastAsia="Calibri" w:hAnsi="Times New Roman"/>
                <w:sz w:val="20"/>
                <w:lang w:val="uk-UA"/>
              </w:rPr>
              <w:t xml:space="preserve"> ІПВ вимірюється часткою проектів у Єдиному проектному портфелі, які відповідають національним та галузевим пріоритетам, а також враховують питання зміни клімату та ґендерні аспекти.</w:t>
            </w:r>
          </w:p>
        </w:tc>
      </w:tr>
      <w:tr w:rsidR="00952D53" w:rsidRPr="00952D53" w14:paraId="08D1AB87"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24F88C2C"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Джерело даних/ Агентство</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E262B6E" w14:textId="77777777" w:rsidR="00952D53" w:rsidRPr="00952D53" w:rsidRDefault="00952D53" w:rsidP="00952D53">
            <w:pPr>
              <w:numPr>
                <w:ilvl w:val="0"/>
                <w:numId w:val="38"/>
              </w:numPr>
              <w:contextualSpacing/>
              <w:rPr>
                <w:rFonts w:ascii="Times New Roman" w:eastAsia="Calibri" w:hAnsi="Times New Roman" w:cs="Calibri"/>
                <w:bCs/>
                <w:sz w:val="20"/>
                <w:lang w:val="uk-UA"/>
              </w:rPr>
            </w:pPr>
            <w:r w:rsidRPr="00952D53">
              <w:rPr>
                <w:rFonts w:ascii="Times New Roman" w:eastAsia="Calibri" w:hAnsi="Times New Roman" w:cs="Calibri"/>
                <w:bCs/>
                <w:sz w:val="20"/>
                <w:lang w:val="uk-UA"/>
              </w:rPr>
              <w:t>Урядові документи: Офіційні документи, звіти та дані відповідних державних установ, відповідальних за управління публічними інвестиціями, пріоритети у сфері зміни клімату та розвиток інфраструктури.</w:t>
            </w:r>
          </w:p>
          <w:p w14:paraId="495D04AF" w14:textId="77777777" w:rsidR="00952D53" w:rsidRPr="00952D53" w:rsidRDefault="00952D53" w:rsidP="00952D53">
            <w:pPr>
              <w:numPr>
                <w:ilvl w:val="0"/>
                <w:numId w:val="38"/>
              </w:numPr>
              <w:contextualSpacing/>
              <w:rPr>
                <w:rFonts w:ascii="Times New Roman" w:eastAsia="Calibri" w:hAnsi="Times New Roman" w:cs="Calibri"/>
                <w:bCs/>
                <w:sz w:val="20"/>
                <w:lang w:val="uk-UA"/>
              </w:rPr>
            </w:pPr>
            <w:r w:rsidRPr="00952D53">
              <w:rPr>
                <w:rFonts w:ascii="Times New Roman" w:eastAsia="Calibri" w:hAnsi="Times New Roman" w:cs="Calibri"/>
                <w:bCs/>
                <w:sz w:val="20"/>
                <w:lang w:val="uk-UA"/>
              </w:rPr>
              <w:t>Проектна документація: Детальні плани проектів, звіти про хід виконання та бюджетні асигнування від виконавчих агенцій та міністерств.</w:t>
            </w:r>
          </w:p>
          <w:p w14:paraId="108992CE" w14:textId="77777777" w:rsidR="00952D53" w:rsidRPr="00952D53" w:rsidRDefault="00952D53" w:rsidP="00952D53">
            <w:pPr>
              <w:widowControl w:val="0"/>
              <w:numPr>
                <w:ilvl w:val="0"/>
                <w:numId w:val="38"/>
              </w:numPr>
              <w:autoSpaceDE w:val="0"/>
              <w:autoSpaceDN w:val="0"/>
              <w:adjustRightInd w:val="0"/>
              <w:contextualSpacing/>
              <w:jc w:val="both"/>
              <w:rPr>
                <w:rFonts w:ascii="Times New Roman" w:hAnsi="Times New Roman"/>
                <w:color w:val="000000"/>
                <w:sz w:val="20"/>
                <w:lang w:val="uk-UA"/>
              </w:rPr>
            </w:pPr>
            <w:r w:rsidRPr="00952D53">
              <w:rPr>
                <w:rFonts w:ascii="Times New Roman" w:hAnsi="Times New Roman"/>
                <w:color w:val="000000"/>
                <w:sz w:val="20"/>
                <w:lang w:val="uk-UA"/>
              </w:rPr>
              <w:t>Документація єдиного проектного портфеля.</w:t>
            </w:r>
          </w:p>
        </w:tc>
      </w:tr>
      <w:tr w:rsidR="00952D53" w:rsidRPr="00952D53" w14:paraId="77D76252" w14:textId="77777777" w:rsidTr="00952D53">
        <w:trPr>
          <w:gridAfter w:val="1"/>
          <w:wAfter w:w="979" w:type="dxa"/>
          <w:trHeight w:val="60"/>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6EAE007B"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Суб'єкт перевірки</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24554F7E" w14:textId="77777777" w:rsidR="00952D53" w:rsidRPr="00952D53" w:rsidRDefault="00952D53" w:rsidP="00952D53">
            <w:pPr>
              <w:jc w:val="both"/>
              <w:rPr>
                <w:rFonts w:ascii="Times New Roman" w:hAnsi="Times New Roman"/>
                <w:color w:val="000000"/>
                <w:sz w:val="20"/>
                <w:lang w:val="uk-UA"/>
              </w:rPr>
            </w:pPr>
            <w:r w:rsidRPr="00952D53">
              <w:rPr>
                <w:rFonts w:ascii="Times New Roman" w:hAnsi="Times New Roman"/>
                <w:color w:val="000000"/>
                <w:sz w:val="20"/>
                <w:lang w:val="uk-UA"/>
              </w:rPr>
              <w:t>Агент з верифікації</w:t>
            </w:r>
          </w:p>
        </w:tc>
      </w:tr>
      <w:tr w:rsidR="00952D53" w:rsidRPr="00952D53" w14:paraId="35DA2BD8"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1CE3E3EB"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DAB7939" w14:textId="77777777" w:rsidR="00952D53" w:rsidRPr="00952D53" w:rsidRDefault="00952D53" w:rsidP="00952D53">
            <w:pPr>
              <w:numPr>
                <w:ilvl w:val="0"/>
                <w:numId w:val="38"/>
              </w:numPr>
              <w:contextualSpacing/>
              <w:rPr>
                <w:rFonts w:ascii="Times New Roman" w:eastAsia="Calibri" w:hAnsi="Times New Roman" w:cs="Calibri"/>
                <w:bCs/>
                <w:sz w:val="20"/>
                <w:lang w:val="uk-UA"/>
              </w:rPr>
            </w:pPr>
            <w:r w:rsidRPr="00952D53">
              <w:rPr>
                <w:rFonts w:ascii="Times New Roman" w:eastAsia="Calibri" w:hAnsi="Times New Roman" w:cs="Calibri"/>
                <w:bCs/>
                <w:sz w:val="20"/>
                <w:lang w:val="uk-UA"/>
              </w:rPr>
              <w:t>Збір даних: Збір офіційних урядових документів, звітів та проектної документації, пов'язаної з управлінням публічними інвестиціями та кліматично стійкими проектами. Збір даних про механізми координації, пріоритети проектів та доступність інформації.</w:t>
            </w:r>
          </w:p>
          <w:p w14:paraId="66566B27" w14:textId="77777777" w:rsidR="00952D53" w:rsidRPr="00952D53" w:rsidRDefault="00952D53" w:rsidP="00952D53">
            <w:pPr>
              <w:numPr>
                <w:ilvl w:val="0"/>
                <w:numId w:val="38"/>
              </w:numPr>
              <w:contextualSpacing/>
              <w:rPr>
                <w:rFonts w:ascii="Times New Roman" w:eastAsia="Calibri" w:hAnsi="Times New Roman" w:cs="Calibri"/>
                <w:bCs/>
                <w:sz w:val="20"/>
                <w:lang w:val="uk-UA"/>
              </w:rPr>
            </w:pPr>
            <w:r w:rsidRPr="00952D53">
              <w:rPr>
                <w:rFonts w:ascii="Times New Roman" w:eastAsia="Calibri" w:hAnsi="Times New Roman" w:cs="Calibri"/>
                <w:bCs/>
                <w:sz w:val="20"/>
                <w:lang w:val="uk-UA"/>
              </w:rPr>
              <w:t>Верифікація: Аналіз зібраних даних для оцінки прогресу в досягненні проміжних результатів ІПВ. Оцінка ефективності координаційних зусиль у визначенні пріоритетів та реалізації кліматично орієнтованих проектів. Перевірка наявності та якості інформації про інвестиційний портфель та реалізацію проектів.</w:t>
            </w:r>
          </w:p>
          <w:p w14:paraId="1C59A34B" w14:textId="77777777" w:rsidR="00952D53" w:rsidRPr="00952D53" w:rsidRDefault="00952D53" w:rsidP="00952D53">
            <w:pPr>
              <w:widowControl w:val="0"/>
              <w:numPr>
                <w:ilvl w:val="0"/>
                <w:numId w:val="38"/>
              </w:numPr>
              <w:autoSpaceDE w:val="0"/>
              <w:autoSpaceDN w:val="0"/>
              <w:adjustRightInd w:val="0"/>
              <w:contextualSpacing/>
              <w:jc w:val="both"/>
              <w:rPr>
                <w:rFonts w:ascii="Times New Roman" w:hAnsi="Times New Roman"/>
                <w:color w:val="000000"/>
                <w:sz w:val="20"/>
                <w:lang w:val="uk-UA"/>
              </w:rPr>
            </w:pPr>
            <w:r w:rsidRPr="00952D53">
              <w:rPr>
                <w:rFonts w:ascii="Times New Roman" w:eastAsia="Calibri" w:hAnsi="Times New Roman" w:cs="Calibri"/>
                <w:bCs/>
                <w:sz w:val="20"/>
                <w:lang w:val="uk-UA"/>
              </w:rPr>
              <w:t>Складання звіту: Підсумування результатів у верифікаційному звіті з підтверджуючими доказами.</w:t>
            </w:r>
          </w:p>
        </w:tc>
      </w:tr>
      <w:tr w:rsidR="00952D53" w:rsidRPr="00952D53" w14:paraId="11856115" w14:textId="77777777" w:rsidTr="00952D53">
        <w:trPr>
          <w:gridAfter w:val="1"/>
          <w:wAfter w:w="979" w:type="dxa"/>
          <w:trHeight w:val="390"/>
        </w:trPr>
        <w:tc>
          <w:tcPr>
            <w:tcW w:w="1785" w:type="dxa"/>
            <w:tcBorders>
              <w:top w:val="single" w:sz="8" w:space="0" w:color="D9D9D9"/>
              <w:left w:val="single" w:sz="8" w:space="0" w:color="D9D9D9"/>
              <w:bottom w:val="single" w:sz="8" w:space="0" w:color="D9D9D9"/>
              <w:right w:val="single" w:sz="8" w:space="0" w:color="D9D9D9"/>
            </w:tcBorders>
            <w:shd w:val="clear" w:color="auto" w:fill="DAEEF3"/>
            <w:tcMar>
              <w:left w:w="115" w:type="dxa"/>
              <w:right w:w="115" w:type="dxa"/>
            </w:tcMar>
            <w:vAlign w:val="center"/>
          </w:tcPr>
          <w:p w14:paraId="0DD0CEC5"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DLR 1.7</w:t>
            </w:r>
          </w:p>
        </w:tc>
        <w:tc>
          <w:tcPr>
            <w:tcW w:w="7996" w:type="dxa"/>
            <w:tcBorders>
              <w:top w:val="single" w:sz="8" w:space="0" w:color="D9D9D9"/>
              <w:left w:val="single" w:sz="8" w:space="0" w:color="D9D9D9"/>
              <w:bottom w:val="single" w:sz="8" w:space="0" w:color="D9D9D9"/>
              <w:right w:val="single" w:sz="8" w:space="0" w:color="D9D9D9"/>
            </w:tcBorders>
            <w:shd w:val="clear" w:color="auto" w:fill="DAEEF3"/>
            <w:tcMar>
              <w:left w:w="115" w:type="dxa"/>
              <w:right w:w="115" w:type="dxa"/>
            </w:tcMar>
            <w:vAlign w:val="center"/>
          </w:tcPr>
          <w:p w14:paraId="1E99121E" w14:textId="77777777" w:rsidR="00952D53" w:rsidRPr="00952D53" w:rsidRDefault="00952D53" w:rsidP="00952D53">
            <w:pPr>
              <w:jc w:val="both"/>
              <w:rPr>
                <w:rFonts w:ascii="Times New Roman" w:hAnsi="Times New Roman"/>
                <w:b/>
                <w:bCs/>
                <w:sz w:val="20"/>
                <w:lang w:val="uk-UA"/>
              </w:rPr>
            </w:pPr>
            <w:r w:rsidRPr="00952D53">
              <w:rPr>
                <w:rFonts w:ascii="Times New Roman" w:hAnsi="Times New Roman"/>
                <w:b/>
                <w:bCs/>
                <w:sz w:val="20"/>
                <w:lang w:val="uk-UA"/>
              </w:rPr>
              <w:t>РПВ 1.7. (і) Кабінет Міністрів запровадив вимогу, щоб усі проекти, включені до Державного бюджету, були зареєстровані в системі DREAM.</w:t>
            </w:r>
          </w:p>
          <w:p w14:paraId="7158C55D" w14:textId="77777777" w:rsidR="00952D53" w:rsidRPr="00952D53" w:rsidRDefault="00952D53" w:rsidP="00952D53">
            <w:pPr>
              <w:rPr>
                <w:rFonts w:ascii="Times New Roman" w:hAnsi="Times New Roman"/>
                <w:b/>
                <w:bCs/>
                <w:sz w:val="10"/>
                <w:szCs w:val="10"/>
                <w:lang w:val="uk-UA"/>
              </w:rPr>
            </w:pPr>
          </w:p>
          <w:p w14:paraId="75987106" w14:textId="77777777" w:rsidR="00952D53" w:rsidRPr="00952D53" w:rsidRDefault="00952D53" w:rsidP="00952D53">
            <w:pPr>
              <w:jc w:val="both"/>
              <w:rPr>
                <w:rFonts w:ascii="Times New Roman" w:hAnsi="Times New Roman"/>
                <w:b/>
                <w:bCs/>
                <w:sz w:val="20"/>
                <w:lang w:val="uk-UA"/>
              </w:rPr>
            </w:pPr>
            <w:r w:rsidRPr="00952D53">
              <w:rPr>
                <w:rFonts w:ascii="Times New Roman" w:hAnsi="Times New Roman"/>
                <w:b/>
                <w:bCs/>
                <w:sz w:val="20"/>
                <w:lang w:val="uk-UA"/>
              </w:rPr>
              <w:t xml:space="preserve">РПВ 1.7. (ii) Мінекономіки, Мінфін та Мінрозвитку налагодили регулярну звірку даних (принаймні раз на тиждень) системи DREAM з інформацією з Prozorro, системою державного казначейського обслуговування та бюджетними інформаційними системами; та </w:t>
            </w:r>
          </w:p>
          <w:p w14:paraId="7434F747" w14:textId="77777777" w:rsidR="00952D53" w:rsidRPr="00952D53" w:rsidRDefault="00952D53" w:rsidP="00952D53">
            <w:pPr>
              <w:rPr>
                <w:rFonts w:ascii="Times New Roman" w:hAnsi="Times New Roman"/>
                <w:b/>
                <w:bCs/>
                <w:sz w:val="10"/>
                <w:szCs w:val="10"/>
                <w:lang w:val="uk-UA"/>
              </w:rPr>
            </w:pPr>
          </w:p>
          <w:p w14:paraId="2EFF41A0" w14:textId="77777777" w:rsidR="00952D53" w:rsidRPr="00952D53" w:rsidRDefault="00952D53" w:rsidP="00952D53">
            <w:pPr>
              <w:jc w:val="both"/>
              <w:rPr>
                <w:rFonts w:ascii="Times New Roman" w:hAnsi="Times New Roman"/>
                <w:b/>
                <w:bCs/>
                <w:sz w:val="20"/>
                <w:lang w:val="uk-UA"/>
              </w:rPr>
            </w:pPr>
            <w:r w:rsidRPr="00952D53">
              <w:rPr>
                <w:rFonts w:ascii="Times New Roman" w:hAnsi="Times New Roman"/>
                <w:b/>
                <w:bCs/>
                <w:sz w:val="20"/>
                <w:lang w:val="uk-UA"/>
              </w:rPr>
              <w:t>РПВ 1.7. (iii) Мінрозвитку операціоналізувало модулі зміни клімату в системі DREAM, що дозволяють центральним та місцевим органам влади визначати та вирішувати пов'язані з кліматом фізичні ризики (адаптація) та впливи (зменшення викидів ПГ) на рівні проектів.</w:t>
            </w:r>
          </w:p>
        </w:tc>
      </w:tr>
      <w:tr w:rsidR="00952D53" w:rsidRPr="00952D53" w14:paraId="63E68F1F"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44EA20D2"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Формула</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4F9E8FC" w14:textId="77777777" w:rsidR="00952D53" w:rsidRPr="00952D53" w:rsidRDefault="00952D53" w:rsidP="00952D53">
            <w:pPr>
              <w:rPr>
                <w:rFonts w:ascii="Times New Roman" w:hAnsi="Times New Roman"/>
                <w:sz w:val="20"/>
                <w:lang w:val="uk-UA"/>
              </w:rPr>
            </w:pPr>
            <w:r w:rsidRPr="00952D53">
              <w:rPr>
                <w:rFonts w:ascii="Times New Roman" w:hAnsi="Times New Roman"/>
                <w:sz w:val="20"/>
                <w:lang w:val="uk-UA"/>
              </w:rPr>
              <w:t>Без можливості масштабування.</w:t>
            </w:r>
          </w:p>
          <w:p w14:paraId="626BFD70" w14:textId="77777777" w:rsidR="00952D53" w:rsidRPr="00952D53" w:rsidRDefault="00952D53" w:rsidP="00952D53">
            <w:pPr>
              <w:rPr>
                <w:rFonts w:ascii="Times New Roman" w:hAnsi="Times New Roman"/>
                <w:sz w:val="20"/>
                <w:lang w:val="uk-UA"/>
              </w:rPr>
            </w:pPr>
            <w:r w:rsidRPr="00952D53">
              <w:rPr>
                <w:rFonts w:ascii="Times New Roman" w:hAnsi="Times New Roman"/>
                <w:sz w:val="20"/>
                <w:lang w:val="uk-UA"/>
              </w:rPr>
              <w:t>Досягнення (i) дає право на отримання 40 відсотків, (ii) 20 відсотків та (iii) 40 відсотків від виділеної суми.</w:t>
            </w:r>
          </w:p>
        </w:tc>
      </w:tr>
      <w:tr w:rsidR="00952D53" w:rsidRPr="00952D53" w14:paraId="2658B4CA"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1F0D8582"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Опис</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4C79F9F" w14:textId="77777777" w:rsidR="00952D53" w:rsidRPr="00952D53" w:rsidRDefault="00952D53" w:rsidP="00952D53">
            <w:pPr>
              <w:numPr>
                <w:ilvl w:val="0"/>
                <w:numId w:val="39"/>
              </w:numPr>
              <w:ind w:left="341"/>
              <w:jc w:val="both"/>
              <w:rPr>
                <w:rFonts w:ascii="Times New Roman" w:eastAsia="Calibri" w:hAnsi="Times New Roman" w:cs="Calibri"/>
                <w:bCs/>
                <w:sz w:val="20"/>
                <w:lang w:val="ru-RU"/>
              </w:rPr>
            </w:pPr>
            <w:r w:rsidRPr="00952D53">
              <w:rPr>
                <w:rFonts w:ascii="Times New Roman" w:hAnsi="Times New Roman"/>
                <w:bCs/>
                <w:sz w:val="20"/>
                <w:lang w:val="uk-UA"/>
              </w:rPr>
              <w:t>Розроблено та схвалено документи, що регламентують логіку взаємодії ІТ систем в рамках Єдиної екосистеми управління публічними інвестиціями.</w:t>
            </w:r>
          </w:p>
          <w:p w14:paraId="594376F8" w14:textId="77777777" w:rsidR="00952D53" w:rsidRPr="00952D53" w:rsidRDefault="00952D53" w:rsidP="00952D53">
            <w:pPr>
              <w:numPr>
                <w:ilvl w:val="0"/>
                <w:numId w:val="39"/>
              </w:numPr>
              <w:ind w:left="341"/>
              <w:contextualSpacing/>
              <w:jc w:val="both"/>
              <w:rPr>
                <w:rFonts w:ascii="Times New Roman" w:hAnsi="Times New Roman"/>
                <w:bCs/>
                <w:sz w:val="20"/>
                <w:lang w:val="uk-UA"/>
              </w:rPr>
            </w:pPr>
            <w:r w:rsidRPr="00952D53">
              <w:rPr>
                <w:rFonts w:ascii="Times New Roman" w:hAnsi="Times New Roman"/>
                <w:bCs/>
                <w:sz w:val="20"/>
                <w:lang w:val="uk-UA"/>
              </w:rPr>
              <w:t xml:space="preserve">Регулярна звірка означає, що системи DREAM, Prozorro, Казначейства та бюджетні системи (включаючи ІТ-систему Міністерства фінансів «Державний бюджет – Міністерство фінансів» та Інформаційно-аналітичну систему планування та виконання </w:t>
            </w:r>
            <w:r w:rsidRPr="00952D53">
              <w:rPr>
                <w:rFonts w:ascii="Times New Roman" w:hAnsi="Times New Roman"/>
                <w:bCs/>
                <w:sz w:val="20"/>
                <w:lang w:val="uk-UA"/>
              </w:rPr>
              <w:lastRenderedPageBreak/>
              <w:t>місцевих бюджетів «LOGICA») ефективно взаємодіють та працюють разом, забезпечуючи ефективність та безпеку протягом усього циклу проєкту. «Регулярна» означає, що звірки відбуваються щонайменше раз на тиждень, а розбіжності, якщо такі є, виявляються та усуваються відповідно до затверджених протоколів обміну даними.</w:t>
            </w:r>
          </w:p>
          <w:p w14:paraId="0C37EAA1" w14:textId="77777777" w:rsidR="00952D53" w:rsidRPr="00952D53" w:rsidRDefault="00952D53" w:rsidP="00952D53">
            <w:pPr>
              <w:numPr>
                <w:ilvl w:val="0"/>
                <w:numId w:val="39"/>
              </w:numPr>
              <w:ind w:left="341"/>
              <w:contextualSpacing/>
              <w:jc w:val="both"/>
              <w:rPr>
                <w:rFonts w:ascii="Times New Roman" w:hAnsi="Times New Roman"/>
                <w:bCs/>
                <w:sz w:val="20"/>
                <w:lang w:val="uk-UA"/>
              </w:rPr>
            </w:pPr>
            <w:r w:rsidRPr="00952D53">
              <w:rPr>
                <w:rFonts w:ascii="Times New Roman" w:hAnsi="Times New Roman"/>
                <w:bCs/>
                <w:sz w:val="20"/>
                <w:lang w:val="uk-UA"/>
              </w:rPr>
              <w:t xml:space="preserve">Бюджетні інформаційні системи Міністерства фінансів — це інформаційні системи, що використовуються для формування, виконання та звітності про державний та місцеві бюджети, включаючи систему «Державний бюджет — Міністерство фінансів» та Інформаційно-аналітичну систему планування та виконання місцевих бюджетів (LOGICA). Система Державної казначейської служби – це інформаційна система, яку використовує Державна казначейська служба України для виконання державного та місцевих бюджетів, включаючи проведення платежів, бухгалтерський облік та фінансову звітність відповідно до чинного законодавства. </w:t>
            </w:r>
          </w:p>
          <w:p w14:paraId="5830D07E" w14:textId="77777777" w:rsidR="00952D53" w:rsidRPr="00952D53" w:rsidRDefault="00952D53" w:rsidP="00952D53">
            <w:pPr>
              <w:numPr>
                <w:ilvl w:val="0"/>
                <w:numId w:val="39"/>
              </w:numPr>
              <w:ind w:left="341"/>
              <w:contextualSpacing/>
              <w:jc w:val="both"/>
              <w:rPr>
                <w:rFonts w:ascii="Times New Roman" w:hAnsi="Times New Roman"/>
                <w:bCs/>
                <w:sz w:val="20"/>
                <w:lang w:val="uk-UA"/>
              </w:rPr>
            </w:pPr>
            <w:r w:rsidRPr="00952D53">
              <w:rPr>
                <w:rFonts w:ascii="Times New Roman" w:hAnsi="Times New Roman"/>
                <w:bCs/>
                <w:sz w:val="20"/>
                <w:lang w:val="uk-UA"/>
              </w:rPr>
              <w:t xml:space="preserve"> Єдина платформа введення даних означає, що лише проекти, зареєстровані в DREAM, можуть бути подані на оцінку, схвалені СІР та включені до Бюджетної заявки. DREAM або будь-яке інше ІТ-рішення для УПІ має охоплювати весь проектний цикл відповідно до Методології УПІ для ідентифікації, пріорітезації, підготовки, оцінювання, затвердження, моніторингу, перегляду, звітування та заключної оцінки проектів.  </w:t>
            </w:r>
          </w:p>
          <w:p w14:paraId="63BB5FD7" w14:textId="77777777" w:rsidR="00952D53" w:rsidRPr="00952D53" w:rsidRDefault="00952D53" w:rsidP="00952D53">
            <w:pPr>
              <w:numPr>
                <w:ilvl w:val="0"/>
                <w:numId w:val="39"/>
              </w:numPr>
              <w:ind w:left="341"/>
              <w:contextualSpacing/>
              <w:jc w:val="both"/>
              <w:rPr>
                <w:rFonts w:ascii="Times New Roman" w:hAnsi="Times New Roman"/>
                <w:color w:val="000000"/>
                <w:sz w:val="20"/>
                <w:lang w:val="uk-UA"/>
              </w:rPr>
            </w:pPr>
            <w:r w:rsidRPr="00952D53">
              <w:rPr>
                <w:rFonts w:ascii="Times New Roman" w:hAnsi="Times New Roman"/>
                <w:bCs/>
                <w:sz w:val="20"/>
                <w:lang w:val="uk-UA"/>
              </w:rPr>
              <w:t>Модулі з питань зміни клімату повинні: генерувати інформацію про фізичні ризики, які можуть вплинути на проект протягом його життєвого циклу та оцінювати вплив фізичних ризиків на життєздатність проекту; оцінювати викиди парникових газів протягом життєвого циклу, що випливають з дизайну проекту, та визначати альтернативні рішення, які можуть зменшити кліматичний вплив (енергоефективність, використання відновлюваних джерел енергії, альтернативні проекти та технології, поведінкові підходи), а також їхній вплив на життєздатність проекту. Модулі охоплюватимуть обмежену кількість поширених типологій проектів з можливістю поступового розширення сфери застосування модуля.</w:t>
            </w:r>
          </w:p>
        </w:tc>
      </w:tr>
      <w:tr w:rsidR="00952D53" w:rsidRPr="00952D53" w14:paraId="5F6C5A80"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341C82A0"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lastRenderedPageBreak/>
              <w:t>Джерело даних/ Агентство</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44CBF46A" w14:textId="77777777" w:rsidR="00952D53" w:rsidRPr="00952D53" w:rsidRDefault="00952D53" w:rsidP="00952D53">
            <w:pPr>
              <w:ind w:left="275" w:hanging="275"/>
              <w:jc w:val="both"/>
              <w:rPr>
                <w:rFonts w:ascii="Times New Roman" w:hAnsi="Times New Roman"/>
                <w:color w:val="000000"/>
                <w:sz w:val="20"/>
                <w:lang w:val="uk-UA"/>
              </w:rPr>
            </w:pPr>
            <w:r w:rsidRPr="00952D53">
              <w:rPr>
                <w:rFonts w:ascii="Times New Roman" w:hAnsi="Times New Roman"/>
                <w:sz w:val="20"/>
                <w:lang w:val="uk-UA"/>
              </w:rPr>
              <w:t>Мінфін, Кабінет Міністрів, Мінрозвитку</w:t>
            </w:r>
          </w:p>
        </w:tc>
      </w:tr>
      <w:tr w:rsidR="00952D53" w:rsidRPr="00952D53" w14:paraId="72AB3585"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5AD8D217"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Верифікаційна організація</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4B00A448" w14:textId="77777777" w:rsidR="00952D53" w:rsidRPr="00952D53" w:rsidRDefault="00952D53" w:rsidP="00952D53">
            <w:pPr>
              <w:ind w:left="275" w:hanging="275"/>
              <w:jc w:val="both"/>
              <w:rPr>
                <w:rFonts w:ascii="Times New Roman" w:hAnsi="Times New Roman"/>
                <w:color w:val="000000"/>
                <w:sz w:val="20"/>
                <w:lang w:val="uk-UA"/>
              </w:rPr>
            </w:pPr>
            <w:r w:rsidRPr="00952D53">
              <w:rPr>
                <w:rFonts w:ascii="Times New Roman" w:hAnsi="Times New Roman"/>
                <w:sz w:val="20"/>
                <w:lang w:val="uk-UA"/>
              </w:rPr>
              <w:t>Агент з верифікації</w:t>
            </w:r>
          </w:p>
        </w:tc>
      </w:tr>
      <w:tr w:rsidR="00952D53" w:rsidRPr="00952D53" w14:paraId="3F6DC05F"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2D312794"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51C820C5" w14:textId="77777777" w:rsidR="00952D53" w:rsidRPr="00952D53" w:rsidRDefault="00952D53" w:rsidP="00952D53">
            <w:pPr>
              <w:numPr>
                <w:ilvl w:val="0"/>
                <w:numId w:val="39"/>
              </w:numPr>
              <w:ind w:left="341"/>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Збір даних: ГВП збере специфікації інформаційної взаємодії та/або спільні накази щодо обміну даними між системами, операційні записи системи DREAM (логи системи або журнали подій) та звіти про функціональність модулів.</w:t>
            </w:r>
          </w:p>
          <w:p w14:paraId="059E14C4" w14:textId="77777777" w:rsidR="00952D53" w:rsidRPr="00952D53" w:rsidRDefault="00952D53" w:rsidP="00952D53">
            <w:pPr>
              <w:numPr>
                <w:ilvl w:val="0"/>
                <w:numId w:val="39"/>
              </w:numPr>
              <w:ind w:left="341"/>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 xml:space="preserve">Верифікація: НАВ перевірятиме досягнення на основі (i) офіційного переліку проєктів, затверджених Стратегічною інвестиційною радою для реалізації у 2027 календарному році та включених до ЄПП; (ii) супровідної документації, що підтверджує затвердження проєкту та його включення до ЄПП; та (iii) техніко-економічних обґрунтувань та відповідної документації, що демонструють відповідність стратегічним пріоритетам для РПВ (i) та включення заходів щодо фізичних кліматичних ризиків та пом’якшення їхнього впливу для РПВ (ii). </w:t>
            </w:r>
          </w:p>
          <w:p w14:paraId="1C8F4599" w14:textId="77777777" w:rsidR="00952D53" w:rsidRPr="00952D53" w:rsidRDefault="00952D53" w:rsidP="00952D53">
            <w:pPr>
              <w:numPr>
                <w:ilvl w:val="0"/>
                <w:numId w:val="39"/>
              </w:numPr>
              <w:pBdr>
                <w:top w:val="nil"/>
                <w:left w:val="nil"/>
                <w:bottom w:val="nil"/>
                <w:right w:val="nil"/>
                <w:between w:val="nil"/>
              </w:pBdr>
              <w:ind w:left="341"/>
              <w:contextualSpacing/>
              <w:jc w:val="both"/>
              <w:rPr>
                <w:rFonts w:ascii="Times New Roman" w:hAnsi="Times New Roman"/>
                <w:color w:val="000000"/>
                <w:sz w:val="20"/>
                <w:lang w:val="uk-UA"/>
              </w:rPr>
            </w:pPr>
            <w:r w:rsidRPr="00952D53">
              <w:rPr>
                <w:rFonts w:ascii="Times New Roman" w:eastAsia="Calibri" w:hAnsi="Times New Roman" w:cs="Calibri"/>
                <w:bCs/>
                <w:sz w:val="20"/>
                <w:lang w:val="uk-UA"/>
              </w:rPr>
              <w:t>Звітування: Незалежний агент з верифікації підготує верифікаційний звіт, в якому будуть представлені висновки з підтверджуючими доказами, та подасть його на розгляд Мінфіну.</w:t>
            </w:r>
          </w:p>
        </w:tc>
      </w:tr>
      <w:tr w:rsidR="00952D53" w:rsidRPr="00952D53" w14:paraId="2EE7656C"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079C26B"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РПВ 1.8</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0A246EC5" w14:textId="77777777" w:rsidR="00952D53" w:rsidRPr="00952D53" w:rsidRDefault="00952D53" w:rsidP="00952D53">
            <w:pPr>
              <w:spacing w:before="60" w:after="160" w:line="256" w:lineRule="auto"/>
              <w:jc w:val="both"/>
              <w:rPr>
                <w:rFonts w:ascii="Times New Roman" w:eastAsia="Calibri" w:hAnsi="Times New Roman"/>
                <w:b/>
                <w:bCs/>
                <w:kern w:val="2"/>
                <w:sz w:val="20"/>
                <w:lang w:val="uk-UA"/>
                <w14:ligatures w14:val="standardContextual"/>
              </w:rPr>
            </w:pPr>
            <w:r w:rsidRPr="00952D53">
              <w:rPr>
                <w:rFonts w:ascii="Times New Roman" w:eastAsia="Calibri" w:hAnsi="Times New Roman"/>
                <w:b/>
                <w:bCs/>
                <w:kern w:val="2"/>
                <w:sz w:val="20"/>
                <w:lang w:val="uk-UA"/>
                <w14:ligatures w14:val="standardContextual"/>
              </w:rPr>
              <w:t>РПВ 1.8. (i) Щонайменше 80</w:t>
            </w:r>
            <w:r w:rsidRPr="00952D53">
              <w:rPr>
                <w:rFonts w:ascii="Times New Roman" w:eastAsia="Calibri" w:hAnsi="Times New Roman"/>
                <w:b/>
                <w:kern w:val="2"/>
                <w:sz w:val="20"/>
                <w:lang w:val="uk-UA"/>
                <w14:ligatures w14:val="standardContextual"/>
              </w:rPr>
              <w:t xml:space="preserve"> відсотків</w:t>
            </w:r>
            <w:r w:rsidRPr="00952D53">
              <w:rPr>
                <w:rFonts w:ascii="Times New Roman" w:eastAsia="Calibri" w:hAnsi="Times New Roman"/>
                <w:b/>
                <w:bCs/>
                <w:kern w:val="2"/>
                <w:sz w:val="20"/>
                <w:lang w:val="uk-UA"/>
                <w14:ligatures w14:val="standardContextual"/>
              </w:rPr>
              <w:t xml:space="preserve"> публічних інвестиційних проєктів, затверджених до реалізації на рівні центрального Уряду відповідають стратегічним пріоритетам. </w:t>
            </w:r>
          </w:p>
          <w:p w14:paraId="32BA449F" w14:textId="77777777" w:rsidR="00952D53" w:rsidRPr="00952D53" w:rsidRDefault="00952D53" w:rsidP="00952D53">
            <w:pPr>
              <w:widowControl w:val="0"/>
              <w:autoSpaceDE w:val="0"/>
              <w:autoSpaceDN w:val="0"/>
              <w:adjustRightInd w:val="0"/>
              <w:jc w:val="both"/>
              <w:rPr>
                <w:rFonts w:ascii="Times New Roman" w:hAnsi="Times New Roman"/>
                <w:b/>
                <w:bCs/>
                <w:color w:val="404040"/>
                <w:sz w:val="20"/>
                <w:lang w:val="uk-UA"/>
              </w:rPr>
            </w:pPr>
            <w:r w:rsidRPr="00952D53">
              <w:rPr>
                <w:rFonts w:ascii="Times New Roman" w:eastAsia="Calibri" w:hAnsi="Times New Roman"/>
                <w:b/>
                <w:bCs/>
                <w:kern w:val="2"/>
                <w:sz w:val="20"/>
                <w:lang w:val="uk-UA"/>
                <w14:ligatures w14:val="standardContextual"/>
              </w:rPr>
              <w:t>РПВ 1.8. (ii) Щонайменше 30 публічних інвестиційних проєктів на рівні центрального Уряду, затверджених для впровадження, включають заходи з пом’якшення кліматичних ризиків та наслідків у своїх техніко-економічних обґрунтуваннях.</w:t>
            </w:r>
          </w:p>
        </w:tc>
      </w:tr>
      <w:tr w:rsidR="00952D53" w:rsidRPr="00952D53" w14:paraId="1249BCCE"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E2ABC05"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Формула</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487BF936" w14:textId="77777777" w:rsidR="00952D53" w:rsidRPr="00952D53" w:rsidRDefault="00952D53" w:rsidP="00952D53">
            <w:pPr>
              <w:jc w:val="both"/>
              <w:rPr>
                <w:rFonts w:ascii="Times New Roman" w:hAnsi="Times New Roman"/>
                <w:sz w:val="20"/>
                <w:lang w:val="uk-UA"/>
              </w:rPr>
            </w:pPr>
            <w:r w:rsidRPr="00952D53">
              <w:rPr>
                <w:rFonts w:ascii="Times New Roman" w:hAnsi="Times New Roman"/>
                <w:sz w:val="20"/>
                <w:lang w:val="uk-UA"/>
              </w:rPr>
              <w:t>Формула – масштабована.</w:t>
            </w:r>
          </w:p>
          <w:p w14:paraId="57146DF3" w14:textId="77777777" w:rsidR="00952D53" w:rsidRPr="00952D53" w:rsidRDefault="00952D53" w:rsidP="00952D53">
            <w:pPr>
              <w:jc w:val="both"/>
              <w:rPr>
                <w:rFonts w:ascii="Times New Roman" w:hAnsi="Times New Roman"/>
                <w:sz w:val="20"/>
                <w:lang w:val="uk-UA"/>
              </w:rPr>
            </w:pPr>
            <w:r w:rsidRPr="00952D53">
              <w:rPr>
                <w:rFonts w:ascii="Times New Roman" w:hAnsi="Times New Roman"/>
                <w:sz w:val="20"/>
                <w:lang w:val="uk-UA"/>
              </w:rPr>
              <w:t>Виконання (i) дає право на отримання 60 відсотків від виділеної суми. Виплата за цим РПВ здійснюється у розмірі 1,25 відсотка від виділеної суми за кожен досягнутий додатковий відсоток, до досягнення цільового показника у 80 відсотків.</w:t>
            </w:r>
          </w:p>
          <w:p w14:paraId="45CADB3E"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hAnsi="Times New Roman"/>
                <w:sz w:val="20"/>
                <w:lang w:val="uk-UA"/>
              </w:rPr>
              <w:t>Виконання (ii) дає право на 40 відсотків від виділеної суми. Виплата за цим РПВ здійснюється у розмірі 3,33 відсотка від виділеної суми за кожен додатковий публічний інвестиційний проект до досягнення цільового показника у 30 проєктів.</w:t>
            </w:r>
          </w:p>
        </w:tc>
      </w:tr>
      <w:tr w:rsidR="00952D53" w:rsidRPr="00952D53" w14:paraId="7487C4FC"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31DCF82A"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lastRenderedPageBreak/>
              <w:t>Опис</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0529281F" w14:textId="77777777" w:rsidR="00952D53" w:rsidRPr="00952D53" w:rsidRDefault="00952D53" w:rsidP="00952D53">
            <w:pPr>
              <w:numPr>
                <w:ilvl w:val="0"/>
                <w:numId w:val="39"/>
              </w:numPr>
              <w:ind w:left="33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Відповідність стратегічним пріоритетам означає, що проєкти відповідають національним цілям розвитку, галузевим стратегіям та цілям політики, забезпечуючи їхній внесок у довгостроковий сталий розвиток та вирішення ключових соціально-економічних викликів</w:t>
            </w:r>
          </w:p>
          <w:p w14:paraId="16F4DDF8" w14:textId="77777777" w:rsidR="00952D53" w:rsidRPr="00952D53" w:rsidRDefault="00952D53" w:rsidP="00952D53">
            <w:pPr>
              <w:numPr>
                <w:ilvl w:val="0"/>
                <w:numId w:val="39"/>
              </w:numPr>
              <w:ind w:left="33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Проєкти, затверджені для реалізації, – це проєкти, які увійшли до Єдиного проєктного портфеля (ЄПП) центрального уряду після проходження процедур оцінки та визначення пріоритетності, встановлених у рамках системи управління публічними інвестиціями.</w:t>
            </w:r>
          </w:p>
          <w:p w14:paraId="4AF4291E" w14:textId="77777777" w:rsidR="00952D53" w:rsidRPr="00952D53" w:rsidRDefault="00952D53" w:rsidP="00952D53">
            <w:pPr>
              <w:numPr>
                <w:ilvl w:val="0"/>
                <w:numId w:val="39"/>
              </w:numPr>
              <w:ind w:left="330"/>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Для цілей цього РПВ термін «затверджено до реалізації» означає проєкти, затверджені Стратегічною інвестиційною радою для реалізації у 2027 календарному році та включені до Єдиного проєктного портфеля (ЄПП) центрального уряду. Це визначення застосовується як до РПВ (i), так і до РПВ (ii).</w:t>
            </w:r>
          </w:p>
          <w:p w14:paraId="13DA3C51" w14:textId="77777777" w:rsidR="00952D53" w:rsidRPr="00952D53" w:rsidRDefault="00952D53" w:rsidP="00952D53">
            <w:pPr>
              <w:numPr>
                <w:ilvl w:val="0"/>
                <w:numId w:val="39"/>
              </w:numPr>
              <w:ind w:left="330"/>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Для цілей верифікації, виконання за обома РПВ оцінюватимуться на основі набору проєктів, затверджених Стратегічною інвестиційною радою для реалізації у 2027 календарному році, як це відображено в ЄПП. Агрегування за кілька років не застосовуватиметься.</w:t>
            </w:r>
          </w:p>
          <w:p w14:paraId="3648AFCA" w14:textId="77777777" w:rsidR="00952D53" w:rsidRPr="00952D53" w:rsidRDefault="00952D53" w:rsidP="00952D53">
            <w:pPr>
              <w:ind w:left="333"/>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Для РПВ (i) частка розраховується як частка проєктів у ЄПП на 2027 календарний рік, які відповідають стратегічним пріоритетам, як визначено вище.</w:t>
            </w:r>
          </w:p>
          <w:p w14:paraId="1D8CB359" w14:textId="77777777" w:rsidR="00952D53" w:rsidRPr="00952D53" w:rsidRDefault="00952D53" w:rsidP="00952D53">
            <w:pPr>
              <w:ind w:left="333"/>
              <w:jc w:val="both"/>
              <w:rPr>
                <w:rFonts w:ascii="Times New Roman" w:hAnsi="Times New Roman"/>
                <w:sz w:val="24"/>
                <w:szCs w:val="24"/>
                <w:lang w:val="uk-UA"/>
              </w:rPr>
            </w:pPr>
            <w:r w:rsidRPr="00952D53">
              <w:rPr>
                <w:rFonts w:ascii="Times New Roman" w:eastAsia="Calibri" w:hAnsi="Times New Roman" w:cs="Calibri"/>
                <w:bCs/>
                <w:sz w:val="20"/>
                <w:lang w:val="uk-UA"/>
              </w:rPr>
              <w:t>Для РПВ (ii) досягнення вимірюється як кількість проєктів у ЄПП на 2027 календарний рік, техніко-економічні обґрунтування яких містять заходи щодо фізичних кліматичних ризиків та пом’якшення наслідків.</w:t>
            </w:r>
          </w:p>
          <w:p w14:paraId="39C92471" w14:textId="77777777" w:rsidR="00952D53" w:rsidRPr="00952D53" w:rsidRDefault="00952D53" w:rsidP="00952D53">
            <w:pPr>
              <w:numPr>
                <w:ilvl w:val="0"/>
                <w:numId w:val="39"/>
              </w:numPr>
              <w:ind w:left="341"/>
              <w:contextualSpacing/>
              <w:jc w:val="both"/>
              <w:rPr>
                <w:rFonts w:ascii="Times New Roman" w:hAnsi="Times New Roman"/>
                <w:color w:val="000000"/>
                <w:sz w:val="20"/>
                <w:lang w:val="uk-UA"/>
              </w:rPr>
            </w:pPr>
            <w:r w:rsidRPr="00952D53">
              <w:rPr>
                <w:rFonts w:ascii="Times New Roman" w:eastAsia="Calibri" w:hAnsi="Times New Roman" w:cs="Calibri"/>
                <w:bCs/>
                <w:sz w:val="20"/>
                <w:lang w:val="uk-UA"/>
              </w:rPr>
              <w:t>Проєкти, що включають заходи щодо пом’якшення фізичних ризиків та наслідків зміни клімату у техніко-економічних обґрунтуваннях, передбачають конкретні дії, які: (i) підвищують стійкість до визначених фізичних ризиків за допомогою проєктних, технологічних або операційних заходів; та/або (ii) зменшують викиди парникових газів за допомогою енергоефективності, використання відновлювани</w:t>
            </w:r>
          </w:p>
        </w:tc>
      </w:tr>
      <w:tr w:rsidR="00952D53" w:rsidRPr="00952D53" w14:paraId="653D9B3D"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179CF1C2"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Джерело даних / Агентство</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7AF35CD7"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eastAsia="Calibri" w:hAnsi="Times New Roman"/>
                <w:bCs/>
                <w:kern w:val="2"/>
                <w:sz w:val="20"/>
                <w:lang w:val="uk-UA"/>
                <w14:ligatures w14:val="standardContextual"/>
              </w:rPr>
              <w:t>Мінфін, Стратегічна інвестиційна рада</w:t>
            </w:r>
          </w:p>
        </w:tc>
      </w:tr>
      <w:tr w:rsidR="00952D53" w:rsidRPr="00952D53" w14:paraId="67571463"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07796C2C"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Верифікаційна організація</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583794DF"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eastAsia="Calibri" w:hAnsi="Times New Roman"/>
                <w:bCs/>
                <w:kern w:val="2"/>
                <w:sz w:val="20"/>
                <w:lang w:val="uk-UA"/>
                <w14:ligatures w14:val="standardContextual"/>
              </w:rPr>
              <w:t>Агент з верифікації</w:t>
            </w:r>
          </w:p>
        </w:tc>
      </w:tr>
      <w:tr w:rsidR="00952D53" w:rsidRPr="00952D53" w14:paraId="5F253E28" w14:textId="77777777" w:rsidTr="00952D53">
        <w:trPr>
          <w:gridAfter w:val="1"/>
          <w:wAfter w:w="979" w:type="dxa"/>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12B610F4"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9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DB52533" w14:textId="77777777" w:rsidR="00952D53" w:rsidRPr="00952D53" w:rsidRDefault="00952D53" w:rsidP="00952D53">
            <w:pPr>
              <w:numPr>
                <w:ilvl w:val="0"/>
                <w:numId w:val="39"/>
              </w:numPr>
              <w:ind w:left="341"/>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 xml:space="preserve">Збір даних: ГРП збере документи щодо затвердження проєктів, концепцій проєктів, фінансування проєктів, планів закупівель у рамках проєктів та виділення коштів.  </w:t>
            </w:r>
          </w:p>
          <w:p w14:paraId="5960F715" w14:textId="77777777" w:rsidR="00952D53" w:rsidRPr="00952D53" w:rsidRDefault="00952D53" w:rsidP="00952D53">
            <w:pPr>
              <w:numPr>
                <w:ilvl w:val="0"/>
                <w:numId w:val="39"/>
              </w:numPr>
              <w:ind w:left="341"/>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Верифікація: НВА розгляне документи та перевірить ініціацію проєктів і врахування фізичних кліматичних ризиків та заходів щодо пом’якшення їхнього впливу.</w:t>
            </w:r>
          </w:p>
          <w:p w14:paraId="77F3CDA5" w14:textId="77777777" w:rsidR="00952D53" w:rsidRPr="00952D53" w:rsidRDefault="00952D53" w:rsidP="00952D53">
            <w:pPr>
              <w:numPr>
                <w:ilvl w:val="0"/>
                <w:numId w:val="39"/>
              </w:numPr>
              <w:ind w:left="341"/>
              <w:contextualSpacing/>
              <w:jc w:val="both"/>
              <w:rPr>
                <w:rFonts w:ascii="Times New Roman" w:hAnsi="Times New Roman"/>
                <w:color w:val="000000"/>
                <w:sz w:val="20"/>
                <w:lang w:val="uk-UA"/>
              </w:rPr>
            </w:pPr>
            <w:r w:rsidRPr="00952D53">
              <w:rPr>
                <w:rFonts w:ascii="Times New Roman" w:eastAsia="Calibri" w:hAnsi="Times New Roman" w:cs="Calibri"/>
                <w:bCs/>
                <w:sz w:val="20"/>
                <w:lang w:val="uk-UA"/>
              </w:rPr>
              <w:t>Звітування</w:t>
            </w:r>
            <w:r w:rsidRPr="00952D53">
              <w:rPr>
                <w:rFonts w:ascii="Times New Roman" w:eastAsia="Calibri" w:hAnsi="Times New Roman" w:cs="Calibri"/>
                <w:bCs/>
                <w:sz w:val="20"/>
                <w:lang w:val="ru-RU"/>
              </w:rPr>
              <w:t xml:space="preserve">: </w:t>
            </w:r>
            <w:r w:rsidRPr="00952D53">
              <w:rPr>
                <w:rFonts w:ascii="Times New Roman" w:eastAsia="Calibri" w:hAnsi="Times New Roman" w:cs="Calibri"/>
                <w:bCs/>
                <w:sz w:val="20"/>
                <w:lang w:val="uk-UA"/>
              </w:rPr>
              <w:t>НАВ підготує верифікаційний звіт, в якому будуть представлені висновки з підтверджуючими доказами, та подасть його на розгляд Мінфіну</w:t>
            </w:r>
            <w:r w:rsidRPr="00952D53">
              <w:rPr>
                <w:rFonts w:ascii="Times New Roman" w:eastAsia="Calibri" w:hAnsi="Times New Roman" w:cs="Calibri"/>
                <w:bCs/>
                <w:sz w:val="20"/>
                <w:lang w:val="ru-RU"/>
              </w:rPr>
              <w:t>.</w:t>
            </w:r>
          </w:p>
        </w:tc>
      </w:tr>
    </w:tbl>
    <w:p w14:paraId="32CE7141" w14:textId="77777777" w:rsidR="00952D53" w:rsidRPr="00952D53" w:rsidRDefault="00952D53" w:rsidP="00952D53">
      <w:pPr>
        <w:spacing w:line="257" w:lineRule="auto"/>
        <w:jc w:val="both"/>
        <w:rPr>
          <w:rFonts w:ascii="Times New Roman" w:hAnsi="Times New Roman"/>
          <w:szCs w:val="24"/>
          <w:lang w:val="uk-UA"/>
        </w:rPr>
      </w:pPr>
      <w:r w:rsidRPr="00952D53">
        <w:rPr>
          <w:rFonts w:ascii="Times New Roman" w:hAnsi="Times New Roman"/>
          <w:szCs w:val="24"/>
          <w:lang w:val="uk-UA"/>
        </w:rPr>
        <w:t xml:space="preserve"> </w:t>
      </w:r>
    </w:p>
    <w:tbl>
      <w:tblPr>
        <w:tblW w:w="9771" w:type="dxa"/>
        <w:tblLayout w:type="fixed"/>
        <w:tblLook w:val="04A0" w:firstRow="1" w:lastRow="0" w:firstColumn="1" w:lastColumn="0" w:noHBand="0" w:noVBand="1"/>
      </w:tblPr>
      <w:tblGrid>
        <w:gridCol w:w="1785"/>
        <w:gridCol w:w="7986"/>
      </w:tblGrid>
      <w:tr w:rsidR="00952D53" w:rsidRPr="00952D53" w14:paraId="0C7B943F"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4F81BD"/>
            <w:tcMar>
              <w:left w:w="115" w:type="dxa"/>
              <w:right w:w="115" w:type="dxa"/>
            </w:tcMar>
            <w:vAlign w:val="center"/>
          </w:tcPr>
          <w:p w14:paraId="34DB9398" w14:textId="77777777" w:rsidR="00952D53" w:rsidRPr="00952D53" w:rsidRDefault="00952D53" w:rsidP="00952D53">
            <w:pPr>
              <w:spacing w:line="254" w:lineRule="auto"/>
              <w:jc w:val="both"/>
              <w:rPr>
                <w:rFonts w:ascii="Times New Roman" w:hAnsi="Times New Roman"/>
                <w:sz w:val="24"/>
                <w:szCs w:val="24"/>
                <w:lang w:val="uk-UA"/>
              </w:rPr>
            </w:pPr>
          </w:p>
          <w:p w14:paraId="66BA04E9" w14:textId="77777777" w:rsidR="00952D53" w:rsidRPr="00952D53" w:rsidRDefault="00952D53" w:rsidP="00952D53">
            <w:pPr>
              <w:spacing w:line="254" w:lineRule="auto"/>
              <w:ind w:left="90"/>
              <w:jc w:val="both"/>
              <w:rPr>
                <w:rFonts w:ascii="Times New Roman" w:hAnsi="Times New Roman"/>
                <w:b/>
                <w:bCs/>
                <w:color w:val="FFFFFF"/>
                <w:szCs w:val="24"/>
                <w:lang w:val="uk-UA"/>
              </w:rPr>
            </w:pPr>
            <w:r w:rsidRPr="00952D53">
              <w:rPr>
                <w:rFonts w:ascii="Times New Roman" w:hAnsi="Times New Roman"/>
                <w:b/>
                <w:bCs/>
                <w:color w:val="FFFFFF"/>
                <w:szCs w:val="24"/>
                <w:lang w:val="uk-UA"/>
              </w:rPr>
              <w:t>DLI 2</w:t>
            </w:r>
          </w:p>
        </w:tc>
        <w:tc>
          <w:tcPr>
            <w:tcW w:w="7986" w:type="dxa"/>
            <w:tcBorders>
              <w:top w:val="single" w:sz="8" w:space="0" w:color="D9D9D9"/>
              <w:left w:val="single" w:sz="8" w:space="0" w:color="D9D9D9"/>
              <w:bottom w:val="single" w:sz="8" w:space="0" w:color="D9D9D9"/>
              <w:right w:val="single" w:sz="8" w:space="0" w:color="D9D9D9"/>
            </w:tcBorders>
            <w:shd w:val="clear" w:color="auto" w:fill="4F81BD"/>
            <w:tcMar>
              <w:left w:w="115" w:type="dxa"/>
              <w:right w:w="115" w:type="dxa"/>
            </w:tcMar>
            <w:vAlign w:val="center"/>
          </w:tcPr>
          <w:p w14:paraId="095B3E8E" w14:textId="77777777" w:rsidR="00952D53" w:rsidRPr="00952D53" w:rsidRDefault="00952D53" w:rsidP="00952D53">
            <w:pPr>
              <w:spacing w:line="254" w:lineRule="auto"/>
              <w:ind w:right="85"/>
              <w:jc w:val="both"/>
              <w:rPr>
                <w:rFonts w:ascii="Times New Roman" w:hAnsi="Times New Roman"/>
                <w:b/>
                <w:bCs/>
                <w:color w:val="FFFFFF"/>
                <w:szCs w:val="24"/>
                <w:lang w:val="uk-UA"/>
              </w:rPr>
            </w:pPr>
            <w:r w:rsidRPr="00952D53">
              <w:rPr>
                <w:rFonts w:ascii="Times New Roman" w:hAnsi="Times New Roman"/>
                <w:color w:val="FFFFFF"/>
                <w:szCs w:val="24"/>
                <w:lang w:val="uk-UA"/>
              </w:rPr>
              <w:t>Органи місцевого самоврядування публікують інформацію про свої бюджети, борги та результати надання послуг і відбудови</w:t>
            </w:r>
            <w:r w:rsidRPr="00952D53">
              <w:rPr>
                <w:rFonts w:ascii="Times New Roman" w:hAnsi="Times New Roman"/>
                <w:b/>
                <w:bCs/>
                <w:color w:val="FFFFFF"/>
                <w:szCs w:val="24"/>
                <w:lang w:val="uk-UA"/>
              </w:rPr>
              <w:t>.</w:t>
            </w:r>
          </w:p>
        </w:tc>
      </w:tr>
      <w:tr w:rsidR="00952D53" w:rsidRPr="00952D53" w14:paraId="7DEB74E4"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BF2F360"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Опис</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326F9672" w14:textId="77777777" w:rsidR="00952D53" w:rsidRPr="00952D53" w:rsidRDefault="00952D53" w:rsidP="00952D53">
            <w:pPr>
              <w:jc w:val="both"/>
              <w:rPr>
                <w:rFonts w:ascii="Times New Roman" w:hAnsi="Times New Roman"/>
                <w:color w:val="000000"/>
                <w:sz w:val="20"/>
                <w:lang w:val="uk-UA"/>
              </w:rPr>
            </w:pPr>
            <w:r w:rsidRPr="00952D53">
              <w:rPr>
                <w:rFonts w:ascii="Times New Roman" w:hAnsi="Times New Roman"/>
                <w:color w:val="000000"/>
                <w:sz w:val="20"/>
                <w:lang w:val="uk-UA"/>
              </w:rPr>
              <w:t xml:space="preserve">DLI </w:t>
            </w:r>
            <w:r w:rsidRPr="00952D53">
              <w:rPr>
                <w:rFonts w:ascii="Times New Roman" w:eastAsia="Calibri" w:hAnsi="Times New Roman" w:cs="Calibri"/>
                <w:sz w:val="20"/>
                <w:lang w:val="uk-UA"/>
              </w:rPr>
              <w:t>має на меті підвищити ефективність та результативність фіскального управління місцевими органами влади для відновлення через: покращення спроможності органів місцевого самоврядування управляти боргом та гарантіями, середньостроковими прогнозами місцевого бюджету, узгоджувати бюджети з ґендерними потребами та пріоритетами у сфері зміни клімату; а також розширити доступ громадськості до бюджетної інформації на місцевому рівні. ІПВ вимірюється часткою органів місцевого самоврядування, які публікують інформацію про бюджетні асигнування, борг та надання послуг. ІПВ включає субіндикатор щодо ґендерно-орієнтованої та кліматично-інформованої інформації</w:t>
            </w:r>
            <w:r w:rsidRPr="00952D53">
              <w:rPr>
                <w:rFonts w:ascii="Times New Roman" w:eastAsia="Calibri" w:hAnsi="Times New Roman" w:cs="Calibri"/>
                <w:sz w:val="20"/>
                <w:vertAlign w:val="superscript"/>
                <w:lang w:val="uk-UA"/>
              </w:rPr>
              <w:footnoteReference w:id="3"/>
            </w:r>
            <w:r w:rsidRPr="00952D53">
              <w:rPr>
                <w:rFonts w:ascii="Times New Roman" w:eastAsia="Calibri" w:hAnsi="Times New Roman" w:cs="Calibri"/>
                <w:sz w:val="20"/>
                <w:lang w:val="uk-UA"/>
              </w:rPr>
              <w:t xml:space="preserve"> </w:t>
            </w:r>
            <w:r w:rsidRPr="00952D53">
              <w:rPr>
                <w:rFonts w:ascii="Times New Roman" w:hAnsi="Times New Roman"/>
                <w:color w:val="000000"/>
                <w:sz w:val="20"/>
                <w:lang w:val="uk-UA"/>
              </w:rPr>
              <w:t>.</w:t>
            </w:r>
          </w:p>
        </w:tc>
      </w:tr>
      <w:tr w:rsidR="00952D53" w:rsidRPr="00952D53" w14:paraId="2B337767"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4CF05B18"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lastRenderedPageBreak/>
              <w:t>Джерело даних/ Агентство</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3BE382C2" w14:textId="77777777" w:rsidR="00952D53" w:rsidRPr="00952D53" w:rsidRDefault="00952D53" w:rsidP="00952D53">
            <w:pPr>
              <w:widowControl w:val="0"/>
              <w:numPr>
                <w:ilvl w:val="0"/>
                <w:numId w:val="38"/>
              </w:numPr>
              <w:autoSpaceDE w:val="0"/>
              <w:autoSpaceDN w:val="0"/>
              <w:adjustRightInd w:val="0"/>
              <w:contextualSpacing/>
              <w:jc w:val="both"/>
              <w:rPr>
                <w:rFonts w:ascii="Times New Roman" w:hAnsi="Times New Roman"/>
                <w:color w:val="000000"/>
                <w:sz w:val="20"/>
                <w:lang w:val="uk-UA"/>
              </w:rPr>
            </w:pPr>
            <w:r w:rsidRPr="00952D53">
              <w:rPr>
                <w:rFonts w:ascii="Times New Roman" w:hAnsi="Times New Roman"/>
                <w:color w:val="000000"/>
                <w:sz w:val="20"/>
                <w:lang w:val="uk-UA"/>
              </w:rPr>
              <w:t>Урядові документи: офіційні документи, звіти та дані відповідних державних установ, відповідальних за формування місцевих бюджетів.</w:t>
            </w:r>
          </w:p>
          <w:p w14:paraId="221C1A8E" w14:textId="77777777" w:rsidR="00952D53" w:rsidRPr="00952D53" w:rsidRDefault="00952D53" w:rsidP="00952D53">
            <w:pPr>
              <w:widowControl w:val="0"/>
              <w:numPr>
                <w:ilvl w:val="0"/>
                <w:numId w:val="38"/>
              </w:numPr>
              <w:autoSpaceDE w:val="0"/>
              <w:autoSpaceDN w:val="0"/>
              <w:adjustRightInd w:val="0"/>
              <w:contextualSpacing/>
              <w:jc w:val="both"/>
              <w:rPr>
                <w:rFonts w:ascii="Times New Roman" w:hAnsi="Times New Roman"/>
                <w:color w:val="000000"/>
                <w:sz w:val="20"/>
                <w:lang w:val="uk-UA"/>
              </w:rPr>
            </w:pPr>
            <w:r w:rsidRPr="00952D53">
              <w:rPr>
                <w:rFonts w:ascii="Times New Roman" w:hAnsi="Times New Roman"/>
                <w:color w:val="000000"/>
                <w:sz w:val="20"/>
                <w:lang w:val="uk-UA"/>
              </w:rPr>
              <w:t>Проектна документація: детальні плани проектів, звіти про хід виконання та бюджетні асигнування від установ-виконавців та міністерств.</w:t>
            </w:r>
          </w:p>
        </w:tc>
      </w:tr>
      <w:tr w:rsidR="00952D53" w:rsidRPr="00952D53" w14:paraId="46B618F8"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0787EA2"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Суб'єкт перевірки</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599F1359" w14:textId="77777777" w:rsidR="00952D53" w:rsidRPr="00952D53" w:rsidRDefault="00952D53" w:rsidP="00952D53">
            <w:pPr>
              <w:jc w:val="both"/>
              <w:rPr>
                <w:rFonts w:ascii="Times New Roman" w:hAnsi="Times New Roman"/>
                <w:color w:val="000000"/>
                <w:sz w:val="20"/>
                <w:lang w:val="uk-UA"/>
              </w:rPr>
            </w:pPr>
            <w:r w:rsidRPr="00952D53">
              <w:rPr>
                <w:rFonts w:ascii="Times New Roman" w:hAnsi="Times New Roman"/>
                <w:color w:val="000000"/>
                <w:sz w:val="20"/>
                <w:lang w:val="uk-UA"/>
              </w:rPr>
              <w:t>Агент з верифікації</w:t>
            </w:r>
          </w:p>
        </w:tc>
      </w:tr>
      <w:tr w:rsidR="00952D53" w:rsidRPr="00952D53" w14:paraId="2A3FEF1F"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52E8C18D"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465627CC" w14:textId="77777777" w:rsidR="00952D53" w:rsidRPr="00952D53" w:rsidRDefault="00952D53" w:rsidP="00952D53">
            <w:pPr>
              <w:numPr>
                <w:ilvl w:val="0"/>
                <w:numId w:val="39"/>
              </w:numPr>
              <w:ind w:left="341"/>
              <w:jc w:val="both"/>
              <w:rPr>
                <w:rFonts w:ascii="Times New Roman" w:eastAsia="Calibri" w:hAnsi="Times New Roman" w:cs="Calibri"/>
                <w:bCs/>
                <w:sz w:val="20"/>
              </w:rPr>
            </w:pPr>
            <w:r w:rsidRPr="00952D53">
              <w:rPr>
                <w:rFonts w:ascii="Times New Roman" w:eastAsia="Calibri" w:hAnsi="Times New Roman" w:cs="Calibri"/>
                <w:bCs/>
                <w:sz w:val="20"/>
                <w:lang w:val="uk-UA"/>
              </w:rPr>
              <w:t>Збір даних: ГВП збере офіційні державні документи, звіти та проектну документацію, пов'язану з місцевими запозиченнями, боргами та управлінням гарантіями; місцевими системами управління фінансами; плануванням та звітністю місцевих бюджетів; місцевими середньостроковими бюджетними методологіями, які включають ґендерну та кліматичну інформацію. ГВП передасть необхідну документацію до НАВ</w:t>
            </w:r>
            <w:r w:rsidRPr="00952D53">
              <w:rPr>
                <w:rFonts w:ascii="Times New Roman" w:eastAsia="Calibri" w:hAnsi="Times New Roman" w:cs="Calibri"/>
                <w:bCs/>
                <w:sz w:val="20"/>
              </w:rPr>
              <w:t>.</w:t>
            </w:r>
          </w:p>
          <w:p w14:paraId="72419453" w14:textId="77777777" w:rsidR="00952D53" w:rsidRPr="00952D53" w:rsidRDefault="00952D53" w:rsidP="00952D53">
            <w:pPr>
              <w:numPr>
                <w:ilvl w:val="0"/>
                <w:numId w:val="39"/>
              </w:numPr>
              <w:ind w:left="341"/>
              <w:jc w:val="both"/>
              <w:rPr>
                <w:rFonts w:ascii="Times New Roman" w:eastAsia="Calibri" w:hAnsi="Times New Roman" w:cs="Calibri"/>
                <w:bCs/>
                <w:sz w:val="20"/>
              </w:rPr>
            </w:pPr>
            <w:r w:rsidRPr="00952D53">
              <w:rPr>
                <w:rFonts w:ascii="Times New Roman" w:eastAsia="Calibri" w:hAnsi="Times New Roman" w:cs="Calibri"/>
                <w:bCs/>
                <w:sz w:val="20"/>
                <w:lang w:val="uk-UA"/>
              </w:rPr>
              <w:t>Верифікація: Незалежний експерт або НАВ аналізує дані, щоб оцінити прогрес у досягненні проміжних результатів ІПВ. Оцінити ефективність змін у місцевому бюджетуванні</w:t>
            </w:r>
            <w:r w:rsidRPr="00952D53">
              <w:rPr>
                <w:rFonts w:ascii="Times New Roman" w:eastAsia="Calibri" w:hAnsi="Times New Roman" w:cs="Calibri"/>
                <w:bCs/>
                <w:sz w:val="20"/>
              </w:rPr>
              <w:t xml:space="preserve">. </w:t>
            </w:r>
          </w:p>
          <w:p w14:paraId="58E41E79" w14:textId="77777777" w:rsidR="00952D53" w:rsidRPr="00952D53" w:rsidRDefault="00952D53" w:rsidP="00952D53">
            <w:pPr>
              <w:numPr>
                <w:ilvl w:val="0"/>
                <w:numId w:val="39"/>
              </w:numPr>
              <w:ind w:left="341"/>
              <w:jc w:val="both"/>
              <w:rPr>
                <w:rFonts w:ascii="Times New Roman" w:eastAsia="Calibri" w:hAnsi="Times New Roman" w:cs="Calibri"/>
                <w:bCs/>
                <w:sz w:val="20"/>
              </w:rPr>
            </w:pPr>
            <w:r w:rsidRPr="00952D53">
              <w:rPr>
                <w:rFonts w:ascii="Times New Roman" w:eastAsia="Calibri" w:hAnsi="Times New Roman" w:cs="Calibri"/>
                <w:bCs/>
                <w:sz w:val="20"/>
                <w:lang w:val="uk-UA"/>
              </w:rPr>
              <w:t>Звітування: Незалежний експерт або НАВ підготує верифікаційний звіт, що містить висновки з підтверджуючими доказами, та подасть його на розгляд Мінфіну</w:t>
            </w:r>
            <w:r w:rsidRPr="00952D53">
              <w:rPr>
                <w:rFonts w:ascii="Times New Roman" w:eastAsia="Calibri" w:hAnsi="Times New Roman" w:cs="Calibri"/>
                <w:bCs/>
                <w:sz w:val="20"/>
              </w:rPr>
              <w:t>.</w:t>
            </w:r>
          </w:p>
          <w:p w14:paraId="4271FE92" w14:textId="77777777" w:rsidR="00952D53" w:rsidRPr="00952D53" w:rsidRDefault="00952D53" w:rsidP="00952D53">
            <w:pPr>
              <w:widowControl w:val="0"/>
              <w:autoSpaceDE w:val="0"/>
              <w:autoSpaceDN w:val="0"/>
              <w:adjustRightInd w:val="0"/>
              <w:ind w:left="360"/>
              <w:jc w:val="both"/>
              <w:rPr>
                <w:rFonts w:ascii="Times New Roman" w:hAnsi="Times New Roman"/>
                <w:color w:val="000000"/>
                <w:sz w:val="20"/>
              </w:rPr>
            </w:pPr>
          </w:p>
        </w:tc>
      </w:tr>
      <w:tr w:rsidR="00952D53" w:rsidRPr="00952D53" w14:paraId="61E9C7F0"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DAEEF3"/>
            <w:tcMar>
              <w:left w:w="115" w:type="dxa"/>
              <w:right w:w="115" w:type="dxa"/>
            </w:tcMar>
            <w:vAlign w:val="center"/>
          </w:tcPr>
          <w:p w14:paraId="71C5480F"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DLR 2.4</w:t>
            </w:r>
          </w:p>
        </w:tc>
        <w:tc>
          <w:tcPr>
            <w:tcW w:w="7986" w:type="dxa"/>
            <w:tcBorders>
              <w:top w:val="single" w:sz="8" w:space="0" w:color="D9D9D9"/>
              <w:left w:val="single" w:sz="8" w:space="0" w:color="D9D9D9"/>
              <w:bottom w:val="single" w:sz="8" w:space="0" w:color="D9D9D9"/>
              <w:right w:val="single" w:sz="8" w:space="0" w:color="D9D9D9"/>
            </w:tcBorders>
            <w:shd w:val="clear" w:color="auto" w:fill="DAEEF3"/>
            <w:tcMar>
              <w:left w:w="115" w:type="dxa"/>
              <w:right w:w="115" w:type="dxa"/>
            </w:tcMar>
            <w:vAlign w:val="center"/>
          </w:tcPr>
          <w:p w14:paraId="386A5273" w14:textId="77777777" w:rsidR="00952D53" w:rsidRPr="00952D53" w:rsidRDefault="00952D53" w:rsidP="00952D53">
            <w:pPr>
              <w:jc w:val="both"/>
              <w:rPr>
                <w:rFonts w:ascii="Times New Roman" w:hAnsi="Times New Roman"/>
                <w:b/>
                <w:bCs/>
                <w:color w:val="000000"/>
                <w:sz w:val="20"/>
                <w:lang w:val="uk-UA"/>
              </w:rPr>
            </w:pPr>
            <w:r w:rsidRPr="00952D53">
              <w:rPr>
                <w:rFonts w:ascii="Times New Roman" w:hAnsi="Times New Roman"/>
                <w:b/>
                <w:bCs/>
                <w:color w:val="000000"/>
                <w:sz w:val="20"/>
                <w:lang w:val="uk-UA"/>
              </w:rPr>
              <w:t xml:space="preserve">DLR 2.4. (ii) </w:t>
            </w:r>
            <w:r w:rsidRPr="00952D53">
              <w:rPr>
                <w:rFonts w:ascii="Times New Roman" w:hAnsi="Times New Roman"/>
                <w:b/>
                <w:bCs/>
                <w:sz w:val="20"/>
                <w:lang w:val="uk-UA"/>
              </w:rPr>
              <w:t>Щонайменше 60 відсотків інвестиційних проєктних пропозицій громад, поданих у IT системі DREAM, включають аналіз впливу на довкілля.</w:t>
            </w:r>
          </w:p>
        </w:tc>
      </w:tr>
      <w:tr w:rsidR="00952D53" w:rsidRPr="00952D53" w14:paraId="0D729817"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60A82AF0"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Формула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2E84107B" w14:textId="77777777" w:rsidR="00952D53" w:rsidRPr="00952D53" w:rsidRDefault="00952D53" w:rsidP="00952D53">
            <w:pPr>
              <w:rPr>
                <w:rFonts w:ascii="Times New Roman" w:eastAsia="Calibri" w:hAnsi="Times New Roman"/>
                <w:sz w:val="20"/>
                <w:lang w:val="uk-UA"/>
              </w:rPr>
            </w:pPr>
            <w:r w:rsidRPr="00952D53">
              <w:rPr>
                <w:rFonts w:ascii="Times New Roman" w:eastAsia="Calibri" w:hAnsi="Times New Roman"/>
                <w:sz w:val="20"/>
                <w:lang w:val="uk-UA"/>
              </w:rPr>
              <w:t>Формула – Масштабована.</w:t>
            </w:r>
          </w:p>
          <w:p w14:paraId="1B79099D" w14:textId="77777777" w:rsidR="00952D53" w:rsidRPr="00952D53" w:rsidRDefault="00952D53" w:rsidP="00952D53">
            <w:pPr>
              <w:jc w:val="both"/>
              <w:rPr>
                <w:rFonts w:ascii="Times New Roman" w:hAnsi="Times New Roman"/>
                <w:color w:val="000000"/>
                <w:sz w:val="20"/>
                <w:lang w:val="uk-UA"/>
              </w:rPr>
            </w:pPr>
            <w:r w:rsidRPr="00952D53">
              <w:rPr>
                <w:rFonts w:ascii="Times New Roman" w:eastAsia="Calibri" w:hAnsi="Times New Roman"/>
                <w:sz w:val="20"/>
                <w:lang w:val="uk-UA"/>
              </w:rPr>
              <w:t>Виплата здійснюється у розмірі 1,67 відсотка від виділеної суми за кожен досягнутий додатковий процентний пункт, максимум до 60 відсотків. Повна виплата здійснюється, коли щонайменше 60 відсотків пропозицій громад щодо проєктів публічних інвестицій містять аналіз впливу на довкілля.</w:t>
            </w:r>
          </w:p>
        </w:tc>
      </w:tr>
      <w:tr w:rsidR="00952D53" w:rsidRPr="00952D53" w14:paraId="40ED899D"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00416BD9"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Опис</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8D30DDD" w14:textId="77777777" w:rsidR="00952D53" w:rsidRPr="00952D53" w:rsidRDefault="00952D53" w:rsidP="00952D53">
            <w:pPr>
              <w:numPr>
                <w:ilvl w:val="0"/>
                <w:numId w:val="39"/>
              </w:numPr>
              <w:ind w:left="330" w:hanging="270"/>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Громади – це територіальні громади, визначені Законом «Про місцеве самоврядування в Україні»</w:t>
            </w:r>
            <w:r w:rsidRPr="00952D53">
              <w:rPr>
                <w:rFonts w:ascii="Times New Roman" w:eastAsia="Calibri" w:hAnsi="Times New Roman" w:cs="Calibri"/>
                <w:bCs/>
                <w:sz w:val="20"/>
                <w:lang w:val="ru-RU"/>
              </w:rPr>
              <w:t>.</w:t>
            </w:r>
          </w:p>
          <w:p w14:paraId="03C7D3AC" w14:textId="77777777" w:rsidR="00952D53" w:rsidRPr="00952D53" w:rsidRDefault="00952D53" w:rsidP="00952D53">
            <w:pPr>
              <w:numPr>
                <w:ilvl w:val="0"/>
                <w:numId w:val="39"/>
              </w:numPr>
              <w:ind w:left="330" w:hanging="270"/>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Пропозиції щодо інвестиційних проєктів – це пропозиції, подані громадами до системи DREAM відповідно до механізму управління публічними інвестиціями</w:t>
            </w:r>
            <w:r w:rsidRPr="00952D53">
              <w:rPr>
                <w:rFonts w:ascii="Times New Roman" w:eastAsia="Calibri" w:hAnsi="Times New Roman" w:cs="Calibri"/>
                <w:bCs/>
                <w:sz w:val="20"/>
                <w:lang w:val="ru-RU"/>
              </w:rPr>
              <w:t>.</w:t>
            </w:r>
          </w:p>
          <w:p w14:paraId="24101D11" w14:textId="77777777" w:rsidR="00952D53" w:rsidRPr="00952D53" w:rsidRDefault="00952D53" w:rsidP="00952D53">
            <w:pPr>
              <w:numPr>
                <w:ilvl w:val="0"/>
                <w:numId w:val="39"/>
              </w:numPr>
              <w:ind w:left="330" w:hanging="270"/>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Аналіз впливу на довкілля – це застосування методологічних рекомендацій щодо оцінки екологічних наслідків публічних інвестиційних проєктів, включаючи вплив на адаптацію до зміни клімату та пом’якшення її наслідків, що відображено в проєктній документації, поданій до системи DREAM</w:t>
            </w:r>
            <w:r w:rsidRPr="00952D53">
              <w:rPr>
                <w:rFonts w:ascii="Times New Roman" w:eastAsia="Calibri" w:hAnsi="Times New Roman" w:cs="Calibri"/>
                <w:bCs/>
                <w:sz w:val="20"/>
                <w:lang w:val="ru-RU"/>
              </w:rPr>
              <w:t>.</w:t>
            </w:r>
          </w:p>
          <w:p w14:paraId="1937D5C4" w14:textId="77777777" w:rsidR="00952D53" w:rsidRPr="00952D53" w:rsidRDefault="00952D53" w:rsidP="00952D53">
            <w:pPr>
              <w:numPr>
                <w:ilvl w:val="0"/>
                <w:numId w:val="39"/>
              </w:numPr>
              <w:ind w:left="333" w:hanging="297"/>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Для цілей верифікації досягнення за цим РПВ оцінюватиметься на основі пропозицій щодо інвестиційних проєктів, поданих громадами у системі DREAM у період з 1 липня 2026 року по 30 червня 2027 року</w:t>
            </w:r>
            <w:r w:rsidRPr="00952D53">
              <w:rPr>
                <w:rFonts w:ascii="Times New Roman" w:eastAsia="Calibri" w:hAnsi="Times New Roman" w:cs="Calibri"/>
                <w:bCs/>
                <w:sz w:val="20"/>
                <w:lang w:val="ru-RU"/>
              </w:rPr>
              <w:t>.</w:t>
            </w:r>
          </w:p>
          <w:p w14:paraId="0E1089B6" w14:textId="77777777" w:rsidR="00952D53" w:rsidRPr="00952D53" w:rsidRDefault="00952D53" w:rsidP="00952D53">
            <w:pPr>
              <w:numPr>
                <w:ilvl w:val="0"/>
                <w:numId w:val="39"/>
              </w:numPr>
              <w:ind w:left="333" w:hanging="297"/>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Частка розраховується як відношення кількості пропозицій щодо інвестиційних проєктів, поданих протягом цього періоду, що містять аналіз впливу на довкілля, до загальної кількості пропозицій щодо інвестиційних проєктів, поданих протягом того самого періоду</w:t>
            </w:r>
            <w:r w:rsidRPr="00952D53">
              <w:rPr>
                <w:rFonts w:ascii="Times New Roman" w:eastAsia="Calibri" w:hAnsi="Times New Roman" w:cs="Calibri"/>
                <w:bCs/>
                <w:sz w:val="20"/>
                <w:lang w:val="ru-RU"/>
              </w:rPr>
              <w:t>.</w:t>
            </w:r>
          </w:p>
          <w:p w14:paraId="2B7FC5DD" w14:textId="77777777" w:rsidR="00952D53" w:rsidRPr="00952D53" w:rsidRDefault="00952D53" w:rsidP="00952D53">
            <w:pPr>
              <w:numPr>
                <w:ilvl w:val="0"/>
                <w:numId w:val="39"/>
              </w:numPr>
              <w:ind w:left="333" w:hanging="297"/>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Досягнення може бути перевірено до 30 червня 2027 року, якщо ціль буде досягнута раніше, на основі даних, доступних у системі DREAM за період з 1 липня 2026 року до дати перевірки. Агрегування даних за кілька періодів не застосовуватиметься.</w:t>
            </w:r>
          </w:p>
          <w:p w14:paraId="5FD67258"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p>
        </w:tc>
      </w:tr>
      <w:tr w:rsidR="00952D53" w:rsidRPr="00952D53" w14:paraId="04A661A7"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3C5183C"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Джерело даних/ Агентство</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B3FAB95" w14:textId="77777777" w:rsidR="00952D53" w:rsidRPr="00952D53" w:rsidRDefault="00952D53" w:rsidP="00952D53">
            <w:pPr>
              <w:jc w:val="both"/>
              <w:rPr>
                <w:rFonts w:ascii="Times New Roman" w:hAnsi="Times New Roman"/>
                <w:color w:val="000000"/>
                <w:sz w:val="20"/>
                <w:lang w:val="uk-UA"/>
              </w:rPr>
            </w:pPr>
            <w:r w:rsidRPr="00952D53">
              <w:rPr>
                <w:rFonts w:ascii="Times New Roman" w:hAnsi="Times New Roman"/>
                <w:color w:val="000000"/>
                <w:sz w:val="20"/>
                <w:lang w:val="uk-UA"/>
              </w:rPr>
              <w:t>ОМС</w:t>
            </w:r>
          </w:p>
        </w:tc>
      </w:tr>
      <w:tr w:rsidR="00952D53" w:rsidRPr="00952D53" w14:paraId="66835E72"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DFCF425"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Верифікаційна організація</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tcPr>
          <w:p w14:paraId="6C2F1D49" w14:textId="77777777" w:rsidR="00952D53" w:rsidRPr="00952D53" w:rsidRDefault="00952D53" w:rsidP="00952D53">
            <w:pPr>
              <w:contextualSpacing/>
              <w:jc w:val="both"/>
              <w:rPr>
                <w:rFonts w:ascii="Times New Roman" w:eastAsia="Calibri" w:hAnsi="Times New Roman"/>
                <w:bCs/>
                <w:sz w:val="20"/>
                <w:lang w:val="uk-UA"/>
              </w:rPr>
            </w:pPr>
            <w:r w:rsidRPr="00952D53">
              <w:rPr>
                <w:rFonts w:ascii="Times New Roman" w:eastAsia="Calibri" w:hAnsi="Times New Roman"/>
                <w:bCs/>
                <w:sz w:val="20"/>
                <w:lang w:val="uk-UA"/>
              </w:rPr>
              <w:t>Агент з верифікації</w:t>
            </w:r>
          </w:p>
        </w:tc>
      </w:tr>
      <w:tr w:rsidR="00952D53" w:rsidRPr="00952D53" w14:paraId="1C6F36B4"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58CB2F07"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05D803CD" w14:textId="77777777" w:rsidR="00952D53" w:rsidRPr="00952D53" w:rsidRDefault="00952D53" w:rsidP="00952D53">
            <w:pPr>
              <w:numPr>
                <w:ilvl w:val="0"/>
                <w:numId w:val="38"/>
              </w:numPr>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Збір даних: ГРП збиратиме записи про затверджені та опубліковані бюджети від об’єднаних місцевих органів влади та від Міністерства фінансів. ГРП також збиратиме інвестиційні проєктні пропозиції від місцевих органів влади та відповідну документацію, що підтверджує включення оцінок впливу на довкілля.</w:t>
            </w:r>
          </w:p>
          <w:p w14:paraId="4B16844C" w14:textId="77777777" w:rsidR="00952D53" w:rsidRPr="00952D53" w:rsidRDefault="00952D53" w:rsidP="00952D53">
            <w:pPr>
              <w:numPr>
                <w:ilvl w:val="0"/>
                <w:numId w:val="38"/>
              </w:numPr>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 xml:space="preserve">Верифікація: НВА перевірить досягнення на основі даних, отриманих із системи DREAM, що охоплюють інвестиційні проєктні пропозиції, подані громадами в період з 1 липня 2026 року по 30 червня 2027 року, або, у разі дострокового досягнення, з 1 липня 2026 року до дати досягнення цільового показника. НВА розрахує частку, використовуючи (i) загальну кількість проєктних пропозицій, </w:t>
            </w:r>
            <w:r w:rsidRPr="00952D53">
              <w:rPr>
                <w:rFonts w:ascii="Times New Roman" w:eastAsia="Calibri" w:hAnsi="Times New Roman" w:cs="Calibri"/>
                <w:bCs/>
                <w:sz w:val="20"/>
                <w:lang w:val="uk-UA"/>
              </w:rPr>
              <w:lastRenderedPageBreak/>
              <w:t>поданих протягом відповідного періоду, та (ii) підмножину тих пропозицій, що містять аналіз впливу на довкілля, на основі підтверджувальної документації.</w:t>
            </w:r>
          </w:p>
          <w:p w14:paraId="39DE339F" w14:textId="77777777" w:rsidR="00952D53" w:rsidRPr="00952D53" w:rsidRDefault="00952D53" w:rsidP="00952D53">
            <w:pPr>
              <w:numPr>
                <w:ilvl w:val="0"/>
                <w:numId w:val="38"/>
              </w:numPr>
              <w:jc w:val="both"/>
              <w:rPr>
                <w:rFonts w:ascii="Times New Roman" w:hAnsi="Times New Roman"/>
                <w:color w:val="000000"/>
                <w:sz w:val="20"/>
                <w:lang w:val="uk-UA"/>
              </w:rPr>
            </w:pPr>
            <w:r w:rsidRPr="00952D53">
              <w:rPr>
                <w:rFonts w:ascii="Times New Roman" w:eastAsia="Calibri" w:hAnsi="Times New Roman" w:cs="Calibri"/>
                <w:bCs/>
                <w:sz w:val="20"/>
                <w:lang w:val="uk-UA"/>
              </w:rPr>
              <w:t>Звітування: НАВ підготує верифікаційний звіт, що містить висновки з підтверджуючими доказами, та подасть його на розгляд Мінфіну.</w:t>
            </w:r>
          </w:p>
        </w:tc>
      </w:tr>
      <w:tr w:rsidR="00952D53" w:rsidRPr="00952D53" w14:paraId="34B8585D"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DAEEF3"/>
            <w:tcMar>
              <w:left w:w="115" w:type="dxa"/>
              <w:right w:w="115" w:type="dxa"/>
            </w:tcMar>
            <w:vAlign w:val="center"/>
          </w:tcPr>
          <w:p w14:paraId="719245FE"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lastRenderedPageBreak/>
              <w:t>DLR 2.5</w:t>
            </w:r>
          </w:p>
        </w:tc>
        <w:tc>
          <w:tcPr>
            <w:tcW w:w="7986" w:type="dxa"/>
            <w:tcBorders>
              <w:top w:val="single" w:sz="8" w:space="0" w:color="D9D9D9"/>
              <w:left w:val="single" w:sz="8" w:space="0" w:color="D9D9D9"/>
              <w:bottom w:val="single" w:sz="8" w:space="0" w:color="D9D9D9"/>
              <w:right w:val="single" w:sz="8" w:space="0" w:color="D9D9D9"/>
            </w:tcBorders>
            <w:shd w:val="clear" w:color="auto" w:fill="DAEEF3"/>
            <w:tcMar>
              <w:left w:w="115" w:type="dxa"/>
              <w:right w:w="115" w:type="dxa"/>
            </w:tcMar>
            <w:vAlign w:val="center"/>
          </w:tcPr>
          <w:p w14:paraId="139420BB" w14:textId="77777777" w:rsidR="00952D53" w:rsidRPr="00952D53" w:rsidRDefault="00952D53" w:rsidP="00952D53">
            <w:pPr>
              <w:spacing w:before="120"/>
              <w:jc w:val="both"/>
              <w:rPr>
                <w:rFonts w:ascii="Times New Roman" w:hAnsi="Times New Roman"/>
                <w:b/>
                <w:bCs/>
                <w:sz w:val="20"/>
                <w:lang w:val="uk-UA"/>
              </w:rPr>
            </w:pPr>
            <w:r w:rsidRPr="00952D53">
              <w:rPr>
                <w:rFonts w:ascii="Times New Roman" w:hAnsi="Times New Roman"/>
                <w:b/>
                <w:bCs/>
                <w:color w:val="000000"/>
                <w:sz w:val="20"/>
                <w:lang w:val="uk-UA"/>
              </w:rPr>
              <w:t xml:space="preserve">DLR 2.5 </w:t>
            </w:r>
            <w:r w:rsidRPr="00952D53">
              <w:rPr>
                <w:rFonts w:ascii="Times New Roman" w:eastAsia="Calibri" w:hAnsi="Times New Roman"/>
                <w:b/>
                <w:bCs/>
                <w:kern w:val="2"/>
                <w:sz w:val="20"/>
                <w:lang w:val="uk-UA"/>
                <w14:ligatures w14:val="standardContextual"/>
              </w:rPr>
              <w:t>Щонайменше 90</w:t>
            </w:r>
            <w:r w:rsidRPr="00952D53">
              <w:rPr>
                <w:rFonts w:ascii="Times New Roman" w:eastAsia="Calibri" w:hAnsi="Times New Roman"/>
                <w:b/>
                <w:kern w:val="2"/>
                <w:sz w:val="20"/>
                <w:lang w:val="uk-UA"/>
                <w14:ligatures w14:val="standardContextual"/>
              </w:rPr>
              <w:t>%</w:t>
            </w:r>
            <w:r w:rsidRPr="00952D53">
              <w:rPr>
                <w:rFonts w:ascii="Times New Roman" w:eastAsia="Calibri" w:hAnsi="Times New Roman"/>
                <w:b/>
                <w:bCs/>
                <w:kern w:val="2"/>
                <w:sz w:val="20"/>
                <w:lang w:val="uk-UA"/>
                <w14:ligatures w14:val="standardContextual"/>
              </w:rPr>
              <w:t xml:space="preserve"> відсотків громад, які мають боргові зобов’язання, щомісяця звітують про свої борги та гарантії</w:t>
            </w:r>
          </w:p>
        </w:tc>
      </w:tr>
      <w:tr w:rsidR="00952D53" w:rsidRPr="00952D53" w14:paraId="33A2C541"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1F22A4A1"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Формула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0F127AD9" w14:textId="77777777" w:rsidR="00952D53" w:rsidRPr="00952D53" w:rsidRDefault="00952D53" w:rsidP="00952D53">
            <w:pPr>
              <w:rPr>
                <w:rFonts w:ascii="Times New Roman" w:eastAsia="Calibri" w:hAnsi="Times New Roman"/>
                <w:sz w:val="20"/>
                <w:lang w:val="uk-UA"/>
              </w:rPr>
            </w:pPr>
            <w:r w:rsidRPr="00952D53">
              <w:rPr>
                <w:rFonts w:ascii="Times New Roman" w:eastAsia="Calibri" w:hAnsi="Times New Roman"/>
                <w:sz w:val="20"/>
                <w:lang w:val="uk-UA"/>
              </w:rPr>
              <w:t>Формула – Масштабована.</w:t>
            </w:r>
          </w:p>
          <w:p w14:paraId="52FF9FD0" w14:textId="77777777" w:rsidR="00952D53" w:rsidRPr="00952D53" w:rsidRDefault="00952D53" w:rsidP="00952D53">
            <w:pPr>
              <w:jc w:val="both"/>
              <w:rPr>
                <w:rFonts w:ascii="Times New Roman" w:eastAsia="Calibri" w:hAnsi="Times New Roman"/>
                <w:kern w:val="2"/>
                <w:sz w:val="20"/>
                <w:lang w:val="uk-UA"/>
                <w14:ligatures w14:val="standardContextual"/>
              </w:rPr>
            </w:pPr>
            <w:r w:rsidRPr="00952D53">
              <w:rPr>
                <w:rFonts w:ascii="Times New Roman" w:eastAsia="Calibri" w:hAnsi="Times New Roman"/>
                <w:sz w:val="20"/>
                <w:lang w:val="uk-UA"/>
              </w:rPr>
              <w:t>Десять відсотків суми, виділеної на РПВ 2.5, буде виплачено за кожне додаткове збільшення на 9 процентних пунктів частки громад із борговими зобов’язаннями, які щомісяця звітують про свої борги та гарантії, до максимального рівня 90 відсотків</w:t>
            </w:r>
          </w:p>
        </w:tc>
      </w:tr>
      <w:tr w:rsidR="00952D53" w:rsidRPr="00952D53" w14:paraId="28EF1262"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06762E86"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Опис</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7EE39155" w14:textId="77777777" w:rsidR="00952D53" w:rsidRPr="00952D53" w:rsidRDefault="00952D53" w:rsidP="00952D53">
            <w:pPr>
              <w:numPr>
                <w:ilvl w:val="0"/>
                <w:numId w:val="38"/>
              </w:numPr>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Громади – це територіальні громади, визначені Законом «Про місцеве самоврядування в Україні»</w:t>
            </w:r>
            <w:r w:rsidRPr="00952D53">
              <w:rPr>
                <w:rFonts w:ascii="Times New Roman" w:eastAsia="Calibri" w:hAnsi="Times New Roman" w:cs="Calibri"/>
                <w:bCs/>
                <w:sz w:val="20"/>
                <w:lang w:val="ru-RU"/>
              </w:rPr>
              <w:t>.</w:t>
            </w:r>
          </w:p>
          <w:p w14:paraId="7B4B7518" w14:textId="77777777" w:rsidR="00952D53" w:rsidRPr="00952D53" w:rsidRDefault="00952D53" w:rsidP="00952D53">
            <w:pPr>
              <w:numPr>
                <w:ilvl w:val="0"/>
                <w:numId w:val="38"/>
              </w:numPr>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Громади з борговими зобов’язаннями – це ті громади, які мають непогашену заборгованість та/або гарантії відповідно до чинного законодавства</w:t>
            </w:r>
            <w:r w:rsidRPr="00952D53">
              <w:rPr>
                <w:rFonts w:ascii="Times New Roman" w:eastAsia="Calibri" w:hAnsi="Times New Roman" w:cs="Calibri"/>
                <w:bCs/>
                <w:sz w:val="20"/>
                <w:lang w:val="ru-RU"/>
              </w:rPr>
              <w:t>.</w:t>
            </w:r>
          </w:p>
          <w:p w14:paraId="18D80671" w14:textId="77777777" w:rsidR="00952D53" w:rsidRPr="00952D53" w:rsidRDefault="00952D53" w:rsidP="00952D53">
            <w:pPr>
              <w:numPr>
                <w:ilvl w:val="0"/>
                <w:numId w:val="38"/>
              </w:numPr>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Звітність означає подання місцевими органами влади щомісячної інформації до Державної казначейської служби та Міністерства фінансів про борги та гарантії відповідно до чинних вимог щодо звітності</w:t>
            </w:r>
            <w:r w:rsidRPr="00952D53">
              <w:rPr>
                <w:rFonts w:ascii="Times New Roman" w:eastAsia="Calibri" w:hAnsi="Times New Roman" w:cs="Calibri"/>
                <w:bCs/>
                <w:sz w:val="20"/>
                <w:lang w:val="ru-RU"/>
              </w:rPr>
              <w:t>.</w:t>
            </w:r>
          </w:p>
          <w:p w14:paraId="327BE61B" w14:textId="77777777" w:rsidR="00952D53" w:rsidRPr="00952D53" w:rsidRDefault="00952D53" w:rsidP="00952D53">
            <w:pPr>
              <w:numPr>
                <w:ilvl w:val="0"/>
                <w:numId w:val="38"/>
              </w:numPr>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Для цілей цього РПВ відповідний звітний період триває з 1 січня 2026 року до 31 грудня 2026 року</w:t>
            </w:r>
            <w:r w:rsidRPr="00952D53">
              <w:rPr>
                <w:rFonts w:ascii="Times New Roman" w:eastAsia="Calibri" w:hAnsi="Times New Roman" w:cs="Calibri"/>
                <w:bCs/>
                <w:sz w:val="20"/>
                <w:lang w:val="ru-RU"/>
              </w:rPr>
              <w:t>.</w:t>
            </w:r>
          </w:p>
          <w:p w14:paraId="56377778" w14:textId="77777777" w:rsidR="00952D53" w:rsidRPr="00952D53" w:rsidRDefault="00952D53" w:rsidP="00952D53">
            <w:pPr>
              <w:widowControl w:val="0"/>
              <w:numPr>
                <w:ilvl w:val="0"/>
                <w:numId w:val="38"/>
              </w:numPr>
              <w:autoSpaceDE w:val="0"/>
              <w:autoSpaceDN w:val="0"/>
              <w:adjustRightInd w:val="0"/>
              <w:contextualSpacing/>
              <w:jc w:val="both"/>
              <w:rPr>
                <w:rFonts w:ascii="Times New Roman" w:hAnsi="Times New Roman"/>
                <w:color w:val="000000"/>
                <w:sz w:val="20"/>
                <w:lang w:val="uk-UA"/>
              </w:rPr>
            </w:pPr>
            <w:r w:rsidRPr="00952D53">
              <w:rPr>
                <w:rFonts w:ascii="Times New Roman" w:eastAsia="Calibri" w:hAnsi="Times New Roman" w:cs="Calibri"/>
                <w:bCs/>
                <w:sz w:val="20"/>
                <w:lang w:val="uk-UA"/>
              </w:rPr>
              <w:t>Для цілей верифікації досягнення за цим РПВ оцінюватиметься на основі частки громад із борговими зобов’язаннями, які подали повні щомісячні звіти за всі 12 місяців у період з січня по грудень 2026 року</w:t>
            </w:r>
            <w:r w:rsidRPr="00952D53">
              <w:rPr>
                <w:rFonts w:ascii="Times New Roman" w:eastAsia="Calibri" w:hAnsi="Times New Roman" w:cs="Calibri"/>
                <w:bCs/>
                <w:sz w:val="20"/>
                <w:lang w:val="ru-RU"/>
              </w:rPr>
              <w:t>.</w:t>
            </w:r>
          </w:p>
        </w:tc>
      </w:tr>
      <w:tr w:rsidR="00952D53" w:rsidRPr="00952D53" w14:paraId="7CEC6B1D"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6A100A1"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Джерело даних/ Агентство</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19A22830" w14:textId="77777777" w:rsidR="00952D53" w:rsidRPr="00952D53" w:rsidRDefault="00952D53" w:rsidP="00952D53">
            <w:pPr>
              <w:jc w:val="both"/>
              <w:rPr>
                <w:rFonts w:ascii="Times New Roman" w:hAnsi="Times New Roman"/>
                <w:color w:val="000000"/>
                <w:sz w:val="20"/>
                <w:lang w:val="uk-UA"/>
              </w:rPr>
            </w:pPr>
            <w:r w:rsidRPr="00952D53">
              <w:rPr>
                <w:rFonts w:ascii="Times New Roman" w:eastAsia="Calibri" w:hAnsi="Times New Roman"/>
                <w:bCs/>
                <w:kern w:val="2"/>
                <w:sz w:val="20"/>
                <w:lang w:val="uk-UA"/>
                <w14:ligatures w14:val="standardContextual"/>
              </w:rPr>
              <w:t>Мінфін, Казначейство, ОМС</w:t>
            </w:r>
          </w:p>
        </w:tc>
      </w:tr>
      <w:tr w:rsidR="00952D53" w:rsidRPr="00952D53" w14:paraId="699E670B" w14:textId="77777777" w:rsidTr="00952D53">
        <w:trPr>
          <w:trHeight w:val="510"/>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14D621C9"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Верифікаційна організація</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75DAE55F" w14:textId="77777777" w:rsidR="00952D53" w:rsidRPr="00952D53" w:rsidRDefault="00952D53" w:rsidP="00952D53">
            <w:pPr>
              <w:jc w:val="both"/>
              <w:rPr>
                <w:rFonts w:ascii="Times New Roman" w:hAnsi="Times New Roman"/>
                <w:color w:val="000000"/>
                <w:sz w:val="20"/>
                <w:lang w:val="uk-UA"/>
              </w:rPr>
            </w:pPr>
            <w:r w:rsidRPr="00952D53">
              <w:rPr>
                <w:rFonts w:ascii="Times New Roman" w:eastAsia="Calibri" w:hAnsi="Times New Roman"/>
                <w:bCs/>
                <w:kern w:val="2"/>
                <w:sz w:val="20"/>
                <w:lang w:val="uk-UA"/>
                <w14:ligatures w14:val="standardContextual"/>
              </w:rPr>
              <w:t>Агент з верифікації</w:t>
            </w:r>
          </w:p>
        </w:tc>
      </w:tr>
      <w:tr w:rsidR="00952D53" w:rsidRPr="00952D53" w14:paraId="453D2B45"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CE402CF"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524CBC07" w14:textId="77777777" w:rsidR="00952D53" w:rsidRPr="00952D53" w:rsidRDefault="00952D53" w:rsidP="00952D53">
            <w:pPr>
              <w:numPr>
                <w:ilvl w:val="0"/>
                <w:numId w:val="38"/>
              </w:numPr>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Збір даних: ГРП збире щомісячні звіти про заборгованість та гарантії від Міністерства фінансів та Державної казначейської служби.</w:t>
            </w:r>
          </w:p>
          <w:p w14:paraId="64D64A0F" w14:textId="77777777" w:rsidR="00952D53" w:rsidRPr="00952D53" w:rsidRDefault="00952D53" w:rsidP="00952D53">
            <w:pPr>
              <w:numPr>
                <w:ilvl w:val="0"/>
                <w:numId w:val="38"/>
              </w:numPr>
              <w:jc w:val="both"/>
              <w:rPr>
                <w:rFonts w:ascii="Times New Roman" w:hAnsi="Times New Roman"/>
                <w:sz w:val="24"/>
                <w:szCs w:val="24"/>
                <w:lang w:val="uk-UA"/>
              </w:rPr>
            </w:pPr>
            <w:r w:rsidRPr="00952D53">
              <w:rPr>
                <w:rFonts w:ascii="Times New Roman" w:eastAsia="Calibri" w:hAnsi="Times New Roman" w:cs="Calibri"/>
                <w:bCs/>
                <w:sz w:val="20"/>
                <w:lang w:val="uk-UA"/>
              </w:rPr>
              <w:t>Верифікація: НВА перевірятиме досягнення на основі (і) переліку громад із борговими зобов’язаннями за період з 1 січня до 31 грудня 2026 року та (іі) офіційних даних від Міністерства фінансів та/або Державної казначейської служби, що підтверджують подання щомісячних звітів за кожний із 12 місяців. НВА розраховуватиме частку як співвідношення кількості громад, які подали повні щомісячні звіти за всі 12 місяців, до загальної кількості громад, що мають боргові зобов’язання.</w:t>
            </w:r>
          </w:p>
          <w:p w14:paraId="0BE40269" w14:textId="77777777" w:rsidR="00952D53" w:rsidRPr="00952D53" w:rsidRDefault="00952D53" w:rsidP="00952D53">
            <w:pPr>
              <w:widowControl w:val="0"/>
              <w:numPr>
                <w:ilvl w:val="0"/>
                <w:numId w:val="38"/>
              </w:numPr>
              <w:autoSpaceDE w:val="0"/>
              <w:autoSpaceDN w:val="0"/>
              <w:adjustRightInd w:val="0"/>
              <w:contextualSpacing/>
              <w:jc w:val="both"/>
              <w:rPr>
                <w:rFonts w:ascii="Times New Roman" w:hAnsi="Times New Roman"/>
                <w:color w:val="000000"/>
                <w:sz w:val="20"/>
                <w:lang w:val="uk-UA"/>
              </w:rPr>
            </w:pPr>
            <w:r w:rsidRPr="00952D53">
              <w:rPr>
                <w:rFonts w:ascii="Times New Roman" w:eastAsia="Calibri" w:hAnsi="Times New Roman" w:cs="Calibri"/>
                <w:bCs/>
                <w:sz w:val="20"/>
                <w:lang w:val="uk-UA"/>
              </w:rPr>
              <w:t>Звітування: НАВ підготує верифікаційний звіт, що містить висновки з підтверджуючими доказами, та подасть його на розгляд Мінфіну.</w:t>
            </w:r>
          </w:p>
        </w:tc>
      </w:tr>
      <w:tr w:rsidR="00952D53" w:rsidRPr="00952D53" w14:paraId="037F282C"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DAEEF3"/>
            <w:tcMar>
              <w:left w:w="115" w:type="dxa"/>
              <w:right w:w="115" w:type="dxa"/>
            </w:tcMar>
            <w:vAlign w:val="center"/>
          </w:tcPr>
          <w:p w14:paraId="56B1C796"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DLR 2.6</w:t>
            </w:r>
          </w:p>
        </w:tc>
        <w:tc>
          <w:tcPr>
            <w:tcW w:w="7986" w:type="dxa"/>
            <w:tcBorders>
              <w:top w:val="single" w:sz="8" w:space="0" w:color="D9D9D9"/>
              <w:left w:val="single" w:sz="8" w:space="0" w:color="D9D9D9"/>
              <w:bottom w:val="single" w:sz="8" w:space="0" w:color="D9D9D9"/>
              <w:right w:val="single" w:sz="8" w:space="0" w:color="D9D9D9"/>
            </w:tcBorders>
            <w:shd w:val="clear" w:color="auto" w:fill="DAEEF3"/>
            <w:tcMar>
              <w:left w:w="115" w:type="dxa"/>
              <w:right w:w="115" w:type="dxa"/>
            </w:tcMar>
            <w:vAlign w:val="center"/>
          </w:tcPr>
          <w:p w14:paraId="7D42B74E" w14:textId="77777777" w:rsidR="00952D53" w:rsidRPr="00952D53" w:rsidRDefault="00952D53" w:rsidP="00952D53">
            <w:pPr>
              <w:jc w:val="both"/>
              <w:rPr>
                <w:rFonts w:ascii="Times New Roman" w:hAnsi="Times New Roman"/>
                <w:b/>
                <w:bCs/>
                <w:color w:val="000000"/>
                <w:sz w:val="20"/>
                <w:lang w:val="uk-UA"/>
              </w:rPr>
            </w:pPr>
            <w:r w:rsidRPr="00952D53">
              <w:rPr>
                <w:rFonts w:ascii="Times New Roman" w:hAnsi="Times New Roman"/>
                <w:b/>
                <w:bCs/>
                <w:color w:val="404040"/>
                <w:sz w:val="20"/>
                <w:lang w:val="uk-UA"/>
              </w:rPr>
              <w:t xml:space="preserve">DLR 2.6 </w:t>
            </w:r>
            <w:r w:rsidRPr="00952D53">
              <w:rPr>
                <w:rFonts w:ascii="Times New Roman" w:eastAsia="Calibri" w:hAnsi="Times New Roman"/>
                <w:b/>
                <w:bCs/>
                <w:sz w:val="20"/>
                <w:lang w:val="uk-UA"/>
              </w:rPr>
              <w:t>Мінфін оновив інформаційну систему управління місцевими фінансами (LOGICA) для цифрового збору, звітування та аналізу результативних показників на стадіях планування та виконання місцевих бюджетів, включаючи гендерну інформацію.</w:t>
            </w:r>
          </w:p>
        </w:tc>
      </w:tr>
      <w:tr w:rsidR="00952D53" w:rsidRPr="00952D53" w14:paraId="283E252A"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4034C4C6"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Формула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436DC0E3" w14:textId="77777777" w:rsidR="00952D53" w:rsidRPr="00952D53" w:rsidRDefault="00952D53" w:rsidP="00952D53">
            <w:pPr>
              <w:rPr>
                <w:rFonts w:ascii="Times New Roman" w:eastAsia="Calibri" w:hAnsi="Times New Roman" w:cs="Calibri"/>
                <w:bCs/>
                <w:sz w:val="20"/>
                <w:lang w:val="uk-UA"/>
              </w:rPr>
            </w:pPr>
            <w:r w:rsidRPr="00952D53">
              <w:rPr>
                <w:rFonts w:ascii="Times New Roman" w:eastAsia="Calibri" w:hAnsi="Times New Roman" w:cs="Calibri"/>
                <w:bCs/>
                <w:sz w:val="20"/>
                <w:lang w:val="uk-UA"/>
              </w:rPr>
              <w:t>Не підлягає масштабуванню.</w:t>
            </w:r>
          </w:p>
          <w:p w14:paraId="648D9FF3" w14:textId="77777777" w:rsidR="00952D53" w:rsidRPr="00952D53" w:rsidRDefault="00952D53" w:rsidP="00952D53">
            <w:pPr>
              <w:jc w:val="both"/>
              <w:rPr>
                <w:rFonts w:ascii="Times New Roman" w:hAnsi="Times New Roman"/>
                <w:color w:val="000000"/>
                <w:sz w:val="20"/>
                <w:lang w:val="uk-UA"/>
              </w:rPr>
            </w:pPr>
            <w:r w:rsidRPr="00952D53">
              <w:rPr>
                <w:rFonts w:ascii="Times New Roman" w:eastAsia="Calibri" w:hAnsi="Times New Roman" w:cs="Calibri"/>
                <w:bCs/>
                <w:sz w:val="20"/>
                <w:lang w:val="uk-UA"/>
              </w:rPr>
              <w:t>Досягнуто,</w:t>
            </w:r>
            <w:r w:rsidRPr="00952D53">
              <w:rPr>
                <w:rFonts w:ascii="Times New Roman" w:hAnsi="Times New Roman"/>
                <w:sz w:val="20"/>
                <w:lang w:val="uk-UA"/>
              </w:rPr>
              <w:t xml:space="preserve"> </w:t>
            </w:r>
            <w:r w:rsidRPr="00952D53">
              <w:rPr>
                <w:rFonts w:ascii="Times New Roman" w:eastAsia="Calibri" w:hAnsi="Times New Roman" w:cs="Calibri"/>
                <w:bCs/>
                <w:sz w:val="20"/>
                <w:lang w:val="uk-UA"/>
              </w:rPr>
              <w:t>якщо систему LOGICA буде модернізовано для забезпечення цифрового збору, звітування та аналізу результативних показників на стадіях планування та виконання місцевих бюджетів, включаючи ґендерно-релевантну інформацію</w:t>
            </w:r>
          </w:p>
        </w:tc>
      </w:tr>
      <w:tr w:rsidR="00952D53" w:rsidRPr="00952D53" w14:paraId="6C59B884"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32487B5"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Опис</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5B772795" w14:textId="77777777" w:rsidR="00952D53" w:rsidRPr="00952D53" w:rsidRDefault="00952D53" w:rsidP="00952D53">
            <w:pPr>
              <w:numPr>
                <w:ilvl w:val="0"/>
                <w:numId w:val="40"/>
              </w:numPr>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LOGICA — це інформаційно-аналітична система планування та виконання місцевих бюджетів, що використовується Міністерством фінансів.</w:t>
            </w:r>
          </w:p>
          <w:p w14:paraId="053670A6" w14:textId="77777777" w:rsidR="00952D53" w:rsidRPr="00952D53" w:rsidRDefault="00952D53" w:rsidP="00952D53">
            <w:pPr>
              <w:numPr>
                <w:ilvl w:val="0"/>
                <w:numId w:val="40"/>
              </w:numPr>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Показники ефективності – це показники, що використовуються під час планування та виконання місцевих бюджетів для моніторингу результатів та наслідків бюджетних програм</w:t>
            </w:r>
            <w:r w:rsidRPr="00952D53">
              <w:rPr>
                <w:rFonts w:ascii="Times New Roman" w:eastAsia="Calibri" w:hAnsi="Times New Roman" w:cs="Calibri"/>
                <w:bCs/>
                <w:sz w:val="20"/>
                <w:lang w:val="ru-RU"/>
              </w:rPr>
              <w:t>.</w:t>
            </w:r>
          </w:p>
          <w:p w14:paraId="148C4AE7" w14:textId="77777777" w:rsidR="00952D53" w:rsidRPr="00952D53" w:rsidRDefault="00952D53" w:rsidP="00952D53">
            <w:pPr>
              <w:numPr>
                <w:ilvl w:val="0"/>
                <w:numId w:val="40"/>
              </w:numPr>
              <w:contextualSpacing/>
              <w:jc w:val="both"/>
              <w:rPr>
                <w:rFonts w:ascii="Times New Roman" w:eastAsia="Calibri" w:hAnsi="Times New Roman" w:cs="Calibri"/>
                <w:bCs/>
                <w:sz w:val="20"/>
                <w:lang w:val="ru-RU"/>
              </w:rPr>
            </w:pPr>
            <w:r w:rsidRPr="00952D53">
              <w:rPr>
                <w:rFonts w:ascii="Times New Roman" w:eastAsia="Calibri" w:hAnsi="Times New Roman" w:cs="Calibri"/>
                <w:bCs/>
                <w:sz w:val="20"/>
                <w:lang w:val="uk-UA"/>
              </w:rPr>
              <w:t>Інформація, що стосується гендерних питань, – це дані, що відображають гендерні показники та аналіз у плануванні та виконанні місцевих бюджетів</w:t>
            </w:r>
            <w:r w:rsidRPr="00952D53">
              <w:rPr>
                <w:rFonts w:ascii="Times New Roman" w:eastAsia="Calibri" w:hAnsi="Times New Roman" w:cs="Calibri"/>
                <w:bCs/>
                <w:sz w:val="20"/>
                <w:lang w:val="ru-RU"/>
              </w:rPr>
              <w:t>.</w:t>
            </w:r>
          </w:p>
          <w:p w14:paraId="6522350A" w14:textId="77777777" w:rsidR="00952D53" w:rsidRPr="00952D53" w:rsidRDefault="00952D53" w:rsidP="00952D53">
            <w:pPr>
              <w:widowControl w:val="0"/>
              <w:numPr>
                <w:ilvl w:val="0"/>
                <w:numId w:val="40"/>
              </w:numPr>
              <w:autoSpaceDE w:val="0"/>
              <w:autoSpaceDN w:val="0"/>
              <w:adjustRightInd w:val="0"/>
              <w:jc w:val="both"/>
              <w:rPr>
                <w:rFonts w:ascii="Times New Roman" w:hAnsi="Times New Roman"/>
                <w:color w:val="000000"/>
                <w:sz w:val="20"/>
                <w:lang w:val="uk-UA"/>
              </w:rPr>
            </w:pPr>
            <w:r w:rsidRPr="00952D53">
              <w:rPr>
                <w:rFonts w:ascii="Times New Roman" w:eastAsia="Calibri" w:hAnsi="Times New Roman" w:cs="Calibri"/>
                <w:bCs/>
                <w:sz w:val="20"/>
                <w:lang w:val="uk-UA"/>
              </w:rPr>
              <w:t>Модернізація забезпечує можливість цифрового збору, звітування та аналізу показників ефективності на етапах планування та виконання місцевих бюджетів, включаючи інформацію, що стосується гендерних питань</w:t>
            </w:r>
            <w:r w:rsidRPr="00952D53">
              <w:rPr>
                <w:rFonts w:ascii="Times New Roman" w:eastAsia="Calibri" w:hAnsi="Times New Roman" w:cs="Calibri"/>
                <w:bCs/>
                <w:sz w:val="20"/>
                <w:lang w:val="ru-RU"/>
              </w:rPr>
              <w:t>.</w:t>
            </w:r>
          </w:p>
        </w:tc>
      </w:tr>
      <w:tr w:rsidR="00952D53" w:rsidRPr="00952D53" w14:paraId="1CE34925"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490891C5"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lastRenderedPageBreak/>
              <w:t>Джерело даних/ Агентство</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8CD091B" w14:textId="77777777" w:rsidR="00952D53" w:rsidRPr="00952D53" w:rsidRDefault="00952D53" w:rsidP="00952D53">
            <w:pPr>
              <w:jc w:val="both"/>
              <w:rPr>
                <w:rFonts w:ascii="Times New Roman" w:hAnsi="Times New Roman"/>
                <w:color w:val="000000"/>
                <w:sz w:val="20"/>
                <w:lang w:val="uk-UA"/>
              </w:rPr>
            </w:pPr>
            <w:r w:rsidRPr="00952D53">
              <w:rPr>
                <w:rFonts w:ascii="Times New Roman" w:hAnsi="Times New Roman"/>
                <w:sz w:val="20"/>
                <w:lang w:val="uk-UA"/>
              </w:rPr>
              <w:t>Органи місцевого самоврядування, Мінфін</w:t>
            </w:r>
          </w:p>
        </w:tc>
      </w:tr>
      <w:tr w:rsidR="00952D53" w:rsidRPr="00952D53" w14:paraId="0D14435F"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5679DF57"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Верифікаційна організація</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1C79F0B6" w14:textId="77777777" w:rsidR="00952D53" w:rsidRPr="00952D53" w:rsidRDefault="00952D53" w:rsidP="00952D53">
            <w:pPr>
              <w:jc w:val="both"/>
              <w:rPr>
                <w:rFonts w:ascii="Times New Roman" w:hAnsi="Times New Roman"/>
                <w:color w:val="000000"/>
                <w:sz w:val="20"/>
                <w:lang w:val="uk-UA"/>
              </w:rPr>
            </w:pPr>
            <w:r w:rsidRPr="00952D53">
              <w:rPr>
                <w:rFonts w:ascii="Times New Roman" w:hAnsi="Times New Roman"/>
                <w:sz w:val="20"/>
                <w:lang w:val="uk-UA"/>
              </w:rPr>
              <w:t>Агент з верифікації</w:t>
            </w:r>
          </w:p>
        </w:tc>
      </w:tr>
      <w:tr w:rsidR="00952D53" w:rsidRPr="00952D53" w14:paraId="7470CD38"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5D695167"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2C64B79B" w14:textId="77777777" w:rsidR="00952D53" w:rsidRPr="00952D53" w:rsidRDefault="00952D53" w:rsidP="00952D53">
            <w:pPr>
              <w:numPr>
                <w:ilvl w:val="0"/>
                <w:numId w:val="39"/>
              </w:numPr>
              <w:ind w:left="341"/>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Збір даних: ГРП збиратиме документацію від Міністерства фінансів, що підтверджує модернізацію системи LOGICA, включаючи системну документацію, посібники користувача та докази функціональних можливостей системи.</w:t>
            </w:r>
          </w:p>
          <w:p w14:paraId="2EE49152" w14:textId="77777777" w:rsidR="00952D53" w:rsidRPr="00952D53" w:rsidRDefault="00952D53" w:rsidP="00952D53">
            <w:pPr>
              <w:numPr>
                <w:ilvl w:val="0"/>
                <w:numId w:val="39"/>
              </w:numPr>
              <w:ind w:left="341"/>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Верифікація: НВА перевірить, чи було оновлено систему LOGICA для забезпечення можливості цифрового збору, звітування та аналізу показників ефективності на етапах планування та виконання місцевих бюджетів, включаючи інформацію щодо гендерних питань, на основі системної документації, демонстрацій та доказів функціональних можливостей.</w:t>
            </w:r>
          </w:p>
          <w:p w14:paraId="11A7D2BB" w14:textId="77777777" w:rsidR="00952D53" w:rsidRPr="00952D53" w:rsidRDefault="00952D53" w:rsidP="00952D53">
            <w:pPr>
              <w:numPr>
                <w:ilvl w:val="0"/>
                <w:numId w:val="39"/>
              </w:numPr>
              <w:ind w:left="341"/>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Звітування: НАВ підготує верифікаційний звіт, що містить висновки з підтверджуючими доказами, та подасть його на розгляд Мінфіну.</w:t>
            </w:r>
          </w:p>
          <w:p w14:paraId="6E4BFE89" w14:textId="77777777" w:rsidR="00952D53" w:rsidRPr="00952D53" w:rsidRDefault="00952D53" w:rsidP="00952D53">
            <w:pPr>
              <w:widowControl w:val="0"/>
              <w:autoSpaceDE w:val="0"/>
              <w:autoSpaceDN w:val="0"/>
              <w:adjustRightInd w:val="0"/>
              <w:ind w:left="34"/>
              <w:jc w:val="both"/>
              <w:rPr>
                <w:rFonts w:ascii="Times New Roman" w:hAnsi="Times New Roman"/>
                <w:color w:val="000000"/>
                <w:sz w:val="20"/>
                <w:lang w:val="uk-UA"/>
              </w:rPr>
            </w:pPr>
          </w:p>
        </w:tc>
      </w:tr>
      <w:tr w:rsidR="00952D53" w:rsidRPr="00952D53" w14:paraId="6F3A0B1B"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267DDC80"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DLR</w:t>
            </w:r>
            <w:r w:rsidRPr="00952D53">
              <w:rPr>
                <w:rFonts w:ascii="Times New Roman" w:hAnsi="Times New Roman"/>
                <w:b/>
                <w:bCs/>
                <w:kern w:val="2"/>
                <w:sz w:val="20"/>
                <w:lang w:val="uk-UA"/>
                <w14:ligatures w14:val="standardContextual"/>
              </w:rPr>
              <w:t xml:space="preserve"> 2.7</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4580D76B" w14:textId="77777777" w:rsidR="00952D53" w:rsidRPr="00952D53" w:rsidRDefault="00952D53" w:rsidP="00952D53">
            <w:pPr>
              <w:ind w:left="90"/>
              <w:jc w:val="both"/>
              <w:rPr>
                <w:rFonts w:ascii="Times New Roman" w:hAnsi="Times New Roman"/>
                <w:b/>
                <w:bCs/>
                <w:kern w:val="2"/>
                <w:sz w:val="20"/>
                <w:lang w:val="uk-UA"/>
                <w14:ligatures w14:val="standardContextual"/>
              </w:rPr>
            </w:pPr>
            <w:r w:rsidRPr="00952D53">
              <w:rPr>
                <w:rFonts w:ascii="Times New Roman" w:hAnsi="Times New Roman"/>
                <w:b/>
                <w:bCs/>
                <w:kern w:val="2"/>
                <w:sz w:val="20"/>
                <w:lang w:val="uk-UA"/>
                <w14:ligatures w14:val="standardContextual"/>
              </w:rPr>
              <w:t>РПВ 2.7 (і)</w:t>
            </w:r>
            <w:r w:rsidRPr="00952D53">
              <w:rPr>
                <w:rFonts w:ascii="Times New Roman" w:hAnsi="Times New Roman"/>
                <w:kern w:val="2"/>
                <w:sz w:val="18"/>
                <w:szCs w:val="18"/>
                <w:lang w:val="uk-UA"/>
                <w14:ligatures w14:val="standardContextual"/>
              </w:rPr>
              <w:t xml:space="preserve"> </w:t>
            </w:r>
            <w:r w:rsidRPr="00952D53">
              <w:rPr>
                <w:rFonts w:ascii="Times New Roman" w:hAnsi="Times New Roman"/>
                <w:b/>
                <w:bCs/>
                <w:kern w:val="2"/>
                <w:sz w:val="20"/>
                <w:lang w:val="uk-UA"/>
                <w14:ligatures w14:val="standardContextual"/>
              </w:rPr>
              <w:t>Мінфін ухвалив Методологію застосування гендерних показників у бюджетному процесі на місцевому рівні.</w:t>
            </w:r>
          </w:p>
          <w:p w14:paraId="7AD4F132" w14:textId="77777777" w:rsidR="00952D53" w:rsidRPr="00952D53" w:rsidRDefault="00952D53" w:rsidP="00952D53">
            <w:pPr>
              <w:ind w:left="90"/>
              <w:jc w:val="both"/>
              <w:rPr>
                <w:rFonts w:ascii="Times New Roman" w:eastAsia="Calibri" w:hAnsi="Times New Roman"/>
                <w:b/>
                <w:bCs/>
                <w:kern w:val="2"/>
                <w:sz w:val="10"/>
                <w:szCs w:val="10"/>
                <w:lang w:val="uk-UA"/>
                <w14:ligatures w14:val="standardContextual"/>
              </w:rPr>
            </w:pPr>
          </w:p>
          <w:p w14:paraId="5635F663" w14:textId="77777777" w:rsidR="00952D53" w:rsidRPr="00952D53" w:rsidRDefault="00952D53" w:rsidP="00952D53">
            <w:pPr>
              <w:ind w:left="90"/>
              <w:jc w:val="both"/>
              <w:rPr>
                <w:rFonts w:ascii="Times New Roman" w:hAnsi="Times New Roman"/>
                <w:b/>
                <w:bCs/>
                <w:kern w:val="2"/>
                <w:sz w:val="20"/>
                <w:lang w:val="uk-UA"/>
                <w14:ligatures w14:val="standardContextual"/>
              </w:rPr>
            </w:pPr>
            <w:r w:rsidRPr="00952D53">
              <w:rPr>
                <w:rFonts w:ascii="Times New Roman" w:hAnsi="Times New Roman"/>
                <w:b/>
                <w:bCs/>
                <w:kern w:val="2"/>
                <w:sz w:val="20"/>
                <w:lang w:val="uk-UA"/>
                <w14:ligatures w14:val="standardContextual"/>
              </w:rPr>
              <w:t>РПВ 2.7 (іі) Щонайменше 400 громад використали Методологію застосування гендерних показників у бюджетному процесі шляхом включення принаймні одного гендерного показника або гендерний аналіз до Паспортів бюджетних програм або звітів про виконання паспортів бюджетних програм, що були подані відповідному місцевому фінансовому органу.</w:t>
            </w:r>
          </w:p>
        </w:tc>
      </w:tr>
      <w:tr w:rsidR="00952D53" w:rsidRPr="00952D53" w14:paraId="00793C92"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20C8EE2A"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Формула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576595B3" w14:textId="77777777" w:rsidR="00952D53" w:rsidRPr="00952D53" w:rsidRDefault="00952D53" w:rsidP="00952D53">
            <w:pPr>
              <w:rPr>
                <w:rFonts w:ascii="Times New Roman" w:eastAsia="Calibri" w:hAnsi="Times New Roman" w:cs="Calibri"/>
                <w:bCs/>
                <w:sz w:val="20"/>
                <w:lang w:val="uk-UA"/>
              </w:rPr>
            </w:pPr>
            <w:r w:rsidRPr="00952D53">
              <w:rPr>
                <w:rFonts w:ascii="Times New Roman" w:eastAsia="Calibri" w:hAnsi="Times New Roman" w:cs="Calibri"/>
                <w:bCs/>
                <w:sz w:val="20"/>
                <w:lang w:val="uk-UA"/>
              </w:rPr>
              <w:t>Формула – Масштабована.</w:t>
            </w:r>
          </w:p>
          <w:p w14:paraId="6F2CE910" w14:textId="77777777" w:rsidR="00952D53" w:rsidRPr="00952D53" w:rsidRDefault="00952D53" w:rsidP="00952D53">
            <w:pPr>
              <w:rPr>
                <w:rFonts w:ascii="Times New Roman" w:eastAsia="Calibri" w:hAnsi="Times New Roman" w:cs="Calibri"/>
                <w:bCs/>
                <w:sz w:val="20"/>
                <w:lang w:val="uk-UA"/>
              </w:rPr>
            </w:pPr>
            <w:r w:rsidRPr="00952D53">
              <w:rPr>
                <w:rFonts w:ascii="Times New Roman" w:eastAsia="Calibri" w:hAnsi="Times New Roman" w:cs="Calibri"/>
                <w:bCs/>
                <w:sz w:val="20"/>
                <w:lang w:val="uk-UA"/>
              </w:rPr>
              <w:t>Виконання (i) дає право на отримання 20 відсотків від виділеної суми.</w:t>
            </w:r>
          </w:p>
          <w:p w14:paraId="28F60060"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eastAsia="Calibri" w:hAnsi="Times New Roman" w:cs="Calibri"/>
                <w:bCs/>
                <w:sz w:val="20"/>
                <w:lang w:val="uk-UA"/>
              </w:rPr>
              <w:t>Виконання (ii) дає право на 80 відсотків від виділеної суми, при цьому 5 відсотків від виділеної суми виплачуються за кожні додаткові 20 громад, що відповідають вимозі, максимум до 400 громад.</w:t>
            </w:r>
          </w:p>
        </w:tc>
      </w:tr>
      <w:tr w:rsidR="00952D53" w:rsidRPr="00952D53" w14:paraId="1129E0B7"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46154A69"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Опис</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39D47FC7" w14:textId="77777777" w:rsidR="00952D53" w:rsidRPr="00952D53" w:rsidRDefault="00952D53" w:rsidP="00952D53">
            <w:pPr>
              <w:widowControl w:val="0"/>
              <w:numPr>
                <w:ilvl w:val="0"/>
                <w:numId w:val="41"/>
              </w:numPr>
              <w:autoSpaceDE w:val="0"/>
              <w:autoSpaceDN w:val="0"/>
              <w:adjustRightInd w:val="0"/>
              <w:ind w:left="330" w:hanging="330"/>
              <w:jc w:val="both"/>
              <w:rPr>
                <w:rFonts w:ascii="Times New Roman" w:eastAsia="Calibri" w:hAnsi="Times New Roman"/>
                <w:bCs/>
                <w:sz w:val="20"/>
                <w:lang w:val="ru-RU"/>
              </w:rPr>
            </w:pPr>
            <w:r w:rsidRPr="00952D53">
              <w:rPr>
                <w:rFonts w:ascii="Times New Roman" w:eastAsia="Calibri" w:hAnsi="Times New Roman"/>
                <w:bCs/>
                <w:color w:val="000000"/>
                <w:sz w:val="20"/>
                <w:lang w:val="uk-UA"/>
              </w:rPr>
              <w:t>Громади – це територіальні громади, створені відповідно до Закону «Про місцеве самоврядування в Україні»</w:t>
            </w:r>
            <w:r w:rsidRPr="00952D53">
              <w:rPr>
                <w:rFonts w:ascii="Times New Roman" w:eastAsia="Calibri" w:hAnsi="Times New Roman"/>
                <w:bCs/>
                <w:color w:val="000000"/>
                <w:sz w:val="20"/>
                <w:lang w:val="ru-RU"/>
              </w:rPr>
              <w:t>.</w:t>
            </w:r>
          </w:p>
          <w:p w14:paraId="2836CE3C" w14:textId="77777777" w:rsidR="00952D53" w:rsidRPr="00952D53" w:rsidRDefault="00952D53" w:rsidP="00952D53">
            <w:pPr>
              <w:widowControl w:val="0"/>
              <w:numPr>
                <w:ilvl w:val="0"/>
                <w:numId w:val="41"/>
              </w:numPr>
              <w:autoSpaceDE w:val="0"/>
              <w:autoSpaceDN w:val="0"/>
              <w:adjustRightInd w:val="0"/>
              <w:ind w:left="330" w:hanging="330"/>
              <w:jc w:val="both"/>
              <w:rPr>
                <w:rFonts w:ascii="Times New Roman" w:eastAsia="Calibri" w:hAnsi="Times New Roman"/>
                <w:bCs/>
                <w:sz w:val="20"/>
                <w:lang w:val="uk-UA"/>
              </w:rPr>
            </w:pPr>
            <w:r w:rsidRPr="00952D53">
              <w:rPr>
                <w:rFonts w:ascii="Times New Roman" w:eastAsia="Calibri" w:hAnsi="Times New Roman"/>
                <w:bCs/>
                <w:sz w:val="20"/>
                <w:lang w:val="uk-UA"/>
              </w:rPr>
              <w:t>Паспорт бюджетної програми – офіційний документ, затверджений головним розпорядником коштів місцевого бюджету, що визначає цілі, завдання, заходи, показники ефективності та фінансування бюджетної програми відповідно до Бюджетного кодексу України та нормативних актів Міністерства фінансів.</w:t>
            </w:r>
          </w:p>
          <w:p w14:paraId="59929E93" w14:textId="77777777" w:rsidR="00952D53" w:rsidRPr="00952D53" w:rsidRDefault="00952D53" w:rsidP="00952D53">
            <w:pPr>
              <w:widowControl w:val="0"/>
              <w:numPr>
                <w:ilvl w:val="0"/>
                <w:numId w:val="41"/>
              </w:numPr>
              <w:autoSpaceDE w:val="0"/>
              <w:autoSpaceDN w:val="0"/>
              <w:adjustRightInd w:val="0"/>
              <w:ind w:left="330" w:hanging="330"/>
              <w:jc w:val="both"/>
              <w:rPr>
                <w:rFonts w:ascii="Times New Roman" w:eastAsia="Calibri" w:hAnsi="Times New Roman"/>
                <w:bCs/>
                <w:sz w:val="20"/>
                <w:lang w:val="uk-UA"/>
              </w:rPr>
            </w:pPr>
            <w:r w:rsidRPr="00952D53">
              <w:rPr>
                <w:rFonts w:ascii="Times New Roman" w:eastAsia="Calibri" w:hAnsi="Times New Roman"/>
                <w:bCs/>
                <w:sz w:val="20"/>
                <w:lang w:val="uk-UA"/>
              </w:rPr>
              <w:t>Звіт про виконання бюджетної програми — це щорічний звіт про виконання паспорта бюджетної програми, який готується головним розпорядником коштів місцевого бюджету та подається до відповідного місцевого органу фінансового управління після закінчення звітного фінансового року.</w:t>
            </w:r>
          </w:p>
          <w:p w14:paraId="68DA51E1" w14:textId="77777777" w:rsidR="00952D53" w:rsidRPr="00952D53" w:rsidRDefault="00952D53" w:rsidP="00952D53">
            <w:pPr>
              <w:widowControl w:val="0"/>
              <w:numPr>
                <w:ilvl w:val="0"/>
                <w:numId w:val="41"/>
              </w:numPr>
              <w:autoSpaceDE w:val="0"/>
              <w:autoSpaceDN w:val="0"/>
              <w:adjustRightInd w:val="0"/>
              <w:ind w:left="330" w:hanging="330"/>
              <w:jc w:val="both"/>
              <w:rPr>
                <w:rFonts w:ascii="Times New Roman" w:eastAsia="Calibri" w:hAnsi="Times New Roman"/>
                <w:bCs/>
                <w:sz w:val="20"/>
                <w:lang w:val="uk-UA"/>
              </w:rPr>
            </w:pPr>
            <w:r w:rsidRPr="00952D53">
              <w:rPr>
                <w:rFonts w:ascii="Times New Roman" w:eastAsia="Calibri" w:hAnsi="Times New Roman"/>
                <w:bCs/>
                <w:sz w:val="20"/>
                <w:lang w:val="uk-UA"/>
              </w:rPr>
              <w:t>Інформація щодо гендерних аспектів – це показники або аналітична інформація, що містяться в паспортах бюджетних програм або звітах про виконання бюджетних програм, які відображають цілі, результати або наслідки бюджетних програм, пов’язані з гендерними аспектами, та готуються відповідно до методології, затвердженої Міністерством фінансів.</w:t>
            </w:r>
          </w:p>
          <w:p w14:paraId="1A8414D5" w14:textId="77777777" w:rsidR="00952D53" w:rsidRPr="00952D53" w:rsidRDefault="00952D53" w:rsidP="00952D53">
            <w:pPr>
              <w:widowControl w:val="0"/>
              <w:numPr>
                <w:ilvl w:val="0"/>
                <w:numId w:val="41"/>
              </w:numPr>
              <w:autoSpaceDE w:val="0"/>
              <w:autoSpaceDN w:val="0"/>
              <w:adjustRightInd w:val="0"/>
              <w:ind w:left="330" w:hanging="330"/>
              <w:jc w:val="both"/>
              <w:rPr>
                <w:rFonts w:ascii="Times New Roman" w:eastAsia="Calibri" w:hAnsi="Times New Roman"/>
                <w:bCs/>
                <w:sz w:val="20"/>
                <w:lang w:val="uk-UA"/>
              </w:rPr>
            </w:pPr>
            <w:r w:rsidRPr="00952D53">
              <w:rPr>
                <w:rFonts w:ascii="Times New Roman" w:eastAsia="Calibri" w:hAnsi="Times New Roman"/>
                <w:bCs/>
                <w:sz w:val="20"/>
                <w:lang w:val="uk-UA"/>
              </w:rPr>
              <w:t>Методологія застосування гендерних показників – це затверджені Міністерством фінансів методологічні настанови, що визначають критерії та підхід до інтеграції гендерних показників та аналізу у процес планування та звітності щодо місцевого бюджету.</w:t>
            </w:r>
          </w:p>
          <w:p w14:paraId="581FFF07" w14:textId="77777777" w:rsidR="00952D53" w:rsidRPr="00952D53" w:rsidRDefault="00952D53" w:rsidP="00952D53">
            <w:pPr>
              <w:widowControl w:val="0"/>
              <w:numPr>
                <w:ilvl w:val="0"/>
                <w:numId w:val="41"/>
              </w:numPr>
              <w:autoSpaceDE w:val="0"/>
              <w:autoSpaceDN w:val="0"/>
              <w:adjustRightInd w:val="0"/>
              <w:ind w:left="330" w:hanging="330"/>
              <w:jc w:val="both"/>
              <w:rPr>
                <w:rFonts w:ascii="Times New Roman" w:eastAsia="Calibri" w:hAnsi="Times New Roman"/>
                <w:bCs/>
                <w:sz w:val="20"/>
                <w:lang w:val="uk-UA"/>
              </w:rPr>
            </w:pPr>
            <w:r w:rsidRPr="00952D53">
              <w:rPr>
                <w:rFonts w:ascii="Times New Roman" w:eastAsia="Calibri" w:hAnsi="Times New Roman"/>
                <w:bCs/>
                <w:sz w:val="20"/>
                <w:lang w:val="uk-UA"/>
              </w:rPr>
              <w:t>Для цілей перевірки, досягнення РПВ (ii) буде оцінюватися на основі «Паспортів бюджетних програм» та/або «Звітів про виконання бюджетних програм», підготовлених та поданих громадами у період з 1 липня 2026 року по 30 червня 2027 року.</w:t>
            </w:r>
          </w:p>
          <w:p w14:paraId="5E878C9A" w14:textId="77777777" w:rsidR="00952D53" w:rsidRPr="00952D53" w:rsidRDefault="00952D53" w:rsidP="00952D53">
            <w:pPr>
              <w:widowControl w:val="0"/>
              <w:numPr>
                <w:ilvl w:val="0"/>
                <w:numId w:val="41"/>
              </w:numPr>
              <w:autoSpaceDE w:val="0"/>
              <w:autoSpaceDN w:val="0"/>
              <w:adjustRightInd w:val="0"/>
              <w:ind w:left="330" w:hanging="330"/>
              <w:jc w:val="both"/>
              <w:rPr>
                <w:rFonts w:ascii="Arial" w:hAnsi="Arial" w:cs="Arial"/>
                <w:color w:val="000000"/>
                <w:sz w:val="20"/>
                <w:lang w:val="uk-UA"/>
              </w:rPr>
            </w:pPr>
            <w:r w:rsidRPr="00952D53">
              <w:rPr>
                <w:rFonts w:ascii="Times New Roman" w:eastAsia="Calibri" w:hAnsi="Times New Roman"/>
                <w:bCs/>
                <w:sz w:val="20"/>
                <w:lang w:val="uk-UA"/>
              </w:rPr>
              <w:t>Вважатиметься, що громада застосувала методологію, якщо принаймні один гендерний показник або аналіз включено до «Паспорта бюджетної програми» або «Звіту про виконання бюджетної програми», поданих у цей період, відповідно до затвердженої методології.</w:t>
            </w:r>
          </w:p>
        </w:tc>
      </w:tr>
      <w:tr w:rsidR="00952D53" w:rsidRPr="00952D53" w14:paraId="7F861292"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0E9E8E1F"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Джерело даних/ Агентство</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73BEF33B"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hAnsi="Times New Roman"/>
                <w:color w:val="000000"/>
                <w:sz w:val="20"/>
                <w:lang w:val="uk-UA"/>
              </w:rPr>
              <w:t>Мінфін, ОМС</w:t>
            </w:r>
          </w:p>
        </w:tc>
      </w:tr>
      <w:tr w:rsidR="00952D53" w:rsidRPr="00952D53" w14:paraId="49A56FCA"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558359DB"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lastRenderedPageBreak/>
              <w:t>Верифікаційна організація</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2B1B1947"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hAnsi="Times New Roman"/>
                <w:bCs/>
                <w:kern w:val="2"/>
                <w:sz w:val="20"/>
                <w:lang w:val="uk-UA"/>
                <w14:ligatures w14:val="standardContextual"/>
              </w:rPr>
              <w:t>Агент з верифікації</w:t>
            </w:r>
          </w:p>
        </w:tc>
      </w:tr>
      <w:tr w:rsidR="00952D53" w:rsidRPr="00952D53" w14:paraId="199AF23F"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6ABE7EA8"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290DF0EA" w14:textId="77777777" w:rsidR="00952D53" w:rsidRPr="00952D53" w:rsidRDefault="00952D53" w:rsidP="00952D53">
            <w:pPr>
              <w:numPr>
                <w:ilvl w:val="0"/>
                <w:numId w:val="39"/>
              </w:numPr>
              <w:ind w:left="341"/>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Збір даних: ГРП збере (і) офіційний документ, виданий Міністерством фінансів, що затверджує Методологію застосування гендерних показників, та (іі) паспорти бюджетних програм і звіти про виконання бюджетних програм від громад та Міністерства фінансів.</w:t>
            </w:r>
          </w:p>
          <w:p w14:paraId="16DFFA7B" w14:textId="77777777" w:rsidR="00952D53" w:rsidRPr="00952D53" w:rsidRDefault="00952D53" w:rsidP="00952D53">
            <w:pPr>
              <w:numPr>
                <w:ilvl w:val="0"/>
                <w:numId w:val="39"/>
              </w:numPr>
              <w:ind w:left="341"/>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Верифікація: НВА перевірить (і) чи затвердило Міністерство фінансів Методологію застосування гендерних показників, та (іі) чи щонайменше 400 громад застосували цю методику, включивши принаймні один гендерний показник або аналіз до паспортів бюджетних програм або звітів про виконання бюджетних програм, поданих до відповідного місцевого фінансового органу.</w:t>
            </w:r>
          </w:p>
          <w:p w14:paraId="29990060" w14:textId="77777777" w:rsidR="00952D53" w:rsidRPr="00952D53" w:rsidRDefault="00952D53" w:rsidP="00952D53">
            <w:pPr>
              <w:numPr>
                <w:ilvl w:val="0"/>
                <w:numId w:val="39"/>
              </w:numPr>
              <w:ind w:left="342" w:hanging="425"/>
              <w:contextualSpacing/>
              <w:jc w:val="both"/>
              <w:rPr>
                <w:rFonts w:ascii="Times New Roman" w:eastAsia="Calibri" w:hAnsi="Times New Roman"/>
                <w:bCs/>
                <w:kern w:val="2"/>
                <w:sz w:val="20"/>
                <w:lang w:val="uk-UA"/>
                <w14:ligatures w14:val="standardContextual"/>
              </w:rPr>
            </w:pPr>
            <w:r w:rsidRPr="00952D53">
              <w:rPr>
                <w:rFonts w:ascii="Times New Roman" w:eastAsia="Calibri" w:hAnsi="Times New Roman" w:cs="Calibri"/>
                <w:bCs/>
                <w:sz w:val="20"/>
                <w:lang w:val="uk-UA"/>
              </w:rPr>
              <w:t>Звітування: НАВ підготує верифікаційний звіт та подасть його до відповідних органів влади.</w:t>
            </w:r>
          </w:p>
          <w:p w14:paraId="6DB0257C" w14:textId="77777777" w:rsidR="00952D53" w:rsidRPr="00952D53" w:rsidRDefault="00952D53" w:rsidP="00952D53">
            <w:pPr>
              <w:ind w:left="-83"/>
              <w:contextualSpacing/>
              <w:jc w:val="both"/>
              <w:rPr>
                <w:rFonts w:ascii="Times New Roman" w:eastAsia="Calibri" w:hAnsi="Times New Roman"/>
                <w:bCs/>
                <w:kern w:val="2"/>
                <w:sz w:val="20"/>
                <w:lang w:val="uk-UA"/>
                <w14:ligatures w14:val="standardContextual"/>
              </w:rPr>
            </w:pPr>
          </w:p>
        </w:tc>
      </w:tr>
      <w:tr w:rsidR="00952D53" w:rsidRPr="00952D53" w14:paraId="293EB4B7"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684C1973"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eastAsia="Calibri" w:hAnsi="Times New Roman"/>
                <w:b/>
                <w:bCs/>
                <w:kern w:val="2"/>
                <w:szCs w:val="22"/>
                <w:lang w:val="uk-UA"/>
                <w14:ligatures w14:val="standardContextual"/>
              </w:rPr>
              <w:t>ІПВ №4</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4A794451" w14:textId="77777777" w:rsidR="00952D53" w:rsidRPr="00952D53" w:rsidRDefault="00952D53" w:rsidP="00952D53">
            <w:pPr>
              <w:widowControl w:val="0"/>
              <w:autoSpaceDE w:val="0"/>
              <w:autoSpaceDN w:val="0"/>
              <w:adjustRightInd w:val="0"/>
              <w:ind w:left="58"/>
              <w:jc w:val="both"/>
              <w:rPr>
                <w:rFonts w:ascii="Times New Roman" w:hAnsi="Times New Roman"/>
                <w:color w:val="000000"/>
                <w:sz w:val="20"/>
                <w:lang w:val="uk-UA"/>
              </w:rPr>
            </w:pPr>
            <w:r w:rsidRPr="00952D53">
              <w:rPr>
                <w:rFonts w:ascii="Times New Roman" w:eastAsia="Calibri" w:hAnsi="Times New Roman"/>
                <w:b/>
                <w:bCs/>
                <w:kern w:val="2"/>
                <w:szCs w:val="22"/>
                <w:lang w:val="uk-UA"/>
                <w14:ligatures w14:val="standardContextual"/>
              </w:rPr>
              <w:t>ДПС використовує систему управління податковими ризиками (комплаєнс-ризиками) для податкових перевірок великих платників податків</w:t>
            </w:r>
          </w:p>
        </w:tc>
      </w:tr>
      <w:tr w:rsidR="00952D53" w:rsidRPr="00952D53" w14:paraId="01A63B42"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65A7896D"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Опис</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74FF63C"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eastAsia="Calibri" w:hAnsi="Times New Roman" w:cs="Calibri"/>
                <w:sz w:val="20"/>
                <w:lang w:val="uk-UA"/>
              </w:rPr>
              <w:t>ІПВ спрямований на зміцнення доброчесності в Державній податковій службі (ДПС) та підвищення якості послуг, що надаються платникам податків. ІПВ підтримує реформи та заходи, спрямовані на підвищення прозорості, зменшення корупційних ризиків та підвищення загального рівня задоволеності платників податків. ІПВ вимірюється часткою великих платників податків, перевірених на основі інформації, сформованої в результаті впровадження системи управління податковими ризиками (комплаєнс-ризиками).</w:t>
            </w:r>
          </w:p>
        </w:tc>
      </w:tr>
      <w:tr w:rsidR="00952D53" w:rsidRPr="00952D53" w14:paraId="27584178"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613C162F"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Джерело даних/ Агентство</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592C06A7" w14:textId="77777777" w:rsidR="00952D53" w:rsidRPr="00952D53" w:rsidRDefault="00952D53" w:rsidP="00952D53">
            <w:pPr>
              <w:jc w:val="both"/>
              <w:rPr>
                <w:rFonts w:ascii="Times New Roman" w:eastAsia="Calibri" w:hAnsi="Times New Roman"/>
                <w:bCs/>
                <w:sz w:val="20"/>
                <w:lang w:val="uk-UA"/>
              </w:rPr>
            </w:pPr>
            <w:r w:rsidRPr="00952D53">
              <w:rPr>
                <w:rFonts w:ascii="Times New Roman" w:eastAsia="Calibri" w:hAnsi="Times New Roman"/>
                <w:bCs/>
                <w:sz w:val="20"/>
                <w:lang w:val="uk-UA"/>
              </w:rPr>
              <w:t>ДПС:</w:t>
            </w:r>
          </w:p>
          <w:p w14:paraId="09082A75" w14:textId="77777777" w:rsidR="00952D53" w:rsidRPr="00952D53" w:rsidRDefault="00952D53" w:rsidP="00952D53">
            <w:pPr>
              <w:numPr>
                <w:ilvl w:val="0"/>
                <w:numId w:val="39"/>
              </w:numPr>
              <w:ind w:left="342" w:hanging="425"/>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Внутрішні звіти, службові записки та документація ДПС, що описують їхні ініціативи з реформування, оновлену інформацію про прогрес та будь-які проблеми, з якими вони зіткнулися.</w:t>
            </w:r>
          </w:p>
          <w:p w14:paraId="195192AA" w14:textId="77777777" w:rsidR="00952D53" w:rsidRPr="00952D53" w:rsidRDefault="00952D53" w:rsidP="00952D53">
            <w:pPr>
              <w:numPr>
                <w:ilvl w:val="0"/>
                <w:numId w:val="39"/>
              </w:numPr>
              <w:ind w:left="342" w:hanging="425"/>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Загальнодоступні звіти, прес-релізи та оголошення ДПС та інших державних органів щодо реформ податкового адміністрування та заходів із забезпечення доброчесності.</w:t>
            </w:r>
          </w:p>
          <w:p w14:paraId="69743429" w14:textId="77777777" w:rsidR="00952D53" w:rsidRPr="00952D53" w:rsidRDefault="00952D53" w:rsidP="00952D53">
            <w:pPr>
              <w:numPr>
                <w:ilvl w:val="0"/>
                <w:numId w:val="39"/>
              </w:numPr>
              <w:ind w:left="342" w:hanging="425"/>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Обстеження, що проводяться ДПС або незалежними організаціями з метою отримання зворотного зв'язку від платників податків щодо їхнього досвіду роботи з податковими службами, сприйняття доброчесності та пропозицій щодо покращення.</w:t>
            </w:r>
          </w:p>
          <w:p w14:paraId="2A01EFC6"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p>
        </w:tc>
      </w:tr>
      <w:tr w:rsidR="00952D53" w:rsidRPr="00952D53" w14:paraId="04EA708B"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FD45774"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Верифікаційна організація</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102C0C8E"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eastAsia="Calibri" w:hAnsi="Times New Roman"/>
                <w:bCs/>
                <w:kern w:val="2"/>
                <w:sz w:val="20"/>
                <w:lang w:val="uk-UA"/>
                <w14:ligatures w14:val="standardContextual"/>
              </w:rPr>
              <w:t>Агент з верифікації</w:t>
            </w:r>
          </w:p>
        </w:tc>
      </w:tr>
      <w:tr w:rsidR="00952D53" w:rsidRPr="00952D53" w14:paraId="0051BD54"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30EC2684"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E8E5B42" w14:textId="77777777" w:rsidR="00952D53" w:rsidRPr="00952D53" w:rsidRDefault="00952D53" w:rsidP="00952D53">
            <w:pPr>
              <w:numPr>
                <w:ilvl w:val="0"/>
                <w:numId w:val="39"/>
              </w:numPr>
              <w:ind w:left="330"/>
              <w:jc w:val="both"/>
              <w:rPr>
                <w:rFonts w:ascii="Times New Roman" w:eastAsia="Calibri" w:hAnsi="Times New Roman" w:cs="Calibri"/>
                <w:bCs/>
                <w:sz w:val="20"/>
              </w:rPr>
            </w:pPr>
            <w:r w:rsidRPr="00952D53">
              <w:rPr>
                <w:rFonts w:ascii="Times New Roman" w:eastAsia="Calibri" w:hAnsi="Times New Roman" w:cs="Calibri"/>
                <w:bCs/>
                <w:sz w:val="20"/>
                <w:lang w:val="uk-UA"/>
              </w:rPr>
              <w:t>Збір даних: ГВП збере документацію з описом конкретних реформ та заходів, спрямованих на підвищення доброчесності та якості обслуговування платників податків у ДПС, а також збере дані про графік реалізації, основні етапи та виділені ресурси для цих реформ. ГВП передасть необхідну документацію до НАВ</w:t>
            </w:r>
            <w:r w:rsidRPr="00952D53">
              <w:rPr>
                <w:rFonts w:ascii="Times New Roman" w:eastAsia="Calibri" w:hAnsi="Times New Roman" w:cs="Calibri"/>
                <w:bCs/>
                <w:sz w:val="20"/>
              </w:rPr>
              <w:t xml:space="preserve">. </w:t>
            </w:r>
          </w:p>
          <w:p w14:paraId="664FF3DA" w14:textId="77777777" w:rsidR="00952D53" w:rsidRPr="00952D53" w:rsidRDefault="00952D53" w:rsidP="00952D53">
            <w:pPr>
              <w:numPr>
                <w:ilvl w:val="0"/>
                <w:numId w:val="39"/>
              </w:numPr>
              <w:ind w:left="330"/>
              <w:jc w:val="both"/>
              <w:rPr>
                <w:rFonts w:ascii="Times New Roman" w:eastAsia="Calibri" w:hAnsi="Times New Roman" w:cs="Calibri"/>
                <w:bCs/>
                <w:sz w:val="20"/>
              </w:rPr>
            </w:pPr>
            <w:r w:rsidRPr="00952D53">
              <w:rPr>
                <w:rFonts w:ascii="Times New Roman" w:eastAsia="Calibri" w:hAnsi="Times New Roman" w:cs="Calibri"/>
                <w:bCs/>
                <w:sz w:val="20"/>
                <w:lang w:val="uk-UA"/>
              </w:rPr>
              <w:t>Верифікація: НАВ проведе інтерв'ю з посадовими особами ДПС та зацікавленими сторонами для оцінки доброчесності податкового адміністрування та якості послуг, що надаються; аналізуватиме внутрішні звіти ДПС та зовнішні оцінки для оцінки прогресу в досягненні цілей ІПВ 3</w:t>
            </w:r>
            <w:r w:rsidRPr="00952D53">
              <w:rPr>
                <w:rFonts w:ascii="Times New Roman" w:eastAsia="Calibri" w:hAnsi="Times New Roman" w:cs="Calibri"/>
                <w:bCs/>
                <w:sz w:val="20"/>
              </w:rPr>
              <w:t>.</w:t>
            </w:r>
          </w:p>
          <w:p w14:paraId="244ADC39" w14:textId="77777777" w:rsidR="00952D53" w:rsidRPr="00952D53" w:rsidRDefault="00952D53" w:rsidP="00952D53">
            <w:pPr>
              <w:numPr>
                <w:ilvl w:val="0"/>
                <w:numId w:val="39"/>
              </w:numPr>
              <w:spacing w:after="160" w:line="256" w:lineRule="auto"/>
              <w:ind w:left="330"/>
              <w:contextualSpacing/>
              <w:jc w:val="both"/>
              <w:rPr>
                <w:rFonts w:ascii="Times New Roman" w:eastAsia="Calibri" w:hAnsi="Times New Roman"/>
                <w:bCs/>
                <w:kern w:val="2"/>
                <w:sz w:val="20"/>
                <w:lang w:val="uk-UA"/>
                <w14:ligatures w14:val="standardContextual"/>
              </w:rPr>
            </w:pPr>
            <w:r w:rsidRPr="00952D53">
              <w:rPr>
                <w:rFonts w:ascii="Times New Roman" w:eastAsia="Calibri" w:hAnsi="Times New Roman" w:cs="Calibri"/>
                <w:bCs/>
                <w:sz w:val="20"/>
                <w:lang w:val="uk-UA"/>
              </w:rPr>
              <w:t>Звітування: НАВ підсумує свої висновки у звіті про верифікацію з підтверджуючими доказами</w:t>
            </w:r>
            <w:r w:rsidRPr="00952D53">
              <w:rPr>
                <w:rFonts w:ascii="Times New Roman" w:eastAsia="Calibri" w:hAnsi="Times New Roman" w:cs="Calibri"/>
                <w:bCs/>
                <w:sz w:val="20"/>
                <w:lang w:val="ru-RU"/>
              </w:rPr>
              <w:t>.</w:t>
            </w:r>
          </w:p>
          <w:p w14:paraId="66EF2B01" w14:textId="77777777" w:rsidR="00952D53" w:rsidRPr="00952D53" w:rsidRDefault="00952D53" w:rsidP="00952D53">
            <w:pPr>
              <w:spacing w:after="160" w:line="256" w:lineRule="auto"/>
              <w:ind w:left="-30"/>
              <w:contextualSpacing/>
              <w:jc w:val="both"/>
              <w:rPr>
                <w:rFonts w:ascii="Times New Roman" w:eastAsia="Calibri" w:hAnsi="Times New Roman"/>
                <w:bCs/>
                <w:kern w:val="2"/>
                <w:sz w:val="20"/>
                <w:lang w:val="uk-UA"/>
                <w14:ligatures w14:val="standardContextual"/>
              </w:rPr>
            </w:pPr>
          </w:p>
        </w:tc>
      </w:tr>
      <w:tr w:rsidR="00952D53" w:rsidRPr="00952D53" w14:paraId="71D7F783"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DAEEF3"/>
            <w:tcMar>
              <w:left w:w="115" w:type="dxa"/>
              <w:right w:w="115" w:type="dxa"/>
            </w:tcMar>
            <w:vAlign w:val="center"/>
          </w:tcPr>
          <w:p w14:paraId="5AD8EB92"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РПВ 4.3</w:t>
            </w:r>
          </w:p>
        </w:tc>
        <w:tc>
          <w:tcPr>
            <w:tcW w:w="7986" w:type="dxa"/>
            <w:tcBorders>
              <w:top w:val="single" w:sz="8" w:space="0" w:color="D9D9D9"/>
              <w:left w:val="single" w:sz="8" w:space="0" w:color="D9D9D9"/>
              <w:bottom w:val="single" w:sz="8" w:space="0" w:color="D9D9D9"/>
              <w:right w:val="single" w:sz="8" w:space="0" w:color="D9D9D9"/>
            </w:tcBorders>
            <w:shd w:val="clear" w:color="auto" w:fill="DAEEF3"/>
            <w:tcMar>
              <w:left w:w="115" w:type="dxa"/>
              <w:right w:w="115" w:type="dxa"/>
            </w:tcMar>
            <w:vAlign w:val="center"/>
          </w:tcPr>
          <w:p w14:paraId="4ED238C0" w14:textId="77777777" w:rsidR="00952D53" w:rsidRPr="00952D53" w:rsidRDefault="00952D53" w:rsidP="00952D53">
            <w:pPr>
              <w:widowControl w:val="0"/>
              <w:jc w:val="both"/>
              <w:rPr>
                <w:rFonts w:ascii="Times New Roman" w:eastAsia="Calibri" w:hAnsi="Times New Roman"/>
                <w:b/>
                <w:bCs/>
                <w:kern w:val="2"/>
                <w:sz w:val="20"/>
                <w:lang w:val="uk-UA"/>
                <w14:ligatures w14:val="standardContextual"/>
              </w:rPr>
            </w:pPr>
            <w:r w:rsidRPr="00952D53">
              <w:rPr>
                <w:rFonts w:ascii="Times New Roman" w:hAnsi="Times New Roman"/>
                <w:b/>
                <w:bCs/>
                <w:kern w:val="2"/>
                <w:sz w:val="20"/>
                <w:lang w:val="uk-UA"/>
                <w14:ligatures w14:val="standardContextual"/>
              </w:rPr>
              <w:t xml:space="preserve">РПВ 4.3 </w:t>
            </w:r>
            <w:r w:rsidRPr="00952D53">
              <w:rPr>
                <w:rFonts w:ascii="Times New Roman" w:eastAsia="Calibri" w:hAnsi="Times New Roman" w:cs="Calibri"/>
                <w:b/>
                <w:bCs/>
                <w:sz w:val="20"/>
                <w:lang w:val="uk-UA"/>
              </w:rPr>
              <w:t xml:space="preserve">ДПС завершила встановлення та </w:t>
            </w:r>
            <w:r w:rsidRPr="00952D53">
              <w:rPr>
                <w:rFonts w:ascii="Times New Roman" w:eastAsia="Calibri" w:hAnsi="Times New Roman" w:cs="Calibri"/>
                <w:b/>
                <w:bCs/>
                <w:color w:val="948A54"/>
                <w:sz w:val="20"/>
                <w:lang w:val="uk-UA"/>
              </w:rPr>
              <w:t xml:space="preserve">забезпечила безперебійну роботу та </w:t>
            </w:r>
            <w:r w:rsidRPr="00952D53">
              <w:rPr>
                <w:rFonts w:ascii="Times New Roman" w:eastAsia="Calibri" w:hAnsi="Times New Roman" w:cs="Calibri"/>
                <w:b/>
                <w:bCs/>
                <w:sz w:val="20"/>
                <w:lang w:val="uk-UA"/>
              </w:rPr>
              <w:t>використання ІТ-системи, яка відповідає специфікаціям для обробки облікових даних між платниками податків та ДПС з використанням стандартного аудиторського файлу (SAF-T UA).</w:t>
            </w:r>
          </w:p>
        </w:tc>
      </w:tr>
      <w:tr w:rsidR="00952D53" w:rsidRPr="00952D53" w14:paraId="4448C47F"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053F4DA9"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Формула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893039D" w14:textId="77777777" w:rsidR="00952D53" w:rsidRPr="00952D53" w:rsidRDefault="00952D53" w:rsidP="00952D53">
            <w:pPr>
              <w:rPr>
                <w:rFonts w:ascii="Times New Roman" w:eastAsia="Calibri" w:hAnsi="Times New Roman" w:cs="Calibri"/>
                <w:bCs/>
                <w:sz w:val="20"/>
                <w:lang w:val="uk-UA"/>
              </w:rPr>
            </w:pPr>
            <w:r w:rsidRPr="00952D53">
              <w:rPr>
                <w:rFonts w:ascii="Times New Roman" w:eastAsia="Calibri" w:hAnsi="Times New Roman" w:cs="Calibri"/>
                <w:bCs/>
                <w:sz w:val="20"/>
                <w:lang w:val="uk-UA"/>
              </w:rPr>
              <w:t>Не масштабується.</w:t>
            </w:r>
          </w:p>
          <w:p w14:paraId="6AFE9937" w14:textId="77777777" w:rsidR="00952D53" w:rsidRPr="00952D53" w:rsidRDefault="00952D53" w:rsidP="00952D53">
            <w:pPr>
              <w:jc w:val="both"/>
              <w:rPr>
                <w:rFonts w:ascii="Times New Roman" w:hAnsi="Times New Roman"/>
                <w:color w:val="000000"/>
                <w:sz w:val="20"/>
                <w:lang w:val="uk-UA"/>
              </w:rPr>
            </w:pPr>
            <w:r w:rsidRPr="00952D53">
              <w:rPr>
                <w:rFonts w:ascii="Times New Roman" w:eastAsia="Calibri" w:hAnsi="Times New Roman" w:cs="Calibri"/>
                <w:bCs/>
                <w:sz w:val="20"/>
                <w:lang w:val="uk-UA"/>
              </w:rPr>
              <w:t>Вважається досягнутим, якщо ІТ-система впроваджена, введена в експлуатацію та функціонує на постійній основі протягом звітного періоду, включаючи успішне отримання та обробку файлів SAF-T UA відповідно до технічних специфікацій.</w:t>
            </w:r>
          </w:p>
        </w:tc>
      </w:tr>
      <w:tr w:rsidR="00952D53" w:rsidRPr="00952D53" w14:paraId="02480CF4"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36A71D2B"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Опис</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4416DD14" w14:textId="77777777" w:rsidR="00952D53" w:rsidRPr="00952D53" w:rsidRDefault="00952D53" w:rsidP="00952D53">
            <w:pPr>
              <w:numPr>
                <w:ilvl w:val="0"/>
                <w:numId w:val="39"/>
              </w:numPr>
              <w:spacing w:after="160" w:line="256" w:lineRule="auto"/>
              <w:ind w:left="33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 xml:space="preserve">Стандартний аудиторський файл (SAF) — це стандартизований формат для електронного обміну бухгалтерськими даними між платниками податків та податковими органами. SAF-T UA є українською версією формату SAF. Мінімальна </w:t>
            </w:r>
            <w:r w:rsidRPr="00952D53">
              <w:rPr>
                <w:rFonts w:ascii="Times New Roman" w:eastAsia="Calibri" w:hAnsi="Times New Roman" w:cs="Calibri"/>
                <w:bCs/>
                <w:sz w:val="20"/>
                <w:lang w:val="uk-UA"/>
              </w:rPr>
              <w:lastRenderedPageBreak/>
              <w:t>функціональність ІТ-рішення повинна включати можливість ефективно обробляти, зберігати та аналізувати дані SAF-T UA. Вона також повинна надавати функції перевірки даних, виявлення помилок та звітності.</w:t>
            </w:r>
          </w:p>
          <w:p w14:paraId="3C2C15AB" w14:textId="77777777" w:rsidR="00952D53" w:rsidRPr="00952D53" w:rsidRDefault="00952D53" w:rsidP="00952D53">
            <w:pPr>
              <w:numPr>
                <w:ilvl w:val="0"/>
                <w:numId w:val="39"/>
              </w:numPr>
              <w:spacing w:after="160" w:line="256" w:lineRule="auto"/>
              <w:ind w:left="330"/>
              <w:contextualSpacing/>
              <w:jc w:val="both"/>
              <w:rPr>
                <w:rFonts w:ascii="Times New Roman" w:hAnsi="Times New Roman"/>
                <w:color w:val="000000"/>
                <w:sz w:val="20"/>
                <w:lang w:val="uk-UA"/>
              </w:rPr>
            </w:pPr>
            <w:r w:rsidRPr="00952D53">
              <w:rPr>
                <w:rFonts w:ascii="Times New Roman" w:eastAsia="Calibri" w:hAnsi="Times New Roman" w:cs="Calibri"/>
                <w:bCs/>
                <w:sz w:val="20"/>
                <w:lang w:val="uk-UA"/>
              </w:rPr>
              <w:t>Встановлення ІТ-рішення вважається завершеним, коли система офіційно введена в експлуатацію та використовується Державною податковою службою і постійно обробляє дані SAF-T UA протягом звітного періоду.</w:t>
            </w:r>
          </w:p>
        </w:tc>
      </w:tr>
      <w:tr w:rsidR="00952D53" w:rsidRPr="00952D53" w14:paraId="0EA9737E"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2125993A"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lastRenderedPageBreak/>
              <w:t>Джерело даних/ Агентство</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3A73FC79" w14:textId="77777777" w:rsidR="00952D53" w:rsidRPr="00952D53" w:rsidRDefault="00952D53" w:rsidP="00952D53">
            <w:pPr>
              <w:jc w:val="both"/>
              <w:rPr>
                <w:rFonts w:ascii="Times New Roman" w:hAnsi="Times New Roman"/>
                <w:color w:val="000000"/>
                <w:sz w:val="20"/>
                <w:lang w:val="uk-UA"/>
              </w:rPr>
            </w:pPr>
            <w:r w:rsidRPr="00952D53">
              <w:rPr>
                <w:rFonts w:ascii="Times New Roman" w:hAnsi="Times New Roman"/>
                <w:color w:val="000000"/>
                <w:sz w:val="20"/>
                <w:lang w:val="uk-UA"/>
              </w:rPr>
              <w:t xml:space="preserve">Державна податкова служба </w:t>
            </w:r>
          </w:p>
        </w:tc>
      </w:tr>
      <w:tr w:rsidR="00952D53" w:rsidRPr="00952D53" w14:paraId="10EF5BA3"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15C071D5"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Верифікаційна організаціяя</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12DBAFAE" w14:textId="77777777" w:rsidR="00952D53" w:rsidRPr="00952D53" w:rsidRDefault="00952D53" w:rsidP="00952D53">
            <w:pPr>
              <w:jc w:val="both"/>
              <w:rPr>
                <w:rFonts w:ascii="Times New Roman" w:hAnsi="Times New Roman"/>
                <w:color w:val="000000"/>
                <w:sz w:val="20"/>
                <w:lang w:val="uk-UA"/>
              </w:rPr>
            </w:pPr>
            <w:r w:rsidRPr="00952D53">
              <w:rPr>
                <w:rFonts w:ascii="Times New Roman" w:hAnsi="Times New Roman"/>
                <w:sz w:val="20"/>
                <w:lang w:val="uk-UA"/>
              </w:rPr>
              <w:t>Агент з верифікації</w:t>
            </w:r>
          </w:p>
        </w:tc>
      </w:tr>
      <w:tr w:rsidR="00952D53" w:rsidRPr="00952D53" w14:paraId="249D4E73"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499B433F" w14:textId="77777777" w:rsidR="00952D53" w:rsidRPr="00952D53" w:rsidRDefault="00952D53" w:rsidP="00952D53">
            <w:pPr>
              <w:spacing w:line="254" w:lineRule="auto"/>
              <w:ind w:left="90"/>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46FA937" w14:textId="77777777" w:rsidR="00952D53" w:rsidRPr="00952D53" w:rsidRDefault="00952D53" w:rsidP="00952D53">
            <w:pPr>
              <w:numPr>
                <w:ilvl w:val="0"/>
                <w:numId w:val="39"/>
              </w:numPr>
              <w:spacing w:after="160" w:line="256" w:lineRule="auto"/>
              <w:ind w:left="33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Збір даних: ГРП збиратиме у Державній податковій службі документацію щодо системи, включаючи специфікації SAF-T UA, інструкції з експлуатації, системні журнали та підтвердження успішного отримання та обробки файлів SAF-T UA протягом звітного періоду.</w:t>
            </w:r>
          </w:p>
          <w:p w14:paraId="2ABBA150" w14:textId="77777777" w:rsidR="00952D53" w:rsidRPr="00952D53" w:rsidRDefault="00952D53" w:rsidP="00952D53">
            <w:pPr>
              <w:numPr>
                <w:ilvl w:val="0"/>
                <w:numId w:val="39"/>
              </w:numPr>
              <w:spacing w:after="160" w:line="256" w:lineRule="auto"/>
              <w:ind w:left="33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Верифікація: НВА перевірить, чи система працює та чи відповідає вона необхідним специфікаціям, шляхом перегляду системної документації, вихідних даних системи та доказів отримання та обробки файлів SAF-T UA, а також шляхом демонстрації функціональності системи.</w:t>
            </w:r>
          </w:p>
          <w:p w14:paraId="7B2836FA" w14:textId="77777777" w:rsidR="00952D53" w:rsidRPr="00952D53" w:rsidRDefault="00952D53" w:rsidP="00952D53">
            <w:pPr>
              <w:numPr>
                <w:ilvl w:val="0"/>
                <w:numId w:val="39"/>
              </w:numPr>
              <w:spacing w:after="160" w:line="256" w:lineRule="auto"/>
              <w:ind w:left="330"/>
              <w:contextualSpacing/>
              <w:jc w:val="both"/>
              <w:rPr>
                <w:rFonts w:ascii="Times New Roman" w:hAnsi="Times New Roman"/>
                <w:color w:val="000000"/>
                <w:sz w:val="20"/>
                <w:lang w:val="uk-UA"/>
              </w:rPr>
            </w:pPr>
            <w:r w:rsidRPr="00952D53">
              <w:rPr>
                <w:rFonts w:ascii="Times New Roman" w:eastAsia="Calibri" w:hAnsi="Times New Roman" w:cs="Calibri"/>
                <w:bCs/>
                <w:sz w:val="20"/>
                <w:lang w:val="uk-UA"/>
              </w:rPr>
              <w:t>Звітування: НАВ підготує верифікаційний звіт з висновками та підтверджуючими доказами і подасть його Мінфіну на розгляд.</w:t>
            </w:r>
          </w:p>
          <w:p w14:paraId="50D20882" w14:textId="77777777" w:rsidR="00952D53" w:rsidRPr="00952D53" w:rsidRDefault="00952D53" w:rsidP="00952D53">
            <w:pPr>
              <w:spacing w:after="160" w:line="256" w:lineRule="auto"/>
              <w:ind w:left="-30"/>
              <w:contextualSpacing/>
              <w:jc w:val="both"/>
              <w:rPr>
                <w:rFonts w:ascii="Times New Roman" w:hAnsi="Times New Roman"/>
                <w:color w:val="000000"/>
                <w:sz w:val="20"/>
                <w:lang w:val="uk-UA"/>
              </w:rPr>
            </w:pPr>
          </w:p>
        </w:tc>
      </w:tr>
      <w:tr w:rsidR="00952D53" w:rsidRPr="00952D53" w14:paraId="032063FA"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41D768D8"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РПВ 4.4</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7FDE02DA" w14:textId="77777777" w:rsidR="00952D53" w:rsidRPr="00952D53" w:rsidRDefault="00952D53" w:rsidP="00952D53">
            <w:pPr>
              <w:widowControl w:val="0"/>
              <w:jc w:val="both"/>
              <w:rPr>
                <w:rFonts w:ascii="Times New Roman" w:hAnsi="Times New Roman"/>
                <w:b/>
                <w:bCs/>
                <w:kern w:val="2"/>
                <w:sz w:val="20"/>
                <w:lang w:val="uk-UA"/>
                <w14:ligatures w14:val="standardContextual"/>
              </w:rPr>
            </w:pPr>
            <w:r w:rsidRPr="00952D53">
              <w:rPr>
                <w:rFonts w:ascii="Times New Roman" w:hAnsi="Times New Roman"/>
                <w:b/>
                <w:bCs/>
                <w:kern w:val="2"/>
                <w:sz w:val="20"/>
                <w:lang w:val="uk-UA"/>
                <w14:ligatures w14:val="standardContextual"/>
              </w:rPr>
              <w:t>Державна податкова служба оприлюднила План цифрового розвитку, узгоджений з Національною стратегією доходів</w:t>
            </w:r>
          </w:p>
        </w:tc>
      </w:tr>
      <w:tr w:rsidR="00952D53" w:rsidRPr="00952D53" w14:paraId="2BD54149"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0CA82E30"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Формула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2B009C0B" w14:textId="77777777" w:rsidR="00952D53" w:rsidRPr="00952D53" w:rsidRDefault="00952D53" w:rsidP="00952D53">
            <w:pPr>
              <w:rPr>
                <w:rFonts w:ascii="Times New Roman" w:eastAsia="Calibri" w:hAnsi="Times New Roman"/>
                <w:sz w:val="20"/>
                <w:lang w:val="uk-UA"/>
              </w:rPr>
            </w:pPr>
            <w:r w:rsidRPr="00952D53">
              <w:rPr>
                <w:rFonts w:ascii="Times New Roman" w:eastAsia="Calibri" w:hAnsi="Times New Roman"/>
                <w:sz w:val="20"/>
                <w:lang w:val="uk-UA"/>
              </w:rPr>
              <w:t>Не масштабується.</w:t>
            </w:r>
          </w:p>
          <w:p w14:paraId="516F09BC" w14:textId="77777777" w:rsidR="00952D53" w:rsidRPr="00952D53" w:rsidRDefault="00952D53" w:rsidP="00952D53">
            <w:pPr>
              <w:contextualSpacing/>
              <w:jc w:val="both"/>
              <w:rPr>
                <w:rFonts w:ascii="Times New Roman" w:eastAsia="Calibri" w:hAnsi="Times New Roman"/>
                <w:sz w:val="20"/>
                <w:lang w:val="uk-UA"/>
              </w:rPr>
            </w:pPr>
            <w:r w:rsidRPr="00952D53">
              <w:rPr>
                <w:rFonts w:ascii="Times New Roman" w:eastAsia="Calibri" w:hAnsi="Times New Roman"/>
                <w:sz w:val="20"/>
                <w:lang w:val="uk-UA"/>
              </w:rPr>
              <w:t>Досягнуто, якщо Плану цифрового розвитку затверджено та опубліковано.</w:t>
            </w:r>
          </w:p>
        </w:tc>
      </w:tr>
      <w:tr w:rsidR="00952D53" w:rsidRPr="00952D53" w14:paraId="5086F8E6"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2F36505B"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Опис</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51B58DCC" w14:textId="77777777" w:rsidR="00952D53" w:rsidRPr="00952D53" w:rsidRDefault="00952D53" w:rsidP="00952D53">
            <w:pPr>
              <w:numPr>
                <w:ilvl w:val="0"/>
                <w:numId w:val="40"/>
              </w:numPr>
              <w:ind w:left="342" w:hanging="426"/>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План цифрового розвитку — це стратегічний документ, що окреслює цифрову трансформацію систем адміністрування податків та розвиток інфраструктури інформаційних технологій, які використовує Державна податкова служба.</w:t>
            </w:r>
          </w:p>
          <w:p w14:paraId="3D0DA3AD" w14:textId="77777777" w:rsidR="00952D53" w:rsidRPr="00952D53" w:rsidRDefault="00952D53" w:rsidP="00952D53">
            <w:pPr>
              <w:numPr>
                <w:ilvl w:val="0"/>
                <w:numId w:val="40"/>
              </w:numPr>
              <w:ind w:left="342" w:hanging="426"/>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План відображає пріоритети Національної стратегії доходів.</w:t>
            </w:r>
          </w:p>
          <w:p w14:paraId="4F4CF226" w14:textId="77777777" w:rsidR="00952D53" w:rsidRPr="00952D53" w:rsidRDefault="00952D53" w:rsidP="00952D53">
            <w:pPr>
              <w:numPr>
                <w:ilvl w:val="0"/>
                <w:numId w:val="40"/>
              </w:numPr>
              <w:ind w:left="342" w:hanging="426"/>
              <w:contextualSpacing/>
              <w:jc w:val="both"/>
              <w:rPr>
                <w:rFonts w:ascii="Times New Roman" w:hAnsi="Times New Roman"/>
                <w:sz w:val="20"/>
                <w:lang w:val="uk-UA"/>
              </w:rPr>
            </w:pPr>
            <w:r w:rsidRPr="00952D53">
              <w:rPr>
                <w:rFonts w:ascii="Times New Roman" w:eastAsia="Calibri" w:hAnsi="Times New Roman" w:cs="Calibri"/>
                <w:bCs/>
                <w:sz w:val="20"/>
                <w:lang w:val="uk-UA"/>
              </w:rPr>
              <w:t>У Плані описано ключові пріоритети цифрової трансформації податкового адміністрування, зокрема аналітичні системи для забезпечення дотримання податкового законодавства, інтеграцію даних з урядовими системами та модернізацію послуг для платників податків.</w:t>
            </w:r>
          </w:p>
          <w:p w14:paraId="55F26E86" w14:textId="77777777" w:rsidR="00952D53" w:rsidRPr="00952D53" w:rsidRDefault="00952D53" w:rsidP="00952D53">
            <w:pPr>
              <w:widowControl w:val="0"/>
              <w:numPr>
                <w:ilvl w:val="0"/>
                <w:numId w:val="40"/>
              </w:numPr>
              <w:autoSpaceDE w:val="0"/>
              <w:autoSpaceDN w:val="0"/>
              <w:adjustRightInd w:val="0"/>
              <w:ind w:left="342" w:hanging="426"/>
              <w:jc w:val="both"/>
              <w:rPr>
                <w:rFonts w:ascii="Times New Roman" w:eastAsia="Calibri" w:hAnsi="Times New Roman"/>
                <w:sz w:val="20"/>
                <w:lang w:val="uk-UA"/>
              </w:rPr>
            </w:pPr>
            <w:r w:rsidRPr="00952D53">
              <w:rPr>
                <w:rFonts w:ascii="Times New Roman" w:hAnsi="Times New Roman"/>
                <w:sz w:val="20"/>
                <w:lang w:val="uk-UA"/>
              </w:rPr>
              <w:t>Опублікування означає розміщення документа на офіційному веб-сайті Державної податкової служби або Міністерства фінансів.</w:t>
            </w:r>
          </w:p>
        </w:tc>
      </w:tr>
      <w:tr w:rsidR="00952D53" w:rsidRPr="00952D53" w14:paraId="620BD159"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650770CF"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Джерело даних / Агентство</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97FAC8F"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hAnsi="Times New Roman"/>
                <w:color w:val="000000"/>
                <w:sz w:val="20"/>
                <w:lang w:val="uk-UA"/>
              </w:rPr>
              <w:t>ДПС</w:t>
            </w:r>
          </w:p>
        </w:tc>
      </w:tr>
      <w:tr w:rsidR="00952D53" w:rsidRPr="00952D53" w14:paraId="1DD09366"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A6B36A5"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Верифікаційна організація</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7E1C46AF"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hAnsi="Times New Roman"/>
                <w:color w:val="000000"/>
                <w:sz w:val="20"/>
                <w:lang w:val="uk-UA"/>
              </w:rPr>
              <w:t>Агент з верифікації</w:t>
            </w:r>
          </w:p>
        </w:tc>
      </w:tr>
      <w:tr w:rsidR="00952D53" w:rsidRPr="00952D53" w14:paraId="5E423392"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65B37237"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303190BB" w14:textId="77777777" w:rsidR="00952D53" w:rsidRPr="00952D53" w:rsidRDefault="00952D53" w:rsidP="00952D53">
            <w:pPr>
              <w:numPr>
                <w:ilvl w:val="0"/>
                <w:numId w:val="42"/>
              </w:numPr>
              <w:ind w:left="331" w:hanging="270"/>
              <w:contextualSpacing/>
              <w:jc w:val="both"/>
              <w:rPr>
                <w:rFonts w:ascii="Times New Roman" w:hAnsi="Times New Roman"/>
                <w:sz w:val="20"/>
                <w:lang w:val="ru-RU"/>
              </w:rPr>
            </w:pPr>
            <w:r w:rsidRPr="00952D53">
              <w:rPr>
                <w:rFonts w:ascii="Times New Roman" w:hAnsi="Times New Roman"/>
                <w:sz w:val="20"/>
                <w:lang w:val="uk-UA"/>
              </w:rPr>
              <w:t>Збір даних: ГРП збере План цифрового розвитку, офіційний наказ про затвердження документа та докази його опублікування на веб-сайті Державної податкової служби або Міністерства фінансів</w:t>
            </w:r>
            <w:r w:rsidRPr="00952D53">
              <w:rPr>
                <w:rFonts w:ascii="Times New Roman" w:hAnsi="Times New Roman"/>
                <w:sz w:val="20"/>
                <w:lang w:val="ru-RU"/>
              </w:rPr>
              <w:t>.</w:t>
            </w:r>
          </w:p>
          <w:p w14:paraId="788A2D39" w14:textId="77777777" w:rsidR="00952D53" w:rsidRPr="00952D53" w:rsidRDefault="00952D53" w:rsidP="00952D53">
            <w:pPr>
              <w:numPr>
                <w:ilvl w:val="0"/>
                <w:numId w:val="42"/>
              </w:numPr>
              <w:ind w:left="331" w:hanging="270"/>
              <w:contextualSpacing/>
              <w:jc w:val="both"/>
              <w:rPr>
                <w:rFonts w:ascii="Times New Roman" w:hAnsi="Times New Roman"/>
                <w:sz w:val="20"/>
                <w:lang w:val="ru-RU"/>
              </w:rPr>
            </w:pPr>
            <w:r w:rsidRPr="00952D53">
              <w:rPr>
                <w:rFonts w:ascii="Times New Roman" w:eastAsia="Calibri" w:hAnsi="Times New Roman" w:cs="Calibri"/>
                <w:bCs/>
                <w:sz w:val="20"/>
                <w:lang w:val="uk-UA"/>
              </w:rPr>
              <w:t>Верифікація</w:t>
            </w:r>
            <w:r w:rsidRPr="00952D53">
              <w:rPr>
                <w:rFonts w:ascii="Times New Roman" w:hAnsi="Times New Roman"/>
                <w:sz w:val="20"/>
                <w:lang w:val="ru-RU"/>
              </w:rPr>
              <w:t xml:space="preserve"> </w:t>
            </w:r>
            <w:r w:rsidRPr="00952D53">
              <w:rPr>
                <w:rFonts w:ascii="Times New Roman" w:hAnsi="Times New Roman"/>
                <w:sz w:val="20"/>
              </w:rPr>
              <w:t>Verification</w:t>
            </w:r>
            <w:r w:rsidRPr="00952D53">
              <w:rPr>
                <w:rFonts w:ascii="Times New Roman" w:hAnsi="Times New Roman"/>
                <w:sz w:val="20"/>
                <w:lang w:val="ru-RU"/>
              </w:rPr>
              <w:t xml:space="preserve">: </w:t>
            </w:r>
            <w:r w:rsidRPr="00952D53">
              <w:rPr>
                <w:rFonts w:ascii="Times New Roman" w:hAnsi="Times New Roman"/>
                <w:sz w:val="20"/>
                <w:lang w:val="uk-UA"/>
              </w:rPr>
              <w:t>НВА перевірить, чи План цифрового розвитку було офіційно затверджено та опубліковано, а також чи містить він посилання на узгодженість із Національною стратегією доходів</w:t>
            </w:r>
            <w:r w:rsidRPr="00952D53">
              <w:rPr>
                <w:rFonts w:ascii="Times New Roman" w:hAnsi="Times New Roman"/>
                <w:sz w:val="20"/>
                <w:lang w:val="ru-RU"/>
              </w:rPr>
              <w:t>.</w:t>
            </w:r>
          </w:p>
          <w:p w14:paraId="67F5D4FF" w14:textId="77777777" w:rsidR="00952D53" w:rsidRPr="00952D53" w:rsidRDefault="00952D53" w:rsidP="00952D53">
            <w:pPr>
              <w:numPr>
                <w:ilvl w:val="0"/>
                <w:numId w:val="42"/>
              </w:numPr>
              <w:ind w:left="331" w:hanging="27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Звітування: НАВ підготує верифікаційний звіт з висновками та підтверджуючими доказами і подасть його до Мінфіну на розгляд.</w:t>
            </w:r>
          </w:p>
          <w:p w14:paraId="5CF92D0D" w14:textId="77777777" w:rsidR="00952D53" w:rsidRPr="00952D53" w:rsidRDefault="00952D53" w:rsidP="00952D53">
            <w:pPr>
              <w:ind w:left="39"/>
              <w:contextualSpacing/>
              <w:jc w:val="both"/>
              <w:rPr>
                <w:rFonts w:ascii="Times New Roman" w:hAnsi="Times New Roman"/>
                <w:sz w:val="20"/>
                <w:lang w:val="uk-UA"/>
              </w:rPr>
            </w:pPr>
          </w:p>
        </w:tc>
      </w:tr>
      <w:tr w:rsidR="00952D53" w:rsidRPr="00952D53" w14:paraId="793F0D54"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2CC15ECD"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РПВ 4.5</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115EB47E" w14:textId="77777777" w:rsidR="00952D53" w:rsidRPr="00952D53" w:rsidRDefault="00952D53" w:rsidP="00952D53">
            <w:pPr>
              <w:jc w:val="both"/>
              <w:rPr>
                <w:rFonts w:ascii="Times New Roman" w:eastAsia="Calibri" w:hAnsi="Times New Roman"/>
                <w:b/>
                <w:sz w:val="20"/>
                <w:lang w:val="uk-UA"/>
              </w:rPr>
            </w:pPr>
            <w:r w:rsidRPr="00952D53">
              <w:rPr>
                <w:rFonts w:ascii="Times New Roman" w:eastAsia="Calibri" w:hAnsi="Times New Roman"/>
                <w:b/>
                <w:sz w:val="20"/>
                <w:lang w:val="uk-UA"/>
              </w:rPr>
              <w:t xml:space="preserve">РПВ 4.5 </w:t>
            </w:r>
            <w:r w:rsidRPr="00952D53">
              <w:rPr>
                <w:rFonts w:ascii="Times New Roman" w:hAnsi="Times New Roman"/>
                <w:b/>
                <w:sz w:val="20"/>
                <w:lang w:val="uk-UA"/>
              </w:rPr>
              <w:t>ДПС використала дані, отримані в результаті впровадження системи управління податковими ризиками (комплаєнс-ризиками) для відбору 60 відсотків перевірок великих платників податків, включених до річного плану (графіку) перевірок.</w:t>
            </w:r>
          </w:p>
        </w:tc>
      </w:tr>
      <w:tr w:rsidR="00952D53" w:rsidRPr="00952D53" w14:paraId="07F4EDA0"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02EF3B44"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Формула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2EC15AF9" w14:textId="77777777" w:rsidR="00952D53" w:rsidRPr="00952D53" w:rsidRDefault="00952D53" w:rsidP="00952D53">
            <w:pPr>
              <w:rPr>
                <w:rFonts w:ascii="Calibri" w:eastAsia="MS Mincho" w:hAnsi="Calibri" w:cs="Latha"/>
                <w:sz w:val="20"/>
                <w:lang w:val="uk-UA"/>
              </w:rPr>
            </w:pPr>
            <w:r w:rsidRPr="00952D53">
              <w:rPr>
                <w:rFonts w:ascii="Calibri" w:eastAsia="MS Mincho" w:hAnsi="Calibri" w:cs="Latha"/>
                <w:sz w:val="20"/>
                <w:lang w:val="uk-UA"/>
              </w:rPr>
              <w:t xml:space="preserve">Масштабована. </w:t>
            </w:r>
          </w:p>
          <w:p w14:paraId="4ACBCFEF" w14:textId="77777777" w:rsidR="00952D53" w:rsidRPr="00952D53" w:rsidRDefault="00952D53" w:rsidP="00952D53">
            <w:pPr>
              <w:jc w:val="both"/>
              <w:rPr>
                <w:rFonts w:ascii="Times New Roman" w:hAnsi="Times New Roman"/>
                <w:bCs/>
                <w:iCs/>
                <w:sz w:val="20"/>
                <w:lang w:val="uk-UA" w:eastAsia="uk-UA"/>
              </w:rPr>
            </w:pPr>
            <w:r w:rsidRPr="00952D53">
              <w:rPr>
                <w:rFonts w:ascii="Calibri" w:eastAsia="MS Mincho" w:hAnsi="Calibri" w:cs="Latha"/>
                <w:sz w:val="20"/>
                <w:lang w:val="uk-UA"/>
              </w:rPr>
              <w:lastRenderedPageBreak/>
              <w:t>Виплати за цим РПВ здійснюватимуться на основі частки перевірок великих платників податків у затвердженому річному плані перевірок (графіку) на зазначений фінансовий рік, які відібрано з використанням даних системи управління ризиками дотримання вимог податкового законодавства. Одна третина виділеної суми виплачується після досягнення щонайменше 20 відсотків; дві третини — після досягнення щонайменше 40 відсотків, а повна виділена сума — після досягнення щонайменше 60 відсотків. Усі порогові значення оцінюються в рамках одного й того ж річного плану аудиту (графіку).</w:t>
            </w:r>
          </w:p>
        </w:tc>
      </w:tr>
      <w:tr w:rsidR="00952D53" w:rsidRPr="00952D53" w14:paraId="1478B2FA"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5A4CD8E2"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lastRenderedPageBreak/>
              <w:t>Опис</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51293410" w14:textId="77777777" w:rsidR="00952D53" w:rsidRPr="00952D53" w:rsidRDefault="00952D53" w:rsidP="00952D53">
            <w:pPr>
              <w:numPr>
                <w:ilvl w:val="0"/>
                <w:numId w:val="42"/>
              </w:numPr>
              <w:ind w:left="331" w:hanging="27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 xml:space="preserve">Система управління податковими ризиками — це система, яку використовує Державна податкова служба для виявлення, оцінки та визначення пріоритетності ризиків недотримання податкового законодавства платниками податків, а також для підтримки відбору об’єктів аудиту. </w:t>
            </w:r>
          </w:p>
          <w:p w14:paraId="34BF1B1C" w14:textId="77777777" w:rsidR="00952D53" w:rsidRPr="00952D53" w:rsidRDefault="00952D53" w:rsidP="00952D53">
            <w:pPr>
              <w:numPr>
                <w:ilvl w:val="0"/>
                <w:numId w:val="42"/>
              </w:numPr>
              <w:ind w:left="331" w:hanging="27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Відповідно до чинного Податкового кодексу України, «великий платник податків» — це юридична особа або постійне представництво нерезидента в Україні, у якої обсяг доходу від усіх видів діяльності за останні чотири послідовні податкові (звітні) квартали перевищує еквівалент 50 млн євро, або загальна сума сплачених нею податків перевищує 1,5 млн євро, як визначено в Податковому кодексі.</w:t>
            </w:r>
          </w:p>
          <w:p w14:paraId="227FDE16" w14:textId="77777777" w:rsidR="00952D53" w:rsidRPr="00952D53" w:rsidRDefault="00952D53" w:rsidP="00952D53">
            <w:pPr>
              <w:numPr>
                <w:ilvl w:val="0"/>
                <w:numId w:val="42"/>
              </w:numPr>
              <w:ind w:left="331" w:hanging="27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Частка розраховується як відношення кількості перевірок великих платників податків, відібраних з використанням даних системи управління податковими ризиками до загальної кількості перевірок великих платників податків, включених до річного плану (графіку) перевірок на відповідний рік.</w:t>
            </w:r>
          </w:p>
          <w:p w14:paraId="1E77AE76" w14:textId="77777777" w:rsidR="00952D53" w:rsidRPr="00952D53" w:rsidRDefault="00952D53" w:rsidP="00952D53">
            <w:pPr>
              <w:numPr>
                <w:ilvl w:val="0"/>
                <w:numId w:val="42"/>
              </w:numPr>
              <w:ind w:left="331" w:hanging="27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Для цілей перевірки досягнення за цим РПВ оцінюватимуться на основі річного плану (графіку) перевірок за один фінансовий рік, який має бути виконаний до грудня 2026 року. Частка розраховуватиметься з використанням затвердженого річного плану (графіку) перевірок лише за цей рік, без агрегування за кілька років.</w:t>
            </w:r>
          </w:p>
          <w:p w14:paraId="706CAEBE" w14:textId="77777777" w:rsidR="00952D53" w:rsidRPr="00952D53" w:rsidRDefault="00952D53" w:rsidP="00952D53">
            <w:pPr>
              <w:numPr>
                <w:ilvl w:val="0"/>
                <w:numId w:val="42"/>
              </w:numPr>
              <w:ind w:left="331" w:hanging="270"/>
              <w:contextualSpacing/>
              <w:jc w:val="both"/>
              <w:rPr>
                <w:rFonts w:ascii="Times New Roman" w:hAnsi="Times New Roman"/>
                <w:color w:val="000000"/>
                <w:sz w:val="20"/>
                <w:lang w:val="uk-UA"/>
              </w:rPr>
            </w:pPr>
            <w:r w:rsidRPr="00952D53">
              <w:rPr>
                <w:rFonts w:ascii="Times New Roman" w:eastAsia="Calibri" w:hAnsi="Times New Roman" w:cs="Calibri"/>
                <w:bCs/>
                <w:sz w:val="20"/>
                <w:lang w:val="uk-UA"/>
              </w:rPr>
              <w:t>Виплати здійснюються на основі найвищого рівня досягнення, досягнутого в рамках РПВ протягом періоду реалізації Програми, виміряного відповідно до річного плану (графіку) аудиту для зазначеного фінансового року.</w:t>
            </w:r>
          </w:p>
        </w:tc>
      </w:tr>
      <w:tr w:rsidR="00952D53" w:rsidRPr="00952D53" w14:paraId="3D6A0BC3"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7576CF59"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Джерело даних / Агентство</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9FD81D1"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hAnsi="Times New Roman"/>
                <w:color w:val="000000"/>
                <w:sz w:val="20"/>
                <w:lang w:val="uk-UA"/>
              </w:rPr>
              <w:t>Державна податкова служба</w:t>
            </w:r>
          </w:p>
        </w:tc>
      </w:tr>
      <w:tr w:rsidR="00952D53" w:rsidRPr="00952D53" w14:paraId="4D910F8A"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285213B4"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Верифікаційна організація</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6FCAAE63" w14:textId="77777777" w:rsidR="00952D53" w:rsidRPr="00952D53" w:rsidRDefault="00952D53" w:rsidP="00952D53">
            <w:pPr>
              <w:widowControl w:val="0"/>
              <w:autoSpaceDE w:val="0"/>
              <w:autoSpaceDN w:val="0"/>
              <w:adjustRightInd w:val="0"/>
              <w:jc w:val="both"/>
              <w:rPr>
                <w:rFonts w:ascii="Times New Roman" w:hAnsi="Times New Roman"/>
                <w:color w:val="000000"/>
                <w:sz w:val="20"/>
                <w:lang w:val="uk-UA"/>
              </w:rPr>
            </w:pPr>
            <w:r w:rsidRPr="00952D53">
              <w:rPr>
                <w:rFonts w:ascii="Times New Roman" w:hAnsi="Times New Roman"/>
                <w:color w:val="000000"/>
                <w:sz w:val="20"/>
                <w:lang w:val="uk-UA"/>
              </w:rPr>
              <w:t>Агент з верифікації</w:t>
            </w:r>
          </w:p>
        </w:tc>
      </w:tr>
      <w:tr w:rsidR="00952D53" w:rsidRPr="00952D53" w14:paraId="1BC78F9B" w14:textId="77777777" w:rsidTr="00952D53">
        <w:trPr>
          <w:trHeight w:val="435"/>
        </w:trPr>
        <w:tc>
          <w:tcPr>
            <w:tcW w:w="1785" w:type="dxa"/>
            <w:tcBorders>
              <w:top w:val="single" w:sz="8" w:space="0" w:color="D9D9D9"/>
              <w:left w:val="single" w:sz="8" w:space="0" w:color="D9D9D9"/>
              <w:bottom w:val="single" w:sz="8" w:space="0" w:color="D9D9D9"/>
              <w:right w:val="single" w:sz="8" w:space="0" w:color="D9D9D9"/>
            </w:tcBorders>
            <w:shd w:val="clear" w:color="auto" w:fill="F2F2F2"/>
            <w:tcMar>
              <w:left w:w="115" w:type="dxa"/>
              <w:right w:w="115" w:type="dxa"/>
            </w:tcMar>
            <w:vAlign w:val="center"/>
          </w:tcPr>
          <w:p w14:paraId="510DF979" w14:textId="77777777" w:rsidR="00952D53" w:rsidRPr="00952D53" w:rsidRDefault="00952D53" w:rsidP="00952D53">
            <w:pPr>
              <w:spacing w:line="254" w:lineRule="auto"/>
              <w:jc w:val="both"/>
              <w:rPr>
                <w:rFonts w:ascii="Times New Roman" w:hAnsi="Times New Roman"/>
                <w:b/>
                <w:bCs/>
                <w:color w:val="404040"/>
                <w:sz w:val="20"/>
                <w:lang w:val="uk-UA"/>
              </w:rPr>
            </w:pPr>
            <w:r w:rsidRPr="00952D53">
              <w:rPr>
                <w:rFonts w:ascii="Times New Roman" w:hAnsi="Times New Roman"/>
                <w:b/>
                <w:bCs/>
                <w:color w:val="404040"/>
                <w:sz w:val="20"/>
                <w:lang w:val="uk-UA"/>
              </w:rPr>
              <w:t>Процедура</w:t>
            </w:r>
          </w:p>
        </w:tc>
        <w:tc>
          <w:tcPr>
            <w:tcW w:w="7986" w:type="dxa"/>
            <w:tcBorders>
              <w:top w:val="single" w:sz="8" w:space="0" w:color="D9D9D9"/>
              <w:left w:val="single" w:sz="8" w:space="0" w:color="D9D9D9"/>
              <w:bottom w:val="single" w:sz="8" w:space="0" w:color="D9D9D9"/>
              <w:right w:val="single" w:sz="8" w:space="0" w:color="D9D9D9"/>
            </w:tcBorders>
            <w:shd w:val="clear" w:color="auto" w:fill="FFFFFF"/>
            <w:tcMar>
              <w:left w:w="115" w:type="dxa"/>
              <w:right w:w="115" w:type="dxa"/>
            </w:tcMar>
            <w:vAlign w:val="center"/>
          </w:tcPr>
          <w:p w14:paraId="202876B8" w14:textId="77777777" w:rsidR="00952D53" w:rsidRPr="00952D53" w:rsidRDefault="00952D53" w:rsidP="00952D53">
            <w:pPr>
              <w:numPr>
                <w:ilvl w:val="0"/>
                <w:numId w:val="42"/>
              </w:numPr>
              <w:ind w:left="331" w:hanging="27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Збір даних: ГРП збере річний план (графік) аудиту великих платників податків за відповідний рік, включаючи будь-які затверджені оновлення, та супровідну документацію від ДПС, що вказує, які аудити були обрані з використанням даних системи управління податковими ризиками.</w:t>
            </w:r>
          </w:p>
          <w:p w14:paraId="4B5F2990" w14:textId="77777777" w:rsidR="00952D53" w:rsidRPr="00952D53" w:rsidRDefault="00952D53" w:rsidP="00952D53">
            <w:pPr>
              <w:numPr>
                <w:ilvl w:val="0"/>
                <w:numId w:val="42"/>
              </w:numPr>
              <w:ind w:left="331" w:hanging="270"/>
              <w:contextualSpacing/>
              <w:jc w:val="both"/>
              <w:rPr>
                <w:rFonts w:ascii="Times New Roman" w:eastAsia="Calibri" w:hAnsi="Times New Roman" w:cs="Calibri"/>
                <w:bCs/>
                <w:sz w:val="20"/>
                <w:lang w:val="uk-UA"/>
              </w:rPr>
            </w:pPr>
            <w:r w:rsidRPr="00952D53">
              <w:rPr>
                <w:rFonts w:ascii="Times New Roman" w:eastAsia="Calibri" w:hAnsi="Times New Roman" w:cs="Calibri"/>
                <w:bCs/>
                <w:sz w:val="20"/>
                <w:lang w:val="uk-UA"/>
              </w:rPr>
              <w:t>Верифікація: НВА перевірить досягнення на основі (i) затвердженого річного плану (графіку) аудитів за вказаний фінансовий рік, який має бути виконаний до грудня 2026 року, та (ii) супровідної документації від Державної податкової служби, що демонструє, які аудити були обрані з використанням даних системи управління податковими ризиками.</w:t>
            </w:r>
          </w:p>
          <w:p w14:paraId="1CCA6669" w14:textId="77777777" w:rsidR="00952D53" w:rsidRPr="00952D53" w:rsidRDefault="00952D53" w:rsidP="00952D53">
            <w:pPr>
              <w:numPr>
                <w:ilvl w:val="0"/>
                <w:numId w:val="42"/>
              </w:numPr>
              <w:ind w:left="331" w:hanging="270"/>
              <w:contextualSpacing/>
              <w:jc w:val="both"/>
              <w:rPr>
                <w:rFonts w:ascii="Times New Roman" w:hAnsi="Times New Roman"/>
                <w:color w:val="000000"/>
                <w:sz w:val="20"/>
                <w:lang w:val="uk-UA"/>
              </w:rPr>
            </w:pPr>
            <w:r w:rsidRPr="00952D53">
              <w:rPr>
                <w:rFonts w:ascii="Times New Roman" w:eastAsia="Calibri" w:hAnsi="Times New Roman" w:cs="Calibri"/>
                <w:bCs/>
                <w:sz w:val="20"/>
                <w:lang w:val="uk-UA"/>
              </w:rPr>
              <w:t>Звітування: НАВ підготує верифікаційний звіт і подасть його до відповідних органів влади.</w:t>
            </w:r>
          </w:p>
        </w:tc>
      </w:tr>
    </w:tbl>
    <w:p w14:paraId="51DCEF65" w14:textId="77777777" w:rsidR="00952D53" w:rsidRPr="00952D53" w:rsidRDefault="00952D53" w:rsidP="00952D53">
      <w:pPr>
        <w:jc w:val="both"/>
        <w:rPr>
          <w:rFonts w:ascii="Times New Roman" w:hAnsi="Times New Roman"/>
          <w:sz w:val="24"/>
          <w:szCs w:val="24"/>
          <w:lang w:val="uk-UA"/>
        </w:rPr>
      </w:pPr>
    </w:p>
    <w:p w14:paraId="23D8D77A" w14:textId="77777777" w:rsidR="00952D53" w:rsidRPr="00952D53" w:rsidRDefault="00952D53" w:rsidP="00952D53">
      <w:pPr>
        <w:rPr>
          <w:rFonts w:ascii="Times New Roman" w:hAnsi="Times New Roman"/>
          <w:sz w:val="24"/>
          <w:szCs w:val="24"/>
          <w:lang w:val="uk-UA"/>
        </w:rPr>
      </w:pPr>
    </w:p>
    <w:p w14:paraId="6B72ECE4" w14:textId="77777777" w:rsidR="0069577E" w:rsidRPr="0069577E" w:rsidRDefault="0069577E" w:rsidP="0069577E">
      <w:pPr>
        <w:widowControl w:val="0"/>
        <w:tabs>
          <w:tab w:val="left" w:pos="4120"/>
        </w:tabs>
        <w:autoSpaceDE w:val="0"/>
        <w:autoSpaceDN w:val="0"/>
        <w:jc w:val="center"/>
        <w:rPr>
          <w:rFonts w:ascii="Times New Roman" w:hAnsi="Times New Roman"/>
          <w:sz w:val="24"/>
          <w:szCs w:val="24"/>
          <w:lang w:val="uk-UA"/>
        </w:rPr>
      </w:pPr>
    </w:p>
    <w:sectPr w:rsidR="0069577E" w:rsidRPr="0069577E" w:rsidSect="00BC7DCF">
      <w:headerReference w:type="default" r:id="rId9"/>
      <w:footerReference w:type="default" r:id="rId10"/>
      <w:endnotePr>
        <w:numFmt w:val="decimal"/>
      </w:endnotePr>
      <w:pgSz w:w="12240" w:h="15840"/>
      <w:pgMar w:top="1152" w:right="1152" w:bottom="851" w:left="1152"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B234" w14:textId="77777777" w:rsidR="00BA15AE" w:rsidRDefault="00BA15AE">
      <w:r>
        <w:separator/>
      </w:r>
    </w:p>
  </w:endnote>
  <w:endnote w:type="continuationSeparator" w:id="0">
    <w:p w14:paraId="624B5546" w14:textId="77777777" w:rsidR="00BA15AE" w:rsidRDefault="00BA15AE"/>
  </w:endnote>
  <w:endnote w:type="continuationNotice" w:id="1">
    <w:p w14:paraId="21E383E7" w14:textId="77777777" w:rsidR="00BA15AE" w:rsidRDefault="00BA1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540468"/>
      <w:docPartObj>
        <w:docPartGallery w:val="Page Numbers (Bottom of Page)"/>
        <w:docPartUnique/>
      </w:docPartObj>
    </w:sdtPr>
    <w:sdtEndPr/>
    <w:sdtContent>
      <w:p w14:paraId="3AAB5A4E" w14:textId="77777777" w:rsidR="006F492D" w:rsidRDefault="006F492D">
        <w:pPr>
          <w:pStyle w:val="a3"/>
          <w:jc w:val="center"/>
        </w:pPr>
        <w:r>
          <w:fldChar w:fldCharType="begin"/>
        </w:r>
        <w:r>
          <w:instrText>PAGE   \* MERGEFORMAT</w:instrText>
        </w:r>
        <w:r>
          <w:fldChar w:fldCharType="separate"/>
        </w:r>
        <w:r w:rsidR="00D33227" w:rsidRPr="00D33227">
          <w:rPr>
            <w:noProof/>
            <w:lang w:val="uk-UA"/>
          </w:rPr>
          <w:t>1</w:t>
        </w:r>
        <w:r>
          <w:fldChar w:fldCharType="end"/>
        </w:r>
      </w:p>
    </w:sdtContent>
  </w:sdt>
  <w:p w14:paraId="5AB43355" w14:textId="77777777" w:rsidR="006F492D" w:rsidRDefault="006F49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5EE91" w14:textId="77777777" w:rsidR="00BA15AE" w:rsidRDefault="00BA15AE">
      <w:r>
        <w:rPr>
          <w:sz w:val="24"/>
        </w:rPr>
        <w:separator/>
      </w:r>
    </w:p>
  </w:footnote>
  <w:footnote w:type="continuationSeparator" w:id="0">
    <w:p w14:paraId="5852FA55" w14:textId="77777777" w:rsidR="00BA15AE" w:rsidRDefault="00BA15AE">
      <w:r>
        <w:continuationSeparator/>
      </w:r>
    </w:p>
  </w:footnote>
  <w:footnote w:id="1">
    <w:p w14:paraId="50CF185E" w14:textId="77777777" w:rsidR="00952D53" w:rsidRPr="003751A2" w:rsidRDefault="00952D53" w:rsidP="00952D53">
      <w:pPr>
        <w:pStyle w:val="a6"/>
        <w:jc w:val="both"/>
        <w:rPr>
          <w:lang w:val="uk-UA"/>
        </w:rPr>
      </w:pPr>
      <w:r w:rsidRPr="00F34BE5">
        <w:rPr>
          <w:rStyle w:val="a5"/>
          <w:lang w:val="uk-UA"/>
        </w:rPr>
        <w:footnoteRef/>
      </w:r>
      <w:r w:rsidRPr="00F34BE5">
        <w:rPr>
          <w:lang w:val="uk-UA"/>
        </w:rPr>
        <w:t xml:space="preserve"> </w:t>
      </w:r>
      <w:r w:rsidRPr="00DE201D">
        <w:rPr>
          <w:lang w:val="uk-UA"/>
        </w:rPr>
        <w:t>З метою уникнення розбіжностей у тлумаченні під час надання Послуг Консультант зобов'язаний керуватися оригінальними Протоколами верифікації DLI та DLR, що підлягають верифікації, англійською мовою, які будуть надані Консультанту Замовником окремо. У разі розбіжностей між текстами зазначений Протокол англійською мовою має переважну силу над його версією українською мовою.</w:t>
      </w:r>
    </w:p>
  </w:footnote>
  <w:footnote w:id="2">
    <w:p w14:paraId="33E6BF11" w14:textId="77777777" w:rsidR="00952D53" w:rsidRPr="00F34BE5" w:rsidRDefault="00952D53" w:rsidP="00952D53">
      <w:pPr>
        <w:pStyle w:val="a6"/>
        <w:jc w:val="both"/>
        <w:rPr>
          <w:lang w:val="uk-UA"/>
        </w:rPr>
      </w:pPr>
      <w:r>
        <w:rPr>
          <w:rStyle w:val="a5"/>
        </w:rPr>
        <w:footnoteRef/>
      </w:r>
      <w:r w:rsidRPr="00DB1FD9">
        <w:rPr>
          <w:lang w:val="uk-UA"/>
        </w:rPr>
        <w:t xml:space="preserve"> </w:t>
      </w:r>
      <w:r w:rsidRPr="00DE201D">
        <w:rPr>
          <w:lang w:val="uk-UA"/>
        </w:rPr>
        <w:t>З метою уникнення розбіжностей у тлумаченні під час надання Послуг Консультант зобов'язаний керуватися оригінальними Протоколами верифікації DLI та DLR, що підлягають верифікації, англійською мовою, які будуть надані Консультанту Замовником окремо. У разі розбіжностей між текстами зазначений Протокол англійською мовою має переважну силу над його версією українською мовою.</w:t>
      </w:r>
    </w:p>
    <w:p w14:paraId="363CBEC0" w14:textId="77777777" w:rsidR="00952D53" w:rsidRPr="00DB1FD9" w:rsidRDefault="00952D53" w:rsidP="00952D53">
      <w:pPr>
        <w:pStyle w:val="a6"/>
        <w:rPr>
          <w:lang w:val="uk-UA"/>
        </w:rPr>
      </w:pPr>
    </w:p>
  </w:footnote>
  <w:footnote w:id="3">
    <w:p w14:paraId="536EA1D7" w14:textId="77777777" w:rsidR="00952D53" w:rsidRPr="003E0846" w:rsidRDefault="00952D53" w:rsidP="00952D53">
      <w:pPr>
        <w:pStyle w:val="a6"/>
        <w:jc w:val="both"/>
        <w:rPr>
          <w:lang w:val="uk-UA"/>
        </w:rPr>
      </w:pPr>
      <w:r w:rsidRPr="003E0846">
        <w:rPr>
          <w:rStyle w:val="a5"/>
          <w:sz w:val="18"/>
          <w:szCs w:val="18"/>
          <w:lang w:val="uk-UA"/>
        </w:rPr>
        <w:footnoteRef/>
      </w:r>
      <w:r w:rsidRPr="003E0846">
        <w:rPr>
          <w:sz w:val="18"/>
          <w:szCs w:val="18"/>
          <w:lang w:val="uk-UA"/>
        </w:rPr>
        <w:t xml:space="preserve"> </w:t>
      </w:r>
      <w:r>
        <w:rPr>
          <w:sz w:val="18"/>
          <w:szCs w:val="18"/>
          <w:lang w:val="uk-UA"/>
        </w:rPr>
        <w:t>ІПВ</w:t>
      </w:r>
      <w:r w:rsidRPr="003E0846">
        <w:rPr>
          <w:sz w:val="18"/>
          <w:szCs w:val="18"/>
          <w:lang w:val="uk-UA"/>
        </w:rPr>
        <w:t xml:space="preserve">2: Конкретні показники, які будуть використовуватися, залежатимуть від переглянутої бюджетної методології для підготовки середньострокових бюджетних планів органів місцевого самоврядування, яка буде розроблена (див. </w:t>
      </w:r>
      <w:r>
        <w:rPr>
          <w:sz w:val="18"/>
          <w:szCs w:val="18"/>
          <w:lang w:val="uk-UA"/>
        </w:rPr>
        <w:t>РПВ</w:t>
      </w:r>
      <w:r w:rsidRPr="003E0846">
        <w:rPr>
          <w:sz w:val="18"/>
          <w:szCs w:val="18"/>
          <w:lang w:val="uk-UA"/>
        </w:rPr>
        <w:t xml:space="preserve">2.1). Однак, інформація про зміну клімату, яка може бути зібрана, включає витрати на адаптацію до зміни клімату, такі як (i) фінансування інфраструктурних проектів, які включають кліматостійкі конструкції та матеріали, та (ii) частка бюджету інфраструктури, виділена на проекти, спрямовані на адаптацію до наслідків зміни клімату. Інформація, яка може бути зібрана, також включає розподіл фінансування на </w:t>
      </w:r>
      <w:r>
        <w:rPr>
          <w:sz w:val="18"/>
          <w:szCs w:val="18"/>
          <w:lang w:val="uk-UA"/>
        </w:rPr>
        <w:t xml:space="preserve">ініціативи з пом’якшення </w:t>
      </w:r>
      <w:r w:rsidRPr="003E0846">
        <w:rPr>
          <w:sz w:val="18"/>
          <w:szCs w:val="18"/>
          <w:lang w:val="uk-UA"/>
        </w:rPr>
        <w:t>кліматичн</w:t>
      </w:r>
      <w:r>
        <w:rPr>
          <w:sz w:val="18"/>
          <w:szCs w:val="18"/>
          <w:lang w:val="uk-UA"/>
        </w:rPr>
        <w:t>их</w:t>
      </w:r>
      <w:r w:rsidRPr="003E0846">
        <w:rPr>
          <w:sz w:val="18"/>
          <w:szCs w:val="18"/>
          <w:lang w:val="uk-UA"/>
        </w:rPr>
        <w:t xml:space="preserve"> </w:t>
      </w:r>
      <w:r>
        <w:rPr>
          <w:sz w:val="18"/>
          <w:szCs w:val="18"/>
          <w:lang w:val="uk-UA"/>
        </w:rPr>
        <w:t>змін</w:t>
      </w:r>
      <w:r w:rsidRPr="003E0846">
        <w:rPr>
          <w:sz w:val="18"/>
          <w:szCs w:val="18"/>
          <w:lang w:val="uk-UA"/>
        </w:rPr>
        <w:t xml:space="preserve">, такі як (iii) вдосконалення інфраструктури, що призводить до зменшення викидів (енергоефективні громадські будівлі, технології </w:t>
      </w:r>
      <w:r>
        <w:rPr>
          <w:sz w:val="18"/>
          <w:szCs w:val="18"/>
          <w:lang w:val="uk-UA"/>
        </w:rPr>
        <w:t>«</w:t>
      </w:r>
      <w:r w:rsidRPr="003E0846">
        <w:rPr>
          <w:sz w:val="18"/>
          <w:szCs w:val="18"/>
          <w:lang w:val="uk-UA"/>
        </w:rPr>
        <w:t>розумних мереж</w:t>
      </w:r>
      <w:r>
        <w:rPr>
          <w:sz w:val="18"/>
          <w:szCs w:val="18"/>
          <w:lang w:val="uk-UA"/>
        </w:rPr>
        <w:t>»</w:t>
      </w:r>
      <w:r w:rsidRPr="003E0846">
        <w:rPr>
          <w:sz w:val="18"/>
          <w:szCs w:val="18"/>
          <w:lang w:val="uk-UA"/>
        </w:rPr>
        <w:t xml:space="preserve">) та (iv) </w:t>
      </w:r>
      <w:r>
        <w:rPr>
          <w:sz w:val="18"/>
          <w:szCs w:val="18"/>
          <w:lang w:val="uk-UA"/>
        </w:rPr>
        <w:t>«</w:t>
      </w:r>
      <w:r w:rsidRPr="003E0846">
        <w:rPr>
          <w:sz w:val="18"/>
          <w:szCs w:val="18"/>
          <w:lang w:val="uk-UA"/>
        </w:rPr>
        <w:t>зелена</w:t>
      </w:r>
      <w:r>
        <w:rPr>
          <w:sz w:val="18"/>
          <w:szCs w:val="18"/>
          <w:lang w:val="uk-UA"/>
        </w:rPr>
        <w:t>»</w:t>
      </w:r>
      <w:r w:rsidRPr="003E0846">
        <w:rPr>
          <w:sz w:val="18"/>
          <w:szCs w:val="18"/>
          <w:lang w:val="uk-UA"/>
        </w:rPr>
        <w:t xml:space="preserve"> інфраструктура.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676B" w14:textId="77777777" w:rsidR="00FC6F1B" w:rsidRDefault="00FC6F1B">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E41E0"/>
    <w:multiLevelType w:val="hybridMultilevel"/>
    <w:tmpl w:val="980483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A991"/>
    <w:multiLevelType w:val="multilevel"/>
    <w:tmpl w:val="98EE4E6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5D35C2F"/>
    <w:multiLevelType w:val="hybridMultilevel"/>
    <w:tmpl w:val="FFFFFFFF"/>
    <w:lvl w:ilvl="0" w:tplc="E51CE3B6">
      <w:start w:val="1"/>
      <w:numFmt w:val="bullet"/>
      <w:lvlText w:val="·"/>
      <w:lvlJc w:val="left"/>
      <w:pPr>
        <w:ind w:left="720" w:hanging="360"/>
      </w:pPr>
      <w:rPr>
        <w:rFonts w:ascii="Symbol" w:hAnsi="Symbol" w:hint="default"/>
      </w:rPr>
    </w:lvl>
    <w:lvl w:ilvl="1" w:tplc="7E70F0B6">
      <w:start w:val="1"/>
      <w:numFmt w:val="bullet"/>
      <w:lvlText w:val="o"/>
      <w:lvlJc w:val="left"/>
      <w:pPr>
        <w:ind w:left="1440" w:hanging="360"/>
      </w:pPr>
      <w:rPr>
        <w:rFonts w:ascii="Courier New" w:hAnsi="Courier New" w:hint="default"/>
      </w:rPr>
    </w:lvl>
    <w:lvl w:ilvl="2" w:tplc="3D1835D0">
      <w:start w:val="1"/>
      <w:numFmt w:val="bullet"/>
      <w:lvlText w:val=""/>
      <w:lvlJc w:val="left"/>
      <w:pPr>
        <w:ind w:left="2160" w:hanging="360"/>
      </w:pPr>
      <w:rPr>
        <w:rFonts w:ascii="Wingdings" w:hAnsi="Wingdings" w:hint="default"/>
      </w:rPr>
    </w:lvl>
    <w:lvl w:ilvl="3" w:tplc="EE5AA666">
      <w:start w:val="1"/>
      <w:numFmt w:val="bullet"/>
      <w:lvlText w:val=""/>
      <w:lvlJc w:val="left"/>
      <w:pPr>
        <w:ind w:left="2880" w:hanging="360"/>
      </w:pPr>
      <w:rPr>
        <w:rFonts w:ascii="Symbol" w:hAnsi="Symbol" w:hint="default"/>
      </w:rPr>
    </w:lvl>
    <w:lvl w:ilvl="4" w:tplc="3DE849BE">
      <w:start w:val="1"/>
      <w:numFmt w:val="bullet"/>
      <w:lvlText w:val="o"/>
      <w:lvlJc w:val="left"/>
      <w:pPr>
        <w:ind w:left="3600" w:hanging="360"/>
      </w:pPr>
      <w:rPr>
        <w:rFonts w:ascii="Courier New" w:hAnsi="Courier New" w:hint="default"/>
      </w:rPr>
    </w:lvl>
    <w:lvl w:ilvl="5" w:tplc="7BE4486C">
      <w:start w:val="1"/>
      <w:numFmt w:val="bullet"/>
      <w:lvlText w:val=""/>
      <w:lvlJc w:val="left"/>
      <w:pPr>
        <w:ind w:left="4320" w:hanging="360"/>
      </w:pPr>
      <w:rPr>
        <w:rFonts w:ascii="Wingdings" w:hAnsi="Wingdings" w:hint="default"/>
      </w:rPr>
    </w:lvl>
    <w:lvl w:ilvl="6" w:tplc="CE7635C2">
      <w:start w:val="1"/>
      <w:numFmt w:val="bullet"/>
      <w:lvlText w:val=""/>
      <w:lvlJc w:val="left"/>
      <w:pPr>
        <w:ind w:left="5040" w:hanging="360"/>
      </w:pPr>
      <w:rPr>
        <w:rFonts w:ascii="Symbol" w:hAnsi="Symbol" w:hint="default"/>
      </w:rPr>
    </w:lvl>
    <w:lvl w:ilvl="7" w:tplc="E5EAC064">
      <w:start w:val="1"/>
      <w:numFmt w:val="bullet"/>
      <w:lvlText w:val="o"/>
      <w:lvlJc w:val="left"/>
      <w:pPr>
        <w:ind w:left="5760" w:hanging="360"/>
      </w:pPr>
      <w:rPr>
        <w:rFonts w:ascii="Courier New" w:hAnsi="Courier New" w:hint="default"/>
      </w:rPr>
    </w:lvl>
    <w:lvl w:ilvl="8" w:tplc="6186C780">
      <w:start w:val="1"/>
      <w:numFmt w:val="bullet"/>
      <w:lvlText w:val=""/>
      <w:lvlJc w:val="left"/>
      <w:pPr>
        <w:ind w:left="6480" w:hanging="360"/>
      </w:pPr>
      <w:rPr>
        <w:rFonts w:ascii="Wingdings" w:hAnsi="Wingdings" w:hint="default"/>
      </w:rPr>
    </w:lvl>
  </w:abstractNum>
  <w:abstractNum w:abstractNumId="3" w15:restartNumberingAfterBreak="0">
    <w:nsid w:val="07865E14"/>
    <w:multiLevelType w:val="multilevel"/>
    <w:tmpl w:val="FC7487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71471D"/>
    <w:multiLevelType w:val="multilevel"/>
    <w:tmpl w:val="D13A1E2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B43F37"/>
    <w:multiLevelType w:val="hybridMultilevel"/>
    <w:tmpl w:val="12246438"/>
    <w:lvl w:ilvl="0" w:tplc="0EECE932">
      <w:start w:val="1"/>
      <w:numFmt w:val="decimal"/>
      <w:lvlText w:val="%1)"/>
      <w:lvlJc w:val="left"/>
      <w:pPr>
        <w:ind w:left="786" w:hanging="360"/>
      </w:pPr>
      <w:rPr>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0F40A53"/>
    <w:multiLevelType w:val="hybridMultilevel"/>
    <w:tmpl w:val="A85A3002"/>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1E70778"/>
    <w:multiLevelType w:val="hybridMultilevel"/>
    <w:tmpl w:val="AAD431D0"/>
    <w:lvl w:ilvl="0" w:tplc="C752220C">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8" w15:restartNumberingAfterBreak="0">
    <w:nsid w:val="11E94EC4"/>
    <w:multiLevelType w:val="hybridMultilevel"/>
    <w:tmpl w:val="09649DDE"/>
    <w:lvl w:ilvl="0" w:tplc="00000001">
      <w:numFmt w:val="bullet"/>
      <w:lvlText w:val="-"/>
      <w:lvlJc w:val="left"/>
      <w:pPr>
        <w:ind w:left="720" w:hanging="360"/>
      </w:pPr>
      <w:rPr>
        <w:rFonts w:ascii="Times New Roman CYR" w:hAnsi="Times New Roman CYR"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CE0521"/>
    <w:multiLevelType w:val="hybridMultilevel"/>
    <w:tmpl w:val="F0463C12"/>
    <w:lvl w:ilvl="0" w:tplc="DC2C3648">
      <w:start w:val="1"/>
      <w:numFmt w:val="bullet"/>
      <w:lvlText w:val=""/>
      <w:lvlJc w:val="left"/>
      <w:pPr>
        <w:ind w:left="720" w:hanging="360"/>
      </w:pPr>
      <w:rPr>
        <w:rFonts w:ascii="Symbol" w:hAnsi="Symbol" w:hint="default"/>
      </w:rPr>
    </w:lvl>
    <w:lvl w:ilvl="1" w:tplc="FA2AAB6E" w:tentative="1">
      <w:start w:val="1"/>
      <w:numFmt w:val="bullet"/>
      <w:lvlText w:val="o"/>
      <w:lvlJc w:val="left"/>
      <w:pPr>
        <w:ind w:left="1440" w:hanging="360"/>
      </w:pPr>
      <w:rPr>
        <w:rFonts w:ascii="Courier New" w:hAnsi="Courier New" w:cs="Courier New" w:hint="default"/>
      </w:rPr>
    </w:lvl>
    <w:lvl w:ilvl="2" w:tplc="32B264B4" w:tentative="1">
      <w:start w:val="1"/>
      <w:numFmt w:val="bullet"/>
      <w:lvlText w:val=""/>
      <w:lvlJc w:val="left"/>
      <w:pPr>
        <w:ind w:left="2160" w:hanging="360"/>
      </w:pPr>
      <w:rPr>
        <w:rFonts w:ascii="Wingdings" w:hAnsi="Wingdings" w:hint="default"/>
      </w:rPr>
    </w:lvl>
    <w:lvl w:ilvl="3" w:tplc="C652B552" w:tentative="1">
      <w:start w:val="1"/>
      <w:numFmt w:val="bullet"/>
      <w:lvlText w:val=""/>
      <w:lvlJc w:val="left"/>
      <w:pPr>
        <w:ind w:left="2880" w:hanging="360"/>
      </w:pPr>
      <w:rPr>
        <w:rFonts w:ascii="Symbol" w:hAnsi="Symbol" w:hint="default"/>
      </w:rPr>
    </w:lvl>
    <w:lvl w:ilvl="4" w:tplc="BB042EF8" w:tentative="1">
      <w:start w:val="1"/>
      <w:numFmt w:val="bullet"/>
      <w:lvlText w:val="o"/>
      <w:lvlJc w:val="left"/>
      <w:pPr>
        <w:ind w:left="3600" w:hanging="360"/>
      </w:pPr>
      <w:rPr>
        <w:rFonts w:ascii="Courier New" w:hAnsi="Courier New" w:cs="Courier New" w:hint="default"/>
      </w:rPr>
    </w:lvl>
    <w:lvl w:ilvl="5" w:tplc="55808FCA" w:tentative="1">
      <w:start w:val="1"/>
      <w:numFmt w:val="bullet"/>
      <w:lvlText w:val=""/>
      <w:lvlJc w:val="left"/>
      <w:pPr>
        <w:ind w:left="4320" w:hanging="360"/>
      </w:pPr>
      <w:rPr>
        <w:rFonts w:ascii="Wingdings" w:hAnsi="Wingdings" w:hint="default"/>
      </w:rPr>
    </w:lvl>
    <w:lvl w:ilvl="6" w:tplc="DE04BCB0" w:tentative="1">
      <w:start w:val="1"/>
      <w:numFmt w:val="bullet"/>
      <w:lvlText w:val=""/>
      <w:lvlJc w:val="left"/>
      <w:pPr>
        <w:ind w:left="5040" w:hanging="360"/>
      </w:pPr>
      <w:rPr>
        <w:rFonts w:ascii="Symbol" w:hAnsi="Symbol" w:hint="default"/>
      </w:rPr>
    </w:lvl>
    <w:lvl w:ilvl="7" w:tplc="64B87234" w:tentative="1">
      <w:start w:val="1"/>
      <w:numFmt w:val="bullet"/>
      <w:lvlText w:val="o"/>
      <w:lvlJc w:val="left"/>
      <w:pPr>
        <w:ind w:left="5760" w:hanging="360"/>
      </w:pPr>
      <w:rPr>
        <w:rFonts w:ascii="Courier New" w:hAnsi="Courier New" w:cs="Courier New" w:hint="default"/>
      </w:rPr>
    </w:lvl>
    <w:lvl w:ilvl="8" w:tplc="8F24E574" w:tentative="1">
      <w:start w:val="1"/>
      <w:numFmt w:val="bullet"/>
      <w:lvlText w:val=""/>
      <w:lvlJc w:val="left"/>
      <w:pPr>
        <w:ind w:left="6480" w:hanging="360"/>
      </w:pPr>
      <w:rPr>
        <w:rFonts w:ascii="Wingdings" w:hAnsi="Wingdings" w:hint="default"/>
      </w:rPr>
    </w:lvl>
  </w:abstractNum>
  <w:abstractNum w:abstractNumId="10" w15:restartNumberingAfterBreak="0">
    <w:nsid w:val="156F0497"/>
    <w:multiLevelType w:val="hybridMultilevel"/>
    <w:tmpl w:val="9338518E"/>
    <w:lvl w:ilvl="0" w:tplc="04190001">
      <w:start w:val="1"/>
      <w:numFmt w:val="bullet"/>
      <w:lvlText w:val=""/>
      <w:lvlJc w:val="left"/>
      <w:pPr>
        <w:ind w:left="1211" w:hanging="360"/>
      </w:pPr>
      <w:rPr>
        <w:rFonts w:ascii="Symbol" w:hAnsi="Symbol" w:hint="default"/>
        <w:color w:val="auto"/>
        <w:sz w:val="22"/>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7891F63"/>
    <w:multiLevelType w:val="hybridMultilevel"/>
    <w:tmpl w:val="9522E22C"/>
    <w:lvl w:ilvl="0" w:tplc="04220013">
      <w:start w:val="1"/>
      <w:numFmt w:val="upperRoman"/>
      <w:lvlText w:val="%1."/>
      <w:lvlJc w:val="righ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2" w15:restartNumberingAfterBreak="0">
    <w:nsid w:val="19BE479C"/>
    <w:multiLevelType w:val="hybridMultilevel"/>
    <w:tmpl w:val="D11234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3E42B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054AF8"/>
    <w:multiLevelType w:val="hybridMultilevel"/>
    <w:tmpl w:val="92F2DA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3F0714"/>
    <w:multiLevelType w:val="hybridMultilevel"/>
    <w:tmpl w:val="50B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40E9A"/>
    <w:multiLevelType w:val="hybridMultilevel"/>
    <w:tmpl w:val="9836D97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FD40911"/>
    <w:multiLevelType w:val="hybridMultilevel"/>
    <w:tmpl w:val="049086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2830DAC"/>
    <w:multiLevelType w:val="hybridMultilevel"/>
    <w:tmpl w:val="2FFE89F8"/>
    <w:lvl w:ilvl="0" w:tplc="DE60CB08">
      <w:start w:val="1"/>
      <w:numFmt w:val="upperRoman"/>
      <w:lvlText w:val="%1."/>
      <w:lvlJc w:val="left"/>
      <w:pPr>
        <w:tabs>
          <w:tab w:val="num" w:pos="1080"/>
        </w:tabs>
        <w:ind w:left="1080" w:hanging="720"/>
      </w:pPr>
      <w:rPr>
        <w:rFonts w:hint="default"/>
      </w:rPr>
    </w:lvl>
    <w:lvl w:ilvl="1" w:tplc="D898D5E0">
      <w:numFmt w:val="bullet"/>
      <w:lvlText w:val="-"/>
      <w:lvlJc w:val="left"/>
      <w:pPr>
        <w:tabs>
          <w:tab w:val="num" w:pos="1440"/>
        </w:tabs>
        <w:ind w:left="1440" w:hanging="360"/>
      </w:pPr>
      <w:rPr>
        <w:rFonts w:ascii="Times New Roman" w:eastAsia="Times New Roman" w:hAnsi="Times New Roman" w:cs="Times New Roman" w:hint="default"/>
      </w:rPr>
    </w:lvl>
    <w:lvl w:ilvl="2" w:tplc="753C0AEE">
      <w:numFmt w:val="bullet"/>
      <w:lvlText w:val="•"/>
      <w:lvlJc w:val="left"/>
      <w:pPr>
        <w:ind w:left="2688" w:hanging="708"/>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5361A20"/>
    <w:multiLevelType w:val="hybridMultilevel"/>
    <w:tmpl w:val="FE603B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B442AC"/>
    <w:multiLevelType w:val="hybridMultilevel"/>
    <w:tmpl w:val="F24251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047754"/>
    <w:multiLevelType w:val="hybridMultilevel"/>
    <w:tmpl w:val="14C4E4D6"/>
    <w:lvl w:ilvl="0" w:tplc="4E1285A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31713"/>
    <w:multiLevelType w:val="multilevel"/>
    <w:tmpl w:val="C7603E3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4F4D0243"/>
    <w:multiLevelType w:val="hybridMultilevel"/>
    <w:tmpl w:val="8BF237B6"/>
    <w:lvl w:ilvl="0" w:tplc="FED4BBA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F803109"/>
    <w:multiLevelType w:val="hybridMultilevel"/>
    <w:tmpl w:val="9C749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5673E2"/>
    <w:multiLevelType w:val="hybridMultilevel"/>
    <w:tmpl w:val="F74CB82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56C57D37"/>
    <w:multiLevelType w:val="multilevel"/>
    <w:tmpl w:val="14486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456FCD"/>
    <w:multiLevelType w:val="hybridMultilevel"/>
    <w:tmpl w:val="831AF212"/>
    <w:lvl w:ilvl="0" w:tplc="49E2FA30">
      <w:start w:val="4"/>
      <w:numFmt w:val="bullet"/>
      <w:lvlText w:val="-"/>
      <w:lvlJc w:val="left"/>
      <w:pPr>
        <w:ind w:left="1211" w:hanging="360"/>
      </w:pPr>
      <w:rPr>
        <w:rFonts w:ascii="Times New Roman" w:eastAsia="Calibri" w:hAnsi="Times New Roman" w:cs="Times New Roman" w:hint="default"/>
        <w:color w:val="auto"/>
        <w:sz w:val="22"/>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ED86019"/>
    <w:multiLevelType w:val="hybridMultilevel"/>
    <w:tmpl w:val="C22A780A"/>
    <w:lvl w:ilvl="0" w:tplc="0422000F">
      <w:start w:val="1"/>
      <w:numFmt w:val="decimal"/>
      <w:lvlText w:val="%1."/>
      <w:lvlJc w:val="left"/>
      <w:pPr>
        <w:ind w:left="1684" w:hanging="360"/>
      </w:p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29" w15:restartNumberingAfterBreak="0">
    <w:nsid w:val="60381F33"/>
    <w:multiLevelType w:val="hybridMultilevel"/>
    <w:tmpl w:val="1F708414"/>
    <w:lvl w:ilvl="0" w:tplc="40FC78C6">
      <w:start w:val="1"/>
      <w:numFmt w:val="bullet"/>
      <w:lvlText w:val=""/>
      <w:lvlJc w:val="left"/>
      <w:pPr>
        <w:ind w:left="720" w:hanging="360"/>
      </w:pPr>
      <w:rPr>
        <w:rFonts w:ascii="Symbol" w:hAnsi="Symbol" w:hint="default"/>
      </w:rPr>
    </w:lvl>
    <w:lvl w:ilvl="1" w:tplc="BAFCFD86">
      <w:start w:val="1"/>
      <w:numFmt w:val="bullet"/>
      <w:lvlText w:val="o"/>
      <w:lvlJc w:val="left"/>
      <w:pPr>
        <w:ind w:left="1440" w:hanging="360"/>
      </w:pPr>
      <w:rPr>
        <w:rFonts w:ascii="Courier New" w:hAnsi="Courier New" w:cs="Courier New" w:hint="default"/>
      </w:rPr>
    </w:lvl>
    <w:lvl w:ilvl="2" w:tplc="B08679FC">
      <w:start w:val="1"/>
      <w:numFmt w:val="bullet"/>
      <w:lvlText w:val=""/>
      <w:lvlJc w:val="left"/>
      <w:pPr>
        <w:ind w:left="2160" w:hanging="360"/>
      </w:pPr>
      <w:rPr>
        <w:rFonts w:ascii="Wingdings" w:hAnsi="Wingdings" w:hint="default"/>
      </w:rPr>
    </w:lvl>
    <w:lvl w:ilvl="3" w:tplc="5FBC0D0C">
      <w:start w:val="1"/>
      <w:numFmt w:val="bullet"/>
      <w:lvlText w:val=""/>
      <w:lvlJc w:val="left"/>
      <w:pPr>
        <w:ind w:left="2880" w:hanging="360"/>
      </w:pPr>
      <w:rPr>
        <w:rFonts w:ascii="Symbol" w:hAnsi="Symbol" w:hint="default"/>
      </w:rPr>
    </w:lvl>
    <w:lvl w:ilvl="4" w:tplc="D38649A4">
      <w:start w:val="1"/>
      <w:numFmt w:val="bullet"/>
      <w:lvlText w:val="o"/>
      <w:lvlJc w:val="left"/>
      <w:pPr>
        <w:ind w:left="3600" w:hanging="360"/>
      </w:pPr>
      <w:rPr>
        <w:rFonts w:ascii="Courier New" w:hAnsi="Courier New" w:cs="Courier New" w:hint="default"/>
      </w:rPr>
    </w:lvl>
    <w:lvl w:ilvl="5" w:tplc="840E9902">
      <w:start w:val="1"/>
      <w:numFmt w:val="bullet"/>
      <w:lvlText w:val=""/>
      <w:lvlJc w:val="left"/>
      <w:pPr>
        <w:ind w:left="4320" w:hanging="360"/>
      </w:pPr>
      <w:rPr>
        <w:rFonts w:ascii="Wingdings" w:hAnsi="Wingdings" w:hint="default"/>
      </w:rPr>
    </w:lvl>
    <w:lvl w:ilvl="6" w:tplc="8F4A827E">
      <w:start w:val="1"/>
      <w:numFmt w:val="bullet"/>
      <w:lvlText w:val=""/>
      <w:lvlJc w:val="left"/>
      <w:pPr>
        <w:ind w:left="5040" w:hanging="360"/>
      </w:pPr>
      <w:rPr>
        <w:rFonts w:ascii="Symbol" w:hAnsi="Symbol" w:hint="default"/>
      </w:rPr>
    </w:lvl>
    <w:lvl w:ilvl="7" w:tplc="7BDC2B4A">
      <w:start w:val="1"/>
      <w:numFmt w:val="bullet"/>
      <w:lvlText w:val="o"/>
      <w:lvlJc w:val="left"/>
      <w:pPr>
        <w:ind w:left="5760" w:hanging="360"/>
      </w:pPr>
      <w:rPr>
        <w:rFonts w:ascii="Courier New" w:hAnsi="Courier New" w:cs="Courier New" w:hint="default"/>
      </w:rPr>
    </w:lvl>
    <w:lvl w:ilvl="8" w:tplc="23DC2510">
      <w:start w:val="1"/>
      <w:numFmt w:val="bullet"/>
      <w:lvlText w:val=""/>
      <w:lvlJc w:val="left"/>
      <w:pPr>
        <w:ind w:left="6480" w:hanging="360"/>
      </w:pPr>
      <w:rPr>
        <w:rFonts w:ascii="Wingdings" w:hAnsi="Wingdings" w:hint="default"/>
      </w:rPr>
    </w:lvl>
  </w:abstractNum>
  <w:abstractNum w:abstractNumId="30" w15:restartNumberingAfterBreak="0">
    <w:nsid w:val="6A7D0BE2"/>
    <w:multiLevelType w:val="hybridMultilevel"/>
    <w:tmpl w:val="8AF423C0"/>
    <w:lvl w:ilvl="0" w:tplc="0422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AA33AC8"/>
    <w:multiLevelType w:val="hybridMultilevel"/>
    <w:tmpl w:val="7ECCCF0A"/>
    <w:lvl w:ilvl="0" w:tplc="E888474A">
      <w:start w:val="14"/>
      <w:numFmt w:val="bullet"/>
      <w:lvlText w:val="-"/>
      <w:lvlJc w:val="left"/>
      <w:pPr>
        <w:ind w:left="1259" w:hanging="360"/>
      </w:pPr>
      <w:rPr>
        <w:rFonts w:ascii="Times New Roman" w:eastAsia="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15:restartNumberingAfterBreak="0">
    <w:nsid w:val="6D6F78AA"/>
    <w:multiLevelType w:val="hybridMultilevel"/>
    <w:tmpl w:val="9CE6CC88"/>
    <w:lvl w:ilvl="0" w:tplc="D3064BA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DE3527"/>
    <w:multiLevelType w:val="hybridMultilevel"/>
    <w:tmpl w:val="B30443D2"/>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4" w15:restartNumberingAfterBreak="0">
    <w:nsid w:val="75231D42"/>
    <w:multiLevelType w:val="hybridMultilevel"/>
    <w:tmpl w:val="C83C49F8"/>
    <w:lvl w:ilvl="0" w:tplc="D2442304">
      <w:start w:val="1"/>
      <w:numFmt w:val="bullet"/>
      <w:lvlText w:val=""/>
      <w:lvlJc w:val="left"/>
      <w:pPr>
        <w:ind w:left="1080" w:hanging="72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C08C7"/>
    <w:multiLevelType w:val="multilevel"/>
    <w:tmpl w:val="954AD782"/>
    <w:lvl w:ilvl="0">
      <w:start w:val="1"/>
      <w:numFmt w:val="upperRoman"/>
      <w:lvlText w:val="%1."/>
      <w:lvlJc w:val="righ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36" w15:restartNumberingAfterBreak="0">
    <w:nsid w:val="77860F36"/>
    <w:multiLevelType w:val="hybridMultilevel"/>
    <w:tmpl w:val="1E1099F6"/>
    <w:lvl w:ilvl="0" w:tplc="CBF4F7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BE564C"/>
    <w:multiLevelType w:val="hybridMultilevel"/>
    <w:tmpl w:val="95EAA48E"/>
    <w:lvl w:ilvl="0" w:tplc="EDEE603C">
      <w:start w:val="1"/>
      <w:numFmt w:val="bullet"/>
      <w:lvlText w:val=""/>
      <w:lvlJc w:val="left"/>
      <w:pPr>
        <w:ind w:left="720" w:hanging="360"/>
      </w:pPr>
      <w:rPr>
        <w:rFonts w:ascii="Symbol" w:hAnsi="Symbol" w:hint="default"/>
      </w:rPr>
    </w:lvl>
    <w:lvl w:ilvl="1" w:tplc="3926C2DA" w:tentative="1">
      <w:start w:val="1"/>
      <w:numFmt w:val="bullet"/>
      <w:lvlText w:val="o"/>
      <w:lvlJc w:val="left"/>
      <w:pPr>
        <w:ind w:left="1440" w:hanging="360"/>
      </w:pPr>
      <w:rPr>
        <w:rFonts w:ascii="Courier New" w:hAnsi="Courier New" w:cs="Courier New" w:hint="default"/>
      </w:rPr>
    </w:lvl>
    <w:lvl w:ilvl="2" w:tplc="CB9213BC" w:tentative="1">
      <w:start w:val="1"/>
      <w:numFmt w:val="bullet"/>
      <w:lvlText w:val=""/>
      <w:lvlJc w:val="left"/>
      <w:pPr>
        <w:ind w:left="2160" w:hanging="360"/>
      </w:pPr>
      <w:rPr>
        <w:rFonts w:ascii="Wingdings" w:hAnsi="Wingdings" w:hint="default"/>
      </w:rPr>
    </w:lvl>
    <w:lvl w:ilvl="3" w:tplc="922ACCDC" w:tentative="1">
      <w:start w:val="1"/>
      <w:numFmt w:val="bullet"/>
      <w:lvlText w:val=""/>
      <w:lvlJc w:val="left"/>
      <w:pPr>
        <w:ind w:left="2880" w:hanging="360"/>
      </w:pPr>
      <w:rPr>
        <w:rFonts w:ascii="Symbol" w:hAnsi="Symbol" w:hint="default"/>
      </w:rPr>
    </w:lvl>
    <w:lvl w:ilvl="4" w:tplc="945AEF50" w:tentative="1">
      <w:start w:val="1"/>
      <w:numFmt w:val="bullet"/>
      <w:lvlText w:val="o"/>
      <w:lvlJc w:val="left"/>
      <w:pPr>
        <w:ind w:left="3600" w:hanging="360"/>
      </w:pPr>
      <w:rPr>
        <w:rFonts w:ascii="Courier New" w:hAnsi="Courier New" w:cs="Courier New" w:hint="default"/>
      </w:rPr>
    </w:lvl>
    <w:lvl w:ilvl="5" w:tplc="6888C4DC" w:tentative="1">
      <w:start w:val="1"/>
      <w:numFmt w:val="bullet"/>
      <w:lvlText w:val=""/>
      <w:lvlJc w:val="left"/>
      <w:pPr>
        <w:ind w:left="4320" w:hanging="360"/>
      </w:pPr>
      <w:rPr>
        <w:rFonts w:ascii="Wingdings" w:hAnsi="Wingdings" w:hint="default"/>
      </w:rPr>
    </w:lvl>
    <w:lvl w:ilvl="6" w:tplc="DAEE76BA" w:tentative="1">
      <w:start w:val="1"/>
      <w:numFmt w:val="bullet"/>
      <w:lvlText w:val=""/>
      <w:lvlJc w:val="left"/>
      <w:pPr>
        <w:ind w:left="5040" w:hanging="360"/>
      </w:pPr>
      <w:rPr>
        <w:rFonts w:ascii="Symbol" w:hAnsi="Symbol" w:hint="default"/>
      </w:rPr>
    </w:lvl>
    <w:lvl w:ilvl="7" w:tplc="521C7F32" w:tentative="1">
      <w:start w:val="1"/>
      <w:numFmt w:val="bullet"/>
      <w:lvlText w:val="o"/>
      <w:lvlJc w:val="left"/>
      <w:pPr>
        <w:ind w:left="5760" w:hanging="360"/>
      </w:pPr>
      <w:rPr>
        <w:rFonts w:ascii="Courier New" w:hAnsi="Courier New" w:cs="Courier New" w:hint="default"/>
      </w:rPr>
    </w:lvl>
    <w:lvl w:ilvl="8" w:tplc="27E6EDAC" w:tentative="1">
      <w:start w:val="1"/>
      <w:numFmt w:val="bullet"/>
      <w:lvlText w:val=""/>
      <w:lvlJc w:val="left"/>
      <w:pPr>
        <w:ind w:left="6480" w:hanging="360"/>
      </w:pPr>
      <w:rPr>
        <w:rFonts w:ascii="Wingdings" w:hAnsi="Wingdings" w:hint="default"/>
      </w:rPr>
    </w:lvl>
  </w:abstractNum>
  <w:abstractNum w:abstractNumId="38" w15:restartNumberingAfterBreak="0">
    <w:nsid w:val="7B512631"/>
    <w:multiLevelType w:val="multilevel"/>
    <w:tmpl w:val="B16CFA5C"/>
    <w:lvl w:ilvl="0">
      <w:start w:val="1"/>
      <w:numFmt w:val="bullet"/>
      <w:lvlText w:val="•"/>
      <w:lvlJc w:val="left"/>
      <w:pPr>
        <w:ind w:left="0" w:firstLine="0"/>
      </w:pPr>
      <w:rPr>
        <w:rFonts w:ascii="Arial" w:eastAsia="Arial" w:hAnsi="Arial" w:cs="Arial"/>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7B942FD1"/>
    <w:multiLevelType w:val="multilevel"/>
    <w:tmpl w:val="2F0A1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795DEF"/>
    <w:multiLevelType w:val="hybridMultilevel"/>
    <w:tmpl w:val="E4E82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2040EF"/>
    <w:multiLevelType w:val="hybridMultilevel"/>
    <w:tmpl w:val="A5A658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31"/>
  </w:num>
  <w:num w:numId="3">
    <w:abstractNumId w:val="27"/>
  </w:num>
  <w:num w:numId="4">
    <w:abstractNumId w:val="10"/>
  </w:num>
  <w:num w:numId="5">
    <w:abstractNumId w:val="40"/>
  </w:num>
  <w:num w:numId="6">
    <w:abstractNumId w:val="20"/>
  </w:num>
  <w:num w:numId="7">
    <w:abstractNumId w:val="8"/>
  </w:num>
  <w:num w:numId="8">
    <w:abstractNumId w:val="19"/>
  </w:num>
  <w:num w:numId="9">
    <w:abstractNumId w:val="32"/>
  </w:num>
  <w:num w:numId="10">
    <w:abstractNumId w:val="36"/>
  </w:num>
  <w:num w:numId="11">
    <w:abstractNumId w:val="0"/>
  </w:num>
  <w:num w:numId="12">
    <w:abstractNumId w:val="18"/>
  </w:num>
  <w:num w:numId="13">
    <w:abstractNumId w:val="13"/>
  </w:num>
  <w:num w:numId="14">
    <w:abstractNumId w:val="33"/>
  </w:num>
  <w:num w:numId="15">
    <w:abstractNumId w:val="12"/>
  </w:num>
  <w:num w:numId="16">
    <w:abstractNumId w:val="6"/>
  </w:num>
  <w:num w:numId="17">
    <w:abstractNumId w:val="21"/>
  </w:num>
  <w:num w:numId="18">
    <w:abstractNumId w:val="38"/>
  </w:num>
  <w:num w:numId="19">
    <w:abstractNumId w:val="39"/>
  </w:num>
  <w:num w:numId="20">
    <w:abstractNumId w:val="5"/>
  </w:num>
  <w:num w:numId="21">
    <w:abstractNumId w:val="41"/>
  </w:num>
  <w:num w:numId="22">
    <w:abstractNumId w:val="7"/>
  </w:num>
  <w:num w:numId="23">
    <w:abstractNumId w:val="11"/>
  </w:num>
  <w:num w:numId="24">
    <w:abstractNumId w:val="30"/>
  </w:num>
  <w:num w:numId="25">
    <w:abstractNumId w:val="17"/>
  </w:num>
  <w:num w:numId="26">
    <w:abstractNumId w:val="26"/>
  </w:num>
  <w:num w:numId="27">
    <w:abstractNumId w:val="35"/>
  </w:num>
  <w:num w:numId="28">
    <w:abstractNumId w:val="3"/>
  </w:num>
  <w:num w:numId="29">
    <w:abstractNumId w:val="22"/>
  </w:num>
  <w:num w:numId="30">
    <w:abstractNumId w:val="25"/>
  </w:num>
  <w:num w:numId="31">
    <w:abstractNumId w:val="28"/>
  </w:num>
  <w:num w:numId="32">
    <w:abstractNumId w:val="4"/>
  </w:num>
  <w:num w:numId="33">
    <w:abstractNumId w:val="34"/>
  </w:num>
  <w:num w:numId="34">
    <w:abstractNumId w:val="15"/>
  </w:num>
  <w:num w:numId="35">
    <w:abstractNumId w:val="16"/>
  </w:num>
  <w:num w:numId="36">
    <w:abstractNumId w:val="1"/>
  </w:num>
  <w:num w:numId="37">
    <w:abstractNumId w:val="23"/>
  </w:num>
  <w:num w:numId="38">
    <w:abstractNumId w:val="2"/>
  </w:num>
  <w:num w:numId="39">
    <w:abstractNumId w:val="29"/>
  </w:num>
  <w:num w:numId="40">
    <w:abstractNumId w:val="24"/>
  </w:num>
  <w:num w:numId="41">
    <w:abstractNumId w:val="3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1B9D"/>
    <w:rsid w:val="00002818"/>
    <w:rsid w:val="00003F58"/>
    <w:rsid w:val="00006ECF"/>
    <w:rsid w:val="0001041B"/>
    <w:rsid w:val="00026240"/>
    <w:rsid w:val="00031CCD"/>
    <w:rsid w:val="00032DE7"/>
    <w:rsid w:val="00056694"/>
    <w:rsid w:val="00057105"/>
    <w:rsid w:val="00074D95"/>
    <w:rsid w:val="000876B2"/>
    <w:rsid w:val="00096654"/>
    <w:rsid w:val="000A4184"/>
    <w:rsid w:val="000B610C"/>
    <w:rsid w:val="000C1B13"/>
    <w:rsid w:val="000C2616"/>
    <w:rsid w:val="000C4041"/>
    <w:rsid w:val="000C4B0A"/>
    <w:rsid w:val="000C60D0"/>
    <w:rsid w:val="000C62D5"/>
    <w:rsid w:val="000D4775"/>
    <w:rsid w:val="000D6BD3"/>
    <w:rsid w:val="000E3C8B"/>
    <w:rsid w:val="000F4AC5"/>
    <w:rsid w:val="000F59D7"/>
    <w:rsid w:val="00100DE9"/>
    <w:rsid w:val="001163E7"/>
    <w:rsid w:val="001206E5"/>
    <w:rsid w:val="00120E8E"/>
    <w:rsid w:val="00130FA4"/>
    <w:rsid w:val="00135244"/>
    <w:rsid w:val="001431BB"/>
    <w:rsid w:val="00151221"/>
    <w:rsid w:val="00154BF3"/>
    <w:rsid w:val="00156922"/>
    <w:rsid w:val="00156AF1"/>
    <w:rsid w:val="001703B9"/>
    <w:rsid w:val="00172349"/>
    <w:rsid w:val="00175454"/>
    <w:rsid w:val="001B0D84"/>
    <w:rsid w:val="001C3AD3"/>
    <w:rsid w:val="001C684D"/>
    <w:rsid w:val="001D38A2"/>
    <w:rsid w:val="001D70EB"/>
    <w:rsid w:val="001E5562"/>
    <w:rsid w:val="001F533F"/>
    <w:rsid w:val="002059CD"/>
    <w:rsid w:val="00206FA1"/>
    <w:rsid w:val="00214C87"/>
    <w:rsid w:val="002252A2"/>
    <w:rsid w:val="00241312"/>
    <w:rsid w:val="00250CB0"/>
    <w:rsid w:val="00270999"/>
    <w:rsid w:val="002727A9"/>
    <w:rsid w:val="00281551"/>
    <w:rsid w:val="00286767"/>
    <w:rsid w:val="0029086D"/>
    <w:rsid w:val="00294F63"/>
    <w:rsid w:val="002C235D"/>
    <w:rsid w:val="002D1836"/>
    <w:rsid w:val="002D5AD8"/>
    <w:rsid w:val="002F31F9"/>
    <w:rsid w:val="003018CB"/>
    <w:rsid w:val="003023B0"/>
    <w:rsid w:val="00316BCC"/>
    <w:rsid w:val="00320E34"/>
    <w:rsid w:val="00323A76"/>
    <w:rsid w:val="00326C82"/>
    <w:rsid w:val="00331A5B"/>
    <w:rsid w:val="00346EA2"/>
    <w:rsid w:val="00347FFB"/>
    <w:rsid w:val="00350641"/>
    <w:rsid w:val="00351721"/>
    <w:rsid w:val="00357959"/>
    <w:rsid w:val="00363472"/>
    <w:rsid w:val="00375957"/>
    <w:rsid w:val="00375BE2"/>
    <w:rsid w:val="0038280D"/>
    <w:rsid w:val="00384AA8"/>
    <w:rsid w:val="00385B60"/>
    <w:rsid w:val="003954B2"/>
    <w:rsid w:val="003A60C0"/>
    <w:rsid w:val="003A61A6"/>
    <w:rsid w:val="003A703C"/>
    <w:rsid w:val="003B2855"/>
    <w:rsid w:val="003B4723"/>
    <w:rsid w:val="003E0BA2"/>
    <w:rsid w:val="003E6CBF"/>
    <w:rsid w:val="003F1F51"/>
    <w:rsid w:val="003F44CA"/>
    <w:rsid w:val="003F5580"/>
    <w:rsid w:val="003F5A03"/>
    <w:rsid w:val="003F665F"/>
    <w:rsid w:val="00404D35"/>
    <w:rsid w:val="0041559F"/>
    <w:rsid w:val="00416B57"/>
    <w:rsid w:val="00416F99"/>
    <w:rsid w:val="00420E25"/>
    <w:rsid w:val="00424207"/>
    <w:rsid w:val="00430094"/>
    <w:rsid w:val="00432B0E"/>
    <w:rsid w:val="0043320A"/>
    <w:rsid w:val="00434263"/>
    <w:rsid w:val="00440C10"/>
    <w:rsid w:val="0044331D"/>
    <w:rsid w:val="00470F52"/>
    <w:rsid w:val="004710FD"/>
    <w:rsid w:val="00473F68"/>
    <w:rsid w:val="004750C2"/>
    <w:rsid w:val="00477D23"/>
    <w:rsid w:val="004820D8"/>
    <w:rsid w:val="004821E1"/>
    <w:rsid w:val="00485342"/>
    <w:rsid w:val="004901FE"/>
    <w:rsid w:val="00492B36"/>
    <w:rsid w:val="004B761D"/>
    <w:rsid w:val="004C5AB0"/>
    <w:rsid w:val="004D598D"/>
    <w:rsid w:val="004E2B38"/>
    <w:rsid w:val="004E560C"/>
    <w:rsid w:val="004E721D"/>
    <w:rsid w:val="004E7D18"/>
    <w:rsid w:val="004F144A"/>
    <w:rsid w:val="004F4C7A"/>
    <w:rsid w:val="004F6862"/>
    <w:rsid w:val="005001F2"/>
    <w:rsid w:val="00506809"/>
    <w:rsid w:val="00520372"/>
    <w:rsid w:val="00526109"/>
    <w:rsid w:val="005264C2"/>
    <w:rsid w:val="00530A39"/>
    <w:rsid w:val="005438B8"/>
    <w:rsid w:val="0054675E"/>
    <w:rsid w:val="00553042"/>
    <w:rsid w:val="00556105"/>
    <w:rsid w:val="005613FB"/>
    <w:rsid w:val="005702C7"/>
    <w:rsid w:val="0057497E"/>
    <w:rsid w:val="005774FE"/>
    <w:rsid w:val="00580004"/>
    <w:rsid w:val="00582A55"/>
    <w:rsid w:val="00582F91"/>
    <w:rsid w:val="00586066"/>
    <w:rsid w:val="00596866"/>
    <w:rsid w:val="005A3ACC"/>
    <w:rsid w:val="005A5AAD"/>
    <w:rsid w:val="005B4983"/>
    <w:rsid w:val="005C1655"/>
    <w:rsid w:val="005C465A"/>
    <w:rsid w:val="005D2C6D"/>
    <w:rsid w:val="005D346F"/>
    <w:rsid w:val="005D6E1B"/>
    <w:rsid w:val="005F0138"/>
    <w:rsid w:val="0060626A"/>
    <w:rsid w:val="00610DBE"/>
    <w:rsid w:val="006128BD"/>
    <w:rsid w:val="006214E7"/>
    <w:rsid w:val="006275B7"/>
    <w:rsid w:val="0063345B"/>
    <w:rsid w:val="00642CC5"/>
    <w:rsid w:val="0064647D"/>
    <w:rsid w:val="00646C3A"/>
    <w:rsid w:val="006471FA"/>
    <w:rsid w:val="0065197F"/>
    <w:rsid w:val="00667372"/>
    <w:rsid w:val="006816DB"/>
    <w:rsid w:val="00681B14"/>
    <w:rsid w:val="00691AB0"/>
    <w:rsid w:val="0069577E"/>
    <w:rsid w:val="00695E6E"/>
    <w:rsid w:val="00696BF3"/>
    <w:rsid w:val="00696DFB"/>
    <w:rsid w:val="006972DB"/>
    <w:rsid w:val="006B2537"/>
    <w:rsid w:val="006C0D8F"/>
    <w:rsid w:val="006C1E84"/>
    <w:rsid w:val="006C2D3C"/>
    <w:rsid w:val="006C6C77"/>
    <w:rsid w:val="006D5510"/>
    <w:rsid w:val="006D6898"/>
    <w:rsid w:val="006E2B7F"/>
    <w:rsid w:val="006F3706"/>
    <w:rsid w:val="006F492D"/>
    <w:rsid w:val="00730B6D"/>
    <w:rsid w:val="0073200A"/>
    <w:rsid w:val="007411B1"/>
    <w:rsid w:val="00745925"/>
    <w:rsid w:val="00774FB7"/>
    <w:rsid w:val="00775882"/>
    <w:rsid w:val="007804E2"/>
    <w:rsid w:val="00782EBA"/>
    <w:rsid w:val="0078603D"/>
    <w:rsid w:val="00795839"/>
    <w:rsid w:val="007A49C4"/>
    <w:rsid w:val="007A6CA9"/>
    <w:rsid w:val="007C299F"/>
    <w:rsid w:val="007C6592"/>
    <w:rsid w:val="007C748C"/>
    <w:rsid w:val="007D59F6"/>
    <w:rsid w:val="007E3807"/>
    <w:rsid w:val="007E4C42"/>
    <w:rsid w:val="007F401F"/>
    <w:rsid w:val="007F7869"/>
    <w:rsid w:val="008116B6"/>
    <w:rsid w:val="008162AE"/>
    <w:rsid w:val="0082293D"/>
    <w:rsid w:val="00835206"/>
    <w:rsid w:val="008538CB"/>
    <w:rsid w:val="0089054D"/>
    <w:rsid w:val="008918CF"/>
    <w:rsid w:val="008929AC"/>
    <w:rsid w:val="00895B63"/>
    <w:rsid w:val="00896A49"/>
    <w:rsid w:val="008A4096"/>
    <w:rsid w:val="008A4AA7"/>
    <w:rsid w:val="008B2A92"/>
    <w:rsid w:val="008D0BA2"/>
    <w:rsid w:val="008D7557"/>
    <w:rsid w:val="008F1B0E"/>
    <w:rsid w:val="009034B7"/>
    <w:rsid w:val="0090479D"/>
    <w:rsid w:val="009118D3"/>
    <w:rsid w:val="00916E24"/>
    <w:rsid w:val="00923121"/>
    <w:rsid w:val="00924D6C"/>
    <w:rsid w:val="00930D65"/>
    <w:rsid w:val="009334C4"/>
    <w:rsid w:val="00933C49"/>
    <w:rsid w:val="009436FD"/>
    <w:rsid w:val="00952D53"/>
    <w:rsid w:val="00956D23"/>
    <w:rsid w:val="00960788"/>
    <w:rsid w:val="009761BB"/>
    <w:rsid w:val="00976724"/>
    <w:rsid w:val="009830E4"/>
    <w:rsid w:val="00992562"/>
    <w:rsid w:val="009A4ED9"/>
    <w:rsid w:val="009A5E91"/>
    <w:rsid w:val="009B5564"/>
    <w:rsid w:val="009C0E1C"/>
    <w:rsid w:val="009C1341"/>
    <w:rsid w:val="009C1EC8"/>
    <w:rsid w:val="009D1B01"/>
    <w:rsid w:val="009D392D"/>
    <w:rsid w:val="009D722E"/>
    <w:rsid w:val="009E51A3"/>
    <w:rsid w:val="009F79EA"/>
    <w:rsid w:val="00A00BCF"/>
    <w:rsid w:val="00A0298B"/>
    <w:rsid w:val="00A02B81"/>
    <w:rsid w:val="00A05A45"/>
    <w:rsid w:val="00A06A77"/>
    <w:rsid w:val="00A212F5"/>
    <w:rsid w:val="00A25AC0"/>
    <w:rsid w:val="00A33157"/>
    <w:rsid w:val="00A6794D"/>
    <w:rsid w:val="00A747AD"/>
    <w:rsid w:val="00A7533D"/>
    <w:rsid w:val="00A75436"/>
    <w:rsid w:val="00A806A9"/>
    <w:rsid w:val="00A82A2A"/>
    <w:rsid w:val="00A850AA"/>
    <w:rsid w:val="00A86FEC"/>
    <w:rsid w:val="00A92AD2"/>
    <w:rsid w:val="00A968EB"/>
    <w:rsid w:val="00AB46AD"/>
    <w:rsid w:val="00AB4F6E"/>
    <w:rsid w:val="00AB7E09"/>
    <w:rsid w:val="00AC1D15"/>
    <w:rsid w:val="00AC21E1"/>
    <w:rsid w:val="00AC7DAD"/>
    <w:rsid w:val="00AE480E"/>
    <w:rsid w:val="00AF3BB8"/>
    <w:rsid w:val="00B264D9"/>
    <w:rsid w:val="00B3630A"/>
    <w:rsid w:val="00B37268"/>
    <w:rsid w:val="00B454AE"/>
    <w:rsid w:val="00B47614"/>
    <w:rsid w:val="00B60C85"/>
    <w:rsid w:val="00B662E2"/>
    <w:rsid w:val="00B67392"/>
    <w:rsid w:val="00B80D7A"/>
    <w:rsid w:val="00B84F8B"/>
    <w:rsid w:val="00B92C3E"/>
    <w:rsid w:val="00B9707F"/>
    <w:rsid w:val="00BA15AE"/>
    <w:rsid w:val="00BA37F2"/>
    <w:rsid w:val="00BA4299"/>
    <w:rsid w:val="00BA51E2"/>
    <w:rsid w:val="00BA5ED4"/>
    <w:rsid w:val="00BB229B"/>
    <w:rsid w:val="00BB312A"/>
    <w:rsid w:val="00BC1BB9"/>
    <w:rsid w:val="00BC4215"/>
    <w:rsid w:val="00BC5AD8"/>
    <w:rsid w:val="00BC63D4"/>
    <w:rsid w:val="00BC7DCF"/>
    <w:rsid w:val="00BD6CBC"/>
    <w:rsid w:val="00BE2B5B"/>
    <w:rsid w:val="00BE33D0"/>
    <w:rsid w:val="00C06448"/>
    <w:rsid w:val="00C17D03"/>
    <w:rsid w:val="00C3611B"/>
    <w:rsid w:val="00C54F80"/>
    <w:rsid w:val="00C57283"/>
    <w:rsid w:val="00C66047"/>
    <w:rsid w:val="00C74980"/>
    <w:rsid w:val="00C95ED8"/>
    <w:rsid w:val="00CC061B"/>
    <w:rsid w:val="00CC1E0E"/>
    <w:rsid w:val="00CF23A9"/>
    <w:rsid w:val="00CF3D20"/>
    <w:rsid w:val="00D03204"/>
    <w:rsid w:val="00D070AF"/>
    <w:rsid w:val="00D127E0"/>
    <w:rsid w:val="00D26B5F"/>
    <w:rsid w:val="00D33227"/>
    <w:rsid w:val="00D46619"/>
    <w:rsid w:val="00D565EB"/>
    <w:rsid w:val="00D7437E"/>
    <w:rsid w:val="00D75383"/>
    <w:rsid w:val="00D863B4"/>
    <w:rsid w:val="00D86AAB"/>
    <w:rsid w:val="00D86C43"/>
    <w:rsid w:val="00D87C95"/>
    <w:rsid w:val="00D9093E"/>
    <w:rsid w:val="00D95B1B"/>
    <w:rsid w:val="00DA15DD"/>
    <w:rsid w:val="00DA1CBF"/>
    <w:rsid w:val="00DA2B1A"/>
    <w:rsid w:val="00DA453B"/>
    <w:rsid w:val="00DB2F8A"/>
    <w:rsid w:val="00DB3FE7"/>
    <w:rsid w:val="00DD0551"/>
    <w:rsid w:val="00DD4C88"/>
    <w:rsid w:val="00DF4EEE"/>
    <w:rsid w:val="00E01B8A"/>
    <w:rsid w:val="00E02211"/>
    <w:rsid w:val="00E06DD6"/>
    <w:rsid w:val="00E07723"/>
    <w:rsid w:val="00E07E32"/>
    <w:rsid w:val="00E111A4"/>
    <w:rsid w:val="00E243C5"/>
    <w:rsid w:val="00E33E1F"/>
    <w:rsid w:val="00E5321A"/>
    <w:rsid w:val="00E55510"/>
    <w:rsid w:val="00E74DC0"/>
    <w:rsid w:val="00E80CEF"/>
    <w:rsid w:val="00EA68BF"/>
    <w:rsid w:val="00EB3681"/>
    <w:rsid w:val="00EB5460"/>
    <w:rsid w:val="00EC14AF"/>
    <w:rsid w:val="00EC218D"/>
    <w:rsid w:val="00EC50B8"/>
    <w:rsid w:val="00ED32DF"/>
    <w:rsid w:val="00EE5203"/>
    <w:rsid w:val="00EF0101"/>
    <w:rsid w:val="00EF0C24"/>
    <w:rsid w:val="00EF1496"/>
    <w:rsid w:val="00EF6F48"/>
    <w:rsid w:val="00F00846"/>
    <w:rsid w:val="00F01F98"/>
    <w:rsid w:val="00F05CDC"/>
    <w:rsid w:val="00F12C3A"/>
    <w:rsid w:val="00F136E7"/>
    <w:rsid w:val="00F13FA6"/>
    <w:rsid w:val="00F17486"/>
    <w:rsid w:val="00F20E1C"/>
    <w:rsid w:val="00F24720"/>
    <w:rsid w:val="00F4110F"/>
    <w:rsid w:val="00F43AFB"/>
    <w:rsid w:val="00F60ABB"/>
    <w:rsid w:val="00F60EB4"/>
    <w:rsid w:val="00F62D58"/>
    <w:rsid w:val="00F634AC"/>
    <w:rsid w:val="00F65364"/>
    <w:rsid w:val="00F65DFE"/>
    <w:rsid w:val="00F701BE"/>
    <w:rsid w:val="00F757D7"/>
    <w:rsid w:val="00F776E4"/>
    <w:rsid w:val="00F77990"/>
    <w:rsid w:val="00F77A5B"/>
    <w:rsid w:val="00F90B61"/>
    <w:rsid w:val="00FA07F3"/>
    <w:rsid w:val="00FA553D"/>
    <w:rsid w:val="00FB71B3"/>
    <w:rsid w:val="00FC2F6B"/>
    <w:rsid w:val="00FC68D7"/>
    <w:rsid w:val="00FC6F1B"/>
    <w:rsid w:val="00FD03A4"/>
    <w:rsid w:val="00FD0E23"/>
    <w:rsid w:val="00FF1F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C44E4"/>
  <w15:docId w15:val="{0E050F93-2891-44B5-AF31-54F90028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26A"/>
    <w:rPr>
      <w:rFonts w:ascii="CG Times" w:hAnsi="CG Times"/>
      <w:sz w:val="22"/>
      <w:lang w:val="en-US" w:eastAsia="en-US"/>
    </w:rPr>
  </w:style>
  <w:style w:type="paragraph" w:styleId="1">
    <w:name w:val="heading 1"/>
    <w:basedOn w:val="a"/>
    <w:next w:val="a"/>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rsid w:val="008A4AA7"/>
    <w:pPr>
      <w:keepNext/>
      <w:keepLines/>
      <w:tabs>
        <w:tab w:val="left" w:pos="-720"/>
      </w:tabs>
      <w:suppressAutoHyphens/>
      <w:jc w:val="center"/>
      <w:outlineLvl w:val="1"/>
    </w:pPr>
    <w:rPr>
      <w:b/>
      <w:smallCaps/>
    </w:rPr>
  </w:style>
  <w:style w:type="paragraph" w:styleId="3">
    <w:name w:val="heading 3"/>
    <w:basedOn w:val="a"/>
    <w:next w:val="a"/>
    <w:qFormat/>
    <w:rsid w:val="008A4AA7"/>
    <w:pPr>
      <w:keepNext/>
      <w:keepLines/>
      <w:tabs>
        <w:tab w:val="left" w:pos="-720"/>
      </w:tabs>
      <w:suppressAutoHyphens/>
      <w:outlineLvl w:val="2"/>
    </w:pPr>
    <w:rPr>
      <w:b/>
    </w:rPr>
  </w:style>
  <w:style w:type="paragraph" w:styleId="4">
    <w:name w:val="heading 4"/>
    <w:basedOn w:val="a"/>
    <w:next w:val="a"/>
    <w:qFormat/>
    <w:rsid w:val="008A4AA7"/>
    <w:pPr>
      <w:keepNext/>
      <w:keepLines/>
      <w:tabs>
        <w:tab w:val="left" w:pos="-720"/>
      </w:tabs>
      <w:suppressAutoHyphens/>
      <w:outlineLvl w:val="3"/>
    </w:pPr>
    <w:rPr>
      <w:b/>
      <w:i/>
    </w:rPr>
  </w:style>
  <w:style w:type="paragraph" w:styleId="5">
    <w:name w:val="heading 5"/>
    <w:basedOn w:val="a"/>
    <w:next w:val="a"/>
    <w:qFormat/>
    <w:rsid w:val="008A4AA7"/>
    <w:pPr>
      <w:tabs>
        <w:tab w:val="left" w:pos="-720"/>
      </w:tabs>
      <w:suppressAutoHyphens/>
      <w:outlineLvl w:val="4"/>
    </w:pPr>
  </w:style>
  <w:style w:type="paragraph" w:styleId="6">
    <w:name w:val="heading 6"/>
    <w:basedOn w:val="a"/>
    <w:next w:val="a"/>
    <w:qFormat/>
    <w:rsid w:val="008A4AA7"/>
    <w:pPr>
      <w:tabs>
        <w:tab w:val="left" w:pos="-720"/>
      </w:tabs>
      <w:suppressAutoHyphens/>
      <w:outlineLvl w:val="5"/>
    </w:pPr>
  </w:style>
  <w:style w:type="paragraph" w:styleId="7">
    <w:name w:val="heading 7"/>
    <w:basedOn w:val="a"/>
    <w:next w:val="a"/>
    <w:qFormat/>
    <w:rsid w:val="008A4AA7"/>
    <w:pPr>
      <w:tabs>
        <w:tab w:val="left" w:pos="-720"/>
      </w:tabs>
      <w:suppressAutoHyphens/>
      <w:outlineLvl w:val="6"/>
    </w:pPr>
  </w:style>
  <w:style w:type="paragraph" w:styleId="8">
    <w:name w:val="heading 8"/>
    <w:basedOn w:val="a"/>
    <w:next w:val="a"/>
    <w:qFormat/>
    <w:rsid w:val="008A4AA7"/>
    <w:pPr>
      <w:tabs>
        <w:tab w:val="left" w:pos="-720"/>
      </w:tabs>
      <w:suppressAutoHyphens/>
      <w:outlineLvl w:val="7"/>
    </w:pPr>
  </w:style>
  <w:style w:type="paragraph" w:styleId="9">
    <w:name w:val="heading 9"/>
    <w:basedOn w:val="a"/>
    <w:next w:val="a"/>
    <w:qFormat/>
    <w:rsid w:val="008A4AA7"/>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rsid w:val="008A4AA7"/>
  </w:style>
  <w:style w:type="paragraph" w:customStyle="1" w:styleId="ChapterNumber">
    <w:name w:val="ChapterNumber"/>
    <w:rsid w:val="008A4AA7"/>
    <w:pPr>
      <w:tabs>
        <w:tab w:val="left" w:pos="-720"/>
      </w:tabs>
      <w:suppressAutoHyphens/>
    </w:pPr>
    <w:rPr>
      <w:rFonts w:ascii="CG Times" w:hAnsi="CG Times"/>
      <w:sz w:val="22"/>
      <w:lang w:val="en-US" w:eastAsia="en-US"/>
    </w:rPr>
  </w:style>
  <w:style w:type="paragraph" w:styleId="a3">
    <w:name w:val="footer"/>
    <w:basedOn w:val="a"/>
    <w:link w:val="a4"/>
    <w:uiPriority w:val="99"/>
    <w:rsid w:val="008A4AA7"/>
    <w:pPr>
      <w:tabs>
        <w:tab w:val="left" w:pos="360"/>
        <w:tab w:val="right" w:pos="9000"/>
      </w:tabs>
      <w:suppressAutoHyphens/>
    </w:pPr>
  </w:style>
  <w:style w:type="character" w:styleId="a5">
    <w:name w:val="footnote reference"/>
    <w:basedOn w:val="a0"/>
    <w:semiHidden/>
    <w:rsid w:val="008A4AA7"/>
    <w:rPr>
      <w:rFonts w:ascii="CG Times" w:hAnsi="CG Times"/>
      <w:noProof w:val="0"/>
      <w:sz w:val="22"/>
      <w:vertAlign w:val="superscript"/>
      <w:lang w:val="en-US"/>
    </w:rPr>
  </w:style>
  <w:style w:type="paragraph" w:styleId="a6">
    <w:name w:val="footnote text"/>
    <w:basedOn w:val="a"/>
    <w:semiHidden/>
    <w:rsid w:val="008A4AA7"/>
    <w:pPr>
      <w:tabs>
        <w:tab w:val="left" w:pos="-720"/>
      </w:tabs>
      <w:suppressAutoHyphens/>
    </w:pPr>
    <w:rPr>
      <w:rFonts w:ascii="Times New Roman" w:hAnsi="Times New Roman"/>
      <w:sz w:val="20"/>
    </w:rPr>
  </w:style>
  <w:style w:type="paragraph" w:styleId="a7">
    <w:name w:val="header"/>
    <w:basedOn w:val="a"/>
    <w:semiHidden/>
    <w:rsid w:val="008A4AA7"/>
    <w:pPr>
      <w:tabs>
        <w:tab w:val="left" w:pos="360"/>
        <w:tab w:val="left" w:pos="7560"/>
        <w:tab w:val="left" w:pos="8280"/>
        <w:tab w:val="left" w:pos="9000"/>
      </w:tabs>
      <w:suppressAutoHyphens/>
    </w:pPr>
  </w:style>
  <w:style w:type="paragraph" w:styleId="a8">
    <w:name w:val="Normal Indent"/>
    <w:basedOn w:val="a"/>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lang w:val="en-US" w:eastAsia="en-US"/>
    </w:rPr>
  </w:style>
  <w:style w:type="paragraph" w:customStyle="1" w:styleId="TextBoxdots">
    <w:name w:val="Text Box (dots)"/>
    <w:rsid w:val="008A4AA7"/>
    <w:pPr>
      <w:keepNext/>
      <w:keepLines/>
      <w:tabs>
        <w:tab w:val="left" w:pos="-720"/>
      </w:tabs>
      <w:suppressAutoHyphens/>
      <w:jc w:val="both"/>
    </w:pPr>
    <w:rPr>
      <w:spacing w:val="-2"/>
      <w:sz w:val="22"/>
      <w:lang w:val="en-US" w:eastAsia="en-US"/>
    </w:rPr>
  </w:style>
  <w:style w:type="paragraph" w:customStyle="1" w:styleId="TextBoxFramed">
    <w:name w:val="Text Box Framed"/>
    <w:rsid w:val="008A4AA7"/>
    <w:pPr>
      <w:keepNext/>
      <w:keepLines/>
      <w:tabs>
        <w:tab w:val="left" w:pos="-720"/>
      </w:tabs>
      <w:suppressAutoHyphens/>
    </w:pPr>
    <w:rPr>
      <w:sz w:val="22"/>
      <w:lang w:val="en-US" w:eastAsia="en-US"/>
    </w:rPr>
  </w:style>
  <w:style w:type="paragraph" w:customStyle="1" w:styleId="TextBoxUnframed">
    <w:name w:val="Text Box Unframed"/>
    <w:rsid w:val="008A4AA7"/>
    <w:pPr>
      <w:keepNext/>
      <w:keepLines/>
      <w:tabs>
        <w:tab w:val="left" w:pos="-720"/>
      </w:tabs>
      <w:suppressAutoHyphens/>
    </w:pPr>
    <w:rPr>
      <w:sz w:val="22"/>
      <w:lang w:val="en-US" w:eastAsia="en-US"/>
    </w:rPr>
  </w:style>
  <w:style w:type="paragraph" w:customStyle="1" w:styleId="TOC11">
    <w:name w:val="TOC 11"/>
    <w:rsid w:val="008A4AA7"/>
    <w:pPr>
      <w:tabs>
        <w:tab w:val="left" w:pos="360"/>
      </w:tabs>
      <w:suppressAutoHyphens/>
    </w:pPr>
    <w:rPr>
      <w:rFonts w:ascii="CG Times" w:hAnsi="CG Times"/>
      <w:smallCaps/>
      <w:sz w:val="22"/>
      <w:lang w:val="en-US" w:eastAsia="en-US"/>
    </w:rPr>
  </w:style>
  <w:style w:type="paragraph" w:styleId="20">
    <w:name w:val="toc 2"/>
    <w:basedOn w:val="a"/>
    <w:next w:val="a"/>
    <w:semiHidden/>
    <w:rsid w:val="008A4AA7"/>
    <w:pPr>
      <w:tabs>
        <w:tab w:val="left" w:leader="dot" w:pos="9000"/>
        <w:tab w:val="right" w:pos="9360"/>
      </w:tabs>
      <w:suppressAutoHyphens/>
      <w:ind w:left="1440" w:right="720" w:hanging="720"/>
    </w:pPr>
  </w:style>
  <w:style w:type="paragraph" w:styleId="30">
    <w:name w:val="toc 3"/>
    <w:basedOn w:val="a"/>
    <w:next w:val="a"/>
    <w:semiHidden/>
    <w:rsid w:val="008A4AA7"/>
    <w:pPr>
      <w:tabs>
        <w:tab w:val="left" w:leader="dot" w:pos="9000"/>
        <w:tab w:val="right" w:pos="9360"/>
      </w:tabs>
      <w:suppressAutoHyphens/>
      <w:ind w:left="2160" w:right="720" w:hanging="720"/>
    </w:pPr>
  </w:style>
  <w:style w:type="paragraph" w:styleId="40">
    <w:name w:val="toc 4"/>
    <w:basedOn w:val="a"/>
    <w:next w:val="a"/>
    <w:semiHidden/>
    <w:rsid w:val="008A4AA7"/>
    <w:pPr>
      <w:tabs>
        <w:tab w:val="left" w:leader="dot" w:pos="9000"/>
        <w:tab w:val="right" w:pos="9360"/>
      </w:tabs>
      <w:suppressAutoHyphens/>
      <w:ind w:left="2880" w:right="720" w:hanging="720"/>
    </w:pPr>
  </w:style>
  <w:style w:type="paragraph" w:styleId="50">
    <w:name w:val="toc 5"/>
    <w:basedOn w:val="a"/>
    <w:next w:val="a"/>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lang w:val="en-US" w:eastAsia="en-US"/>
    </w:rPr>
  </w:style>
  <w:style w:type="paragraph" w:customStyle="1" w:styleId="Heading1a">
    <w:name w:val="Heading 1a"/>
    <w:rsid w:val="008A4AA7"/>
    <w:pPr>
      <w:keepNext/>
      <w:keepLines/>
      <w:tabs>
        <w:tab w:val="left" w:pos="-720"/>
      </w:tabs>
      <w:suppressAutoHyphens/>
      <w:jc w:val="center"/>
    </w:pPr>
    <w:rPr>
      <w:b/>
      <w:smallCaps/>
      <w:sz w:val="32"/>
      <w:lang w:val="en-US" w:eastAsia="en-US"/>
    </w:rPr>
  </w:style>
  <w:style w:type="paragraph" w:styleId="60">
    <w:name w:val="toc 6"/>
    <w:basedOn w:val="a"/>
    <w:next w:val="a"/>
    <w:semiHidden/>
    <w:rsid w:val="008A4AA7"/>
    <w:pPr>
      <w:tabs>
        <w:tab w:val="left" w:pos="9000"/>
        <w:tab w:val="right" w:pos="9360"/>
      </w:tabs>
      <w:suppressAutoHyphens/>
      <w:ind w:left="720" w:hanging="720"/>
    </w:pPr>
  </w:style>
  <w:style w:type="paragraph" w:styleId="70">
    <w:name w:val="toc 7"/>
    <w:basedOn w:val="a"/>
    <w:next w:val="a"/>
    <w:semiHidden/>
    <w:rsid w:val="008A4AA7"/>
    <w:pPr>
      <w:suppressAutoHyphens/>
      <w:ind w:left="720" w:hanging="720"/>
    </w:pPr>
  </w:style>
  <w:style w:type="paragraph" w:styleId="80">
    <w:name w:val="toc 8"/>
    <w:basedOn w:val="a"/>
    <w:next w:val="a"/>
    <w:semiHidden/>
    <w:rsid w:val="008A4AA7"/>
    <w:pPr>
      <w:tabs>
        <w:tab w:val="left" w:pos="9000"/>
        <w:tab w:val="right" w:pos="9360"/>
      </w:tabs>
      <w:suppressAutoHyphens/>
      <w:ind w:left="720" w:hanging="720"/>
    </w:pPr>
  </w:style>
  <w:style w:type="paragraph" w:styleId="90">
    <w:name w:val="toc 9"/>
    <w:basedOn w:val="a"/>
    <w:next w:val="a"/>
    <w:semiHidden/>
    <w:rsid w:val="008A4AA7"/>
    <w:pPr>
      <w:tabs>
        <w:tab w:val="left" w:leader="dot" w:pos="9000"/>
        <w:tab w:val="right" w:pos="9360"/>
      </w:tabs>
      <w:suppressAutoHyphens/>
      <w:ind w:left="720" w:hanging="720"/>
    </w:pPr>
  </w:style>
  <w:style w:type="paragraph" w:styleId="a9">
    <w:name w:val="endnote text"/>
    <w:basedOn w:val="a"/>
    <w:semiHidden/>
    <w:rsid w:val="008A4AA7"/>
    <w:pPr>
      <w:tabs>
        <w:tab w:val="left" w:pos="-720"/>
      </w:tabs>
      <w:suppressAutoHyphens/>
    </w:pPr>
    <w:rPr>
      <w:rFonts w:ascii="Times New Roman" w:hAnsi="Times New Roman"/>
      <w:sz w:val="20"/>
    </w:rPr>
  </w:style>
  <w:style w:type="character" w:styleId="aa">
    <w:name w:val="endnote reference"/>
    <w:basedOn w:val="a0"/>
    <w:semiHidden/>
    <w:rsid w:val="008A4AA7"/>
    <w:rPr>
      <w:rFonts w:ascii="CG Times" w:hAnsi="CG Times"/>
      <w:noProof w:val="0"/>
      <w:sz w:val="22"/>
      <w:vertAlign w:val="superscript"/>
      <w:lang w:val="en-US"/>
    </w:rPr>
  </w:style>
  <w:style w:type="paragraph" w:styleId="10">
    <w:name w:val="toc 1"/>
    <w:basedOn w:val="a"/>
    <w:next w:val="a"/>
    <w:semiHidden/>
    <w:rsid w:val="008A4AA7"/>
    <w:pPr>
      <w:tabs>
        <w:tab w:val="left" w:leader="dot" w:pos="9000"/>
        <w:tab w:val="right" w:pos="9360"/>
      </w:tabs>
      <w:suppressAutoHyphens/>
      <w:spacing w:before="480"/>
      <w:ind w:left="720" w:right="720" w:hanging="720"/>
    </w:pPr>
  </w:style>
  <w:style w:type="paragraph" w:styleId="11">
    <w:name w:val="index 1"/>
    <w:basedOn w:val="a"/>
    <w:next w:val="a"/>
    <w:semiHidden/>
    <w:rsid w:val="008A4AA7"/>
    <w:pPr>
      <w:tabs>
        <w:tab w:val="left" w:leader="dot" w:pos="9000"/>
        <w:tab w:val="right" w:pos="9360"/>
      </w:tabs>
      <w:suppressAutoHyphens/>
      <w:ind w:left="1440" w:right="720" w:hanging="1440"/>
    </w:pPr>
  </w:style>
  <w:style w:type="paragraph" w:styleId="21">
    <w:name w:val="index 2"/>
    <w:basedOn w:val="a"/>
    <w:next w:val="a"/>
    <w:semiHidden/>
    <w:rsid w:val="008A4AA7"/>
    <w:pPr>
      <w:tabs>
        <w:tab w:val="left" w:leader="dot" w:pos="9000"/>
        <w:tab w:val="right" w:pos="9360"/>
      </w:tabs>
      <w:suppressAutoHyphens/>
      <w:ind w:left="1440" w:right="720" w:hanging="720"/>
    </w:pPr>
  </w:style>
  <w:style w:type="paragraph" w:styleId="ab">
    <w:name w:val="toa heading"/>
    <w:basedOn w:val="a"/>
    <w:next w:val="a"/>
    <w:semiHidden/>
    <w:rsid w:val="008A4AA7"/>
    <w:pPr>
      <w:tabs>
        <w:tab w:val="left" w:pos="9000"/>
        <w:tab w:val="right" w:pos="9360"/>
      </w:tabs>
      <w:suppressAutoHyphens/>
    </w:pPr>
  </w:style>
  <w:style w:type="paragraph" w:styleId="ac">
    <w:name w:val="caption"/>
    <w:basedOn w:val="a"/>
    <w:next w:val="a"/>
    <w:qFormat/>
    <w:rsid w:val="008A4AA7"/>
    <w:rPr>
      <w:sz w:val="24"/>
    </w:rPr>
  </w:style>
  <w:style w:type="character" w:customStyle="1" w:styleId="EquationCaption">
    <w:name w:val="_Equation Caption"/>
    <w:rsid w:val="008A4AA7"/>
  </w:style>
  <w:style w:type="paragraph" w:styleId="ad">
    <w:name w:val="Body Text"/>
    <w:basedOn w:val="a"/>
    <w:semiHidden/>
    <w:rsid w:val="008A4AA7"/>
    <w:pPr>
      <w:suppressAutoHyphens/>
    </w:pPr>
    <w:rPr>
      <w:spacing w:val="-2"/>
      <w:sz w:val="24"/>
    </w:rPr>
  </w:style>
  <w:style w:type="character" w:styleId="ae">
    <w:name w:val="Hyperlink"/>
    <w:basedOn w:val="a0"/>
    <w:uiPriority w:val="99"/>
    <w:rsid w:val="008A4AA7"/>
    <w:rPr>
      <w:color w:val="0000FF"/>
      <w:u w:val="single"/>
    </w:rPr>
  </w:style>
  <w:style w:type="character" w:styleId="af">
    <w:name w:val="annotation reference"/>
    <w:basedOn w:val="a0"/>
    <w:uiPriority w:val="99"/>
    <w:semiHidden/>
    <w:unhideWhenUsed/>
    <w:rsid w:val="00E07E32"/>
    <w:rPr>
      <w:sz w:val="16"/>
      <w:szCs w:val="16"/>
    </w:rPr>
  </w:style>
  <w:style w:type="paragraph" w:styleId="af0">
    <w:name w:val="annotation text"/>
    <w:basedOn w:val="a"/>
    <w:link w:val="af1"/>
    <w:uiPriority w:val="99"/>
    <w:semiHidden/>
    <w:unhideWhenUsed/>
    <w:rsid w:val="00E07E32"/>
    <w:rPr>
      <w:sz w:val="20"/>
    </w:rPr>
  </w:style>
  <w:style w:type="character" w:customStyle="1" w:styleId="af1">
    <w:name w:val="Текст примітки Знак"/>
    <w:basedOn w:val="a0"/>
    <w:link w:val="af0"/>
    <w:uiPriority w:val="99"/>
    <w:semiHidden/>
    <w:rsid w:val="00E07E32"/>
    <w:rPr>
      <w:rFonts w:ascii="CG Times" w:hAnsi="CG Times"/>
    </w:rPr>
  </w:style>
  <w:style w:type="paragraph" w:styleId="af2">
    <w:name w:val="annotation subject"/>
    <w:basedOn w:val="af0"/>
    <w:next w:val="af0"/>
    <w:link w:val="af3"/>
    <w:uiPriority w:val="99"/>
    <w:semiHidden/>
    <w:unhideWhenUsed/>
    <w:rsid w:val="00E07E32"/>
    <w:rPr>
      <w:b/>
      <w:bCs/>
    </w:rPr>
  </w:style>
  <w:style w:type="character" w:customStyle="1" w:styleId="af3">
    <w:name w:val="Тема примітки Знак"/>
    <w:basedOn w:val="af1"/>
    <w:link w:val="af2"/>
    <w:uiPriority w:val="99"/>
    <w:semiHidden/>
    <w:rsid w:val="00E07E32"/>
    <w:rPr>
      <w:rFonts w:ascii="CG Times" w:hAnsi="CG Times"/>
      <w:b/>
      <w:bCs/>
    </w:rPr>
  </w:style>
  <w:style w:type="paragraph" w:styleId="af4">
    <w:name w:val="Balloon Text"/>
    <w:basedOn w:val="a"/>
    <w:link w:val="af5"/>
    <w:uiPriority w:val="99"/>
    <w:semiHidden/>
    <w:unhideWhenUsed/>
    <w:rsid w:val="00E07E32"/>
    <w:rPr>
      <w:rFonts w:ascii="Tahoma" w:hAnsi="Tahoma" w:cs="Tahoma"/>
      <w:sz w:val="16"/>
      <w:szCs w:val="16"/>
    </w:rPr>
  </w:style>
  <w:style w:type="character" w:customStyle="1" w:styleId="af5">
    <w:name w:val="Текст у виносці Знак"/>
    <w:basedOn w:val="a0"/>
    <w:link w:val="af4"/>
    <w:uiPriority w:val="99"/>
    <w:semiHidden/>
    <w:rsid w:val="00E07E32"/>
    <w:rPr>
      <w:rFonts w:ascii="Tahoma" w:hAnsi="Tahoma" w:cs="Tahoma"/>
      <w:sz w:val="16"/>
      <w:szCs w:val="16"/>
    </w:rPr>
  </w:style>
  <w:style w:type="character" w:styleId="af6">
    <w:name w:val="FollowedHyperlink"/>
    <w:basedOn w:val="a0"/>
    <w:uiPriority w:val="99"/>
    <w:semiHidden/>
    <w:unhideWhenUsed/>
    <w:rsid w:val="00DA15DD"/>
    <w:rPr>
      <w:color w:val="800080"/>
      <w:u w:val="single"/>
    </w:rPr>
  </w:style>
  <w:style w:type="paragraph" w:styleId="af7">
    <w:name w:val="List Paragraph"/>
    <w:aliases w:val="Liste 1,List Paragraph1,References,Numbered List Paragraph,List Bullet Mary,Medium Grid 1 - Accent 21,Colorful List - Accent 11,ReferencesCxSpLast,List Paragraph nowy,Texte Général,Paragraphe  revu"/>
    <w:basedOn w:val="a"/>
    <w:link w:val="af8"/>
    <w:uiPriority w:val="34"/>
    <w:qFormat/>
    <w:rsid w:val="00F701BE"/>
    <w:pPr>
      <w:ind w:left="720" w:firstLine="360"/>
      <w:contextualSpacing/>
    </w:pPr>
    <w:rPr>
      <w:rFonts w:ascii="Calibri" w:hAnsi="Calibri"/>
      <w:szCs w:val="22"/>
      <w:lang w:bidi="en-US"/>
    </w:rPr>
  </w:style>
  <w:style w:type="paragraph" w:styleId="af9">
    <w:name w:val="Normal (Web)"/>
    <w:basedOn w:val="a"/>
    <w:uiPriority w:val="99"/>
    <w:rsid w:val="00AB4F6E"/>
    <w:pPr>
      <w:spacing w:before="400" w:after="200"/>
      <w:ind w:left="200" w:right="200"/>
    </w:pPr>
    <w:rPr>
      <w:rFonts w:ascii="Times New Roman" w:hAnsi="Times New Roman"/>
      <w:sz w:val="24"/>
      <w:szCs w:val="24"/>
      <w:lang w:val="ru-RU" w:eastAsia="ru-RU"/>
    </w:rPr>
  </w:style>
  <w:style w:type="character" w:customStyle="1" w:styleId="hps">
    <w:name w:val="hps"/>
    <w:rsid w:val="00A0298B"/>
  </w:style>
  <w:style w:type="character" w:customStyle="1" w:styleId="atn">
    <w:name w:val="atn"/>
    <w:rsid w:val="00A0298B"/>
  </w:style>
  <w:style w:type="character" w:customStyle="1" w:styleId="WW8Num6z0">
    <w:name w:val="WW8Num6z0"/>
    <w:rsid w:val="009B5564"/>
  </w:style>
  <w:style w:type="paragraph" w:customStyle="1" w:styleId="Default">
    <w:name w:val="Default"/>
    <w:rsid w:val="00F4110F"/>
    <w:pPr>
      <w:autoSpaceDE w:val="0"/>
      <w:autoSpaceDN w:val="0"/>
      <w:adjustRightInd w:val="0"/>
    </w:pPr>
    <w:rPr>
      <w:color w:val="000000"/>
      <w:sz w:val="24"/>
      <w:szCs w:val="24"/>
      <w:lang w:val="uk-UA"/>
    </w:rPr>
  </w:style>
  <w:style w:type="paragraph" w:styleId="22">
    <w:name w:val="Body Text Indent 2"/>
    <w:basedOn w:val="a"/>
    <w:link w:val="23"/>
    <w:uiPriority w:val="99"/>
    <w:semiHidden/>
    <w:unhideWhenUsed/>
    <w:rsid w:val="00A7533D"/>
    <w:pPr>
      <w:spacing w:after="120" w:line="480" w:lineRule="auto"/>
      <w:ind w:left="283"/>
    </w:pPr>
  </w:style>
  <w:style w:type="character" w:customStyle="1" w:styleId="23">
    <w:name w:val="Основний текст з відступом 2 Знак"/>
    <w:basedOn w:val="a0"/>
    <w:link w:val="22"/>
    <w:uiPriority w:val="99"/>
    <w:semiHidden/>
    <w:rsid w:val="00A7533D"/>
    <w:rPr>
      <w:rFonts w:ascii="CG Times" w:hAnsi="CG Times"/>
      <w:sz w:val="22"/>
      <w:lang w:val="en-US" w:eastAsia="en-US"/>
    </w:rPr>
  </w:style>
  <w:style w:type="paragraph" w:customStyle="1" w:styleId="12">
    <w:name w:val="Обычный1"/>
    <w:rsid w:val="00A7533D"/>
    <w:pPr>
      <w:widowControl w:val="0"/>
    </w:pPr>
    <w:rPr>
      <w:lang w:val="en-AU"/>
    </w:rPr>
  </w:style>
  <w:style w:type="paragraph" w:customStyle="1" w:styleId="13">
    <w:name w:val="Абзац списку1"/>
    <w:aliases w:val="List Paragraph,Bullets,List Paragraph (numbered (a))"/>
    <w:basedOn w:val="a"/>
    <w:link w:val="ListParagraphChar"/>
    <w:uiPriority w:val="34"/>
    <w:qFormat/>
    <w:rsid w:val="00A7533D"/>
    <w:pPr>
      <w:spacing w:line="480" w:lineRule="auto"/>
      <w:ind w:left="720"/>
    </w:pPr>
    <w:rPr>
      <w:rFonts w:ascii="Times New Roman" w:hAnsi="Times New Roman"/>
      <w:sz w:val="24"/>
    </w:rPr>
  </w:style>
  <w:style w:type="character" w:customStyle="1" w:styleId="ListParagraphChar">
    <w:name w:val="List Paragraph Char"/>
    <w:aliases w:val="Bullets Char,List Paragraph (numbered (a)) Char"/>
    <w:link w:val="13"/>
    <w:locked/>
    <w:rsid w:val="00A7533D"/>
    <w:rPr>
      <w:sz w:val="24"/>
      <w:lang w:val="en-US" w:eastAsia="en-US"/>
    </w:rPr>
  </w:style>
  <w:style w:type="character" w:customStyle="1" w:styleId="a4">
    <w:name w:val="Нижній колонтитул Знак"/>
    <w:basedOn w:val="a0"/>
    <w:link w:val="a3"/>
    <w:uiPriority w:val="99"/>
    <w:rsid w:val="006F492D"/>
    <w:rPr>
      <w:rFonts w:ascii="CG Times" w:hAnsi="CG Times"/>
      <w:sz w:val="22"/>
      <w:lang w:val="en-US" w:eastAsia="en-US"/>
    </w:rPr>
  </w:style>
  <w:style w:type="paragraph" w:customStyle="1" w:styleId="24">
    <w:name w:val="Обычный2"/>
    <w:rsid w:val="00586066"/>
    <w:pPr>
      <w:pBdr>
        <w:top w:val="nil"/>
        <w:left w:val="nil"/>
        <w:bottom w:val="nil"/>
        <w:right w:val="nil"/>
        <w:between w:val="nil"/>
        <w:bar w:val="nil"/>
      </w:pBdr>
      <w:spacing w:before="60"/>
      <w:jc w:val="both"/>
    </w:pPr>
    <w:rPr>
      <w:rFonts w:eastAsia="Arial Unicode MS" w:cs="Arial Unicode MS"/>
      <w:color w:val="000000"/>
      <w:sz w:val="24"/>
      <w:szCs w:val="24"/>
      <w:u w:color="000000"/>
      <w:bdr w:val="nil"/>
      <w:lang w:val="en-US" w:eastAsia="uk-UA"/>
    </w:rPr>
  </w:style>
  <w:style w:type="character" w:customStyle="1" w:styleId="af8">
    <w:name w:val="Абзац списку Знак"/>
    <w:aliases w:val="Liste 1 Знак,List Paragraph1 Знак,References Знак,Numbered List Paragraph Знак,List Bullet Mary Знак,Medium Grid 1 - Accent 21 Знак,Colorful List - Accent 11 Знак,ReferencesCxSpLast Знак,List Paragraph nowy Знак,Texte Général Знак"/>
    <w:link w:val="af7"/>
    <w:uiPriority w:val="34"/>
    <w:locked/>
    <w:rsid w:val="00586066"/>
    <w:rPr>
      <w:rFonts w:ascii="Calibri" w:hAnsi="Calibri"/>
      <w:sz w:val="22"/>
      <w:szCs w:val="22"/>
      <w:lang w:val="en-US" w:eastAsia="en-US" w:bidi="en-US"/>
    </w:rPr>
  </w:style>
  <w:style w:type="table" w:styleId="afa">
    <w:name w:val="Table Grid"/>
    <w:basedOn w:val="a1"/>
    <w:uiPriority w:val="39"/>
    <w:rsid w:val="00D127E0"/>
    <w:rPr>
      <w:rFonts w:asciiTheme="minorHAnsi" w:eastAsiaTheme="minorHAnsi" w:hAnsiTheme="minorHAnsi" w:cstheme="minorBid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3E6CBF"/>
    <w:rPr>
      <w:color w:val="605E5C"/>
      <w:shd w:val="clear" w:color="auto" w:fill="E1DFDD"/>
    </w:rPr>
  </w:style>
  <w:style w:type="table" w:customStyle="1" w:styleId="unVaodaynghebainaydibanhttpnhatquanglanxlphpnet1">
    <w:name w:val="unVao day nghe bai nay di ban http://nhatquanglan.xlphp.net/1"/>
    <w:basedOn w:val="a1"/>
    <w:next w:val="afa"/>
    <w:uiPriority w:val="39"/>
    <w:qFormat/>
    <w:rsid w:val="00695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nVaodaynghebainaydibanhttpnhatquanglanxlphpnet2">
    <w:name w:val="unVao day nghe bai nay di ban http://nhatquanglan.xlphp.net/2"/>
    <w:basedOn w:val="a1"/>
    <w:next w:val="afa"/>
    <w:uiPriority w:val="39"/>
    <w:qFormat/>
    <w:rsid w:val="0095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161">
      <w:bodyDiv w:val="1"/>
      <w:marLeft w:val="0"/>
      <w:marRight w:val="0"/>
      <w:marTop w:val="0"/>
      <w:marBottom w:val="0"/>
      <w:divBdr>
        <w:top w:val="none" w:sz="0" w:space="0" w:color="auto"/>
        <w:left w:val="none" w:sz="0" w:space="0" w:color="auto"/>
        <w:bottom w:val="none" w:sz="0" w:space="0" w:color="auto"/>
        <w:right w:val="none" w:sz="0" w:space="0" w:color="auto"/>
      </w:divBdr>
    </w:div>
    <w:div w:id="284430560">
      <w:bodyDiv w:val="1"/>
      <w:marLeft w:val="0"/>
      <w:marRight w:val="0"/>
      <w:marTop w:val="0"/>
      <w:marBottom w:val="0"/>
      <w:divBdr>
        <w:top w:val="none" w:sz="0" w:space="0" w:color="auto"/>
        <w:left w:val="none" w:sz="0" w:space="0" w:color="auto"/>
        <w:bottom w:val="none" w:sz="0" w:space="0" w:color="auto"/>
        <w:right w:val="none" w:sz="0" w:space="0" w:color="auto"/>
      </w:divBdr>
    </w:div>
    <w:div w:id="642004105">
      <w:bodyDiv w:val="1"/>
      <w:marLeft w:val="0"/>
      <w:marRight w:val="0"/>
      <w:marTop w:val="0"/>
      <w:marBottom w:val="0"/>
      <w:divBdr>
        <w:top w:val="none" w:sz="0" w:space="0" w:color="auto"/>
        <w:left w:val="none" w:sz="0" w:space="0" w:color="auto"/>
        <w:bottom w:val="none" w:sz="0" w:space="0" w:color="auto"/>
        <w:right w:val="none" w:sz="0" w:space="0" w:color="auto"/>
      </w:divBdr>
      <w:divsChild>
        <w:div w:id="480733145">
          <w:marLeft w:val="0"/>
          <w:marRight w:val="0"/>
          <w:marTop w:val="0"/>
          <w:marBottom w:val="0"/>
          <w:divBdr>
            <w:top w:val="none" w:sz="0" w:space="0" w:color="auto"/>
            <w:left w:val="none" w:sz="0" w:space="0" w:color="auto"/>
            <w:bottom w:val="none" w:sz="0" w:space="0" w:color="auto"/>
            <w:right w:val="none" w:sz="0" w:space="0" w:color="auto"/>
          </w:divBdr>
        </w:div>
      </w:divsChild>
    </w:div>
    <w:div w:id="852108219">
      <w:bodyDiv w:val="1"/>
      <w:marLeft w:val="0"/>
      <w:marRight w:val="0"/>
      <w:marTop w:val="0"/>
      <w:marBottom w:val="0"/>
      <w:divBdr>
        <w:top w:val="none" w:sz="0" w:space="0" w:color="auto"/>
        <w:left w:val="none" w:sz="0" w:space="0" w:color="auto"/>
        <w:bottom w:val="none" w:sz="0" w:space="0" w:color="auto"/>
        <w:right w:val="none" w:sz="0" w:space="0" w:color="auto"/>
      </w:divBdr>
    </w:div>
    <w:div w:id="1499804312">
      <w:bodyDiv w:val="1"/>
      <w:marLeft w:val="0"/>
      <w:marRight w:val="0"/>
      <w:marTop w:val="0"/>
      <w:marBottom w:val="0"/>
      <w:divBdr>
        <w:top w:val="none" w:sz="0" w:space="0" w:color="auto"/>
        <w:left w:val="none" w:sz="0" w:space="0" w:color="auto"/>
        <w:bottom w:val="none" w:sz="0" w:space="0" w:color="auto"/>
        <w:right w:val="none" w:sz="0" w:space="0" w:color="auto"/>
      </w:divBdr>
      <w:divsChild>
        <w:div w:id="362098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ashuta@minfin.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FB19-34B8-490A-95B5-3130A907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21</Pages>
  <Words>35935</Words>
  <Characters>20484</Characters>
  <Application>Microsoft Office Word</Application>
  <DocSecurity>0</DocSecurity>
  <Lines>170</Lines>
  <Paragraphs>112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The World Bank</Company>
  <LinksUpToDate>false</LinksUpToDate>
  <CharactersWithSpaces>56307</CharactersWithSpaces>
  <SharedDoc>false</SharedDoc>
  <HLinks>
    <vt:vector size="6" baseType="variant">
      <vt:variant>
        <vt:i4>1114231</vt:i4>
      </vt:variant>
      <vt:variant>
        <vt:i4>0</vt:i4>
      </vt:variant>
      <vt:variant>
        <vt:i4>0</vt:i4>
      </vt:variant>
      <vt:variant>
        <vt:i4>5</vt:i4>
      </vt:variant>
      <vt:variant>
        <vt:lpwstr>mailto:rpmu.hkov@mail.ru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 Кипаренко</dc:creator>
  <cp:keywords/>
  <dc:description/>
  <cp:lastModifiedBy>Oleksandr Zhyganov</cp:lastModifiedBy>
  <cp:revision>13</cp:revision>
  <cp:lastPrinted>2022-10-05T14:13:00Z</cp:lastPrinted>
  <dcterms:created xsi:type="dcterms:W3CDTF">2023-05-10T13:48:00Z</dcterms:created>
  <dcterms:modified xsi:type="dcterms:W3CDTF">2026-07-20T18:38:00Z</dcterms:modified>
</cp:coreProperties>
</file>