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BB" w:rsidRPr="002252D9" w:rsidRDefault="00F865BB" w:rsidP="007646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246C1E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6D492F" w:rsidRPr="00183F2D" w:rsidRDefault="006D492F" w:rsidP="006D49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92F">
        <w:rPr>
          <w:rFonts w:ascii="Times New Roman" w:hAnsi="Times New Roman" w:cs="Times New Roman"/>
          <w:b/>
          <w:sz w:val="28"/>
          <w:szCs w:val="28"/>
        </w:rPr>
        <w:t>«Про затвердження Порядку ведення контролюючими органами оперативного обліку податків, зборів, платежів та єдиного внеску на загальнообов’язкове державне соціальне страхування»</w:t>
      </w:r>
    </w:p>
    <w:p w:rsidR="006D492F" w:rsidRPr="00183F2D" w:rsidRDefault="006D492F" w:rsidP="006D49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09D2" w:rsidRPr="006D492F" w:rsidRDefault="00F865BB" w:rsidP="006D492F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92F">
        <w:rPr>
          <w:rFonts w:ascii="Times New Roman" w:hAnsi="Times New Roman" w:cs="Times New Roman"/>
          <w:b/>
          <w:sz w:val="28"/>
          <w:szCs w:val="28"/>
        </w:rPr>
        <w:t>Визначення проблеми</w:t>
      </w:r>
    </w:p>
    <w:p w:rsidR="006D492F" w:rsidRPr="006D492F" w:rsidRDefault="006D492F" w:rsidP="006D492F">
      <w:pPr>
        <w:pStyle w:val="a3"/>
        <w:widowControl w:val="0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B54AC1" w:rsidRDefault="006D492F" w:rsidP="00B54AC1">
      <w:pPr>
        <w:pStyle w:val="3"/>
        <w:widowControl w:val="0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4AC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 w:rsidRPr="00EB27B2">
        <w:rPr>
          <w:rFonts w:ascii="Times New Roman" w:hAnsi="Times New Roman" w:cs="Times New Roman"/>
          <w:b w:val="0"/>
          <w:sz w:val="28"/>
          <w:szCs w:val="28"/>
        </w:rPr>
        <w:t xml:space="preserve">Розробка проєкту наказу зумовлена необхідністю удосконалення </w:t>
      </w:r>
      <w:r w:rsidR="00EB27B2">
        <w:rPr>
          <w:rFonts w:ascii="Times New Roman" w:hAnsi="Times New Roman" w:cs="Times New Roman"/>
          <w:b w:val="0"/>
          <w:sz w:val="28"/>
          <w:szCs w:val="28"/>
        </w:rPr>
        <w:t xml:space="preserve">ведення </w:t>
      </w:r>
      <w:r w:rsidRPr="00EB27B2">
        <w:rPr>
          <w:rFonts w:ascii="Times New Roman" w:hAnsi="Times New Roman" w:cs="Times New Roman"/>
          <w:b w:val="0"/>
          <w:sz w:val="28"/>
          <w:szCs w:val="28"/>
        </w:rPr>
        <w:t xml:space="preserve">оперативного обліку податків, зборів та єдиного внеску на загальнообов’язкове державне соціальне страхування та безумовного забезпечення практичного застосування положень </w:t>
      </w:r>
      <w:r w:rsidRPr="00A932CF">
        <w:rPr>
          <w:rFonts w:ascii="Times New Roman" w:hAnsi="Times New Roman" w:cs="Times New Roman"/>
          <w:b w:val="0"/>
          <w:sz w:val="28"/>
          <w:szCs w:val="28"/>
        </w:rPr>
        <w:t>Податкового кодексу України, Закону України «Про збір та облік єдиного внеску на загальнообов’язкове державне соціальне страхування» від 08 липня 2000 року № 2464-</w:t>
      </w:r>
      <w:r w:rsidRPr="00A932CF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A932CF">
        <w:rPr>
          <w:rFonts w:ascii="Times New Roman" w:hAnsi="Times New Roman" w:cs="Times New Roman"/>
          <w:b w:val="0"/>
          <w:sz w:val="28"/>
          <w:szCs w:val="28"/>
        </w:rPr>
        <w:t xml:space="preserve">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 підпункту 11 пункту 4 Положення про </w:t>
      </w:r>
      <w:r w:rsidRPr="00A932CF">
        <w:rPr>
          <w:rFonts w:ascii="Times New Roman" w:hAnsi="Times New Roman" w:cs="Times New Roman"/>
          <w:b w:val="0"/>
          <w:sz w:val="28"/>
          <w:szCs w:val="28"/>
        </w:rPr>
        <w:t>Держав</w:t>
      </w:r>
      <w:r>
        <w:rPr>
          <w:rFonts w:ascii="Times New Roman" w:hAnsi="Times New Roman" w:cs="Times New Roman"/>
          <w:b w:val="0"/>
          <w:sz w:val="28"/>
          <w:szCs w:val="28"/>
        </w:rPr>
        <w:t>ну</w:t>
      </w:r>
      <w:r w:rsidRPr="00A932CF">
        <w:rPr>
          <w:rFonts w:ascii="Times New Roman" w:hAnsi="Times New Roman" w:cs="Times New Roman"/>
          <w:b w:val="0"/>
          <w:sz w:val="28"/>
          <w:szCs w:val="28"/>
        </w:rPr>
        <w:t xml:space="preserve"> податков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A932CF">
        <w:rPr>
          <w:rFonts w:ascii="Times New Roman" w:hAnsi="Times New Roman" w:cs="Times New Roman"/>
          <w:b w:val="0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A932CF">
        <w:rPr>
          <w:rFonts w:ascii="Times New Roman" w:hAnsi="Times New Roman" w:cs="Times New Roman"/>
          <w:b w:val="0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b w:val="0"/>
          <w:sz w:val="28"/>
          <w:szCs w:val="28"/>
        </w:rPr>
        <w:t>, затвердженого постановою Кабінету Міністрів України від 06 березня 2019 року № 227, згідно з яким ДПС відповідно до покладених завдань забезпечує ведення обліку податків, зборів, платежів.</w:t>
      </w:r>
    </w:p>
    <w:p w:rsidR="00B54AC1" w:rsidRPr="00BA4E9A" w:rsidRDefault="00B54AC1" w:rsidP="00B54AC1">
      <w:pPr>
        <w:pStyle w:val="3"/>
        <w:widowControl w:val="0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B54AC1">
        <w:rPr>
          <w:rFonts w:ascii="Times New Roman" w:hAnsi="Times New Roman" w:cs="Times New Roman"/>
          <w:b w:val="0"/>
          <w:sz w:val="28"/>
          <w:szCs w:val="28"/>
        </w:rPr>
        <w:t xml:space="preserve">Отже, </w:t>
      </w:r>
      <w:r w:rsidRPr="00BA4E9A">
        <w:rPr>
          <w:rFonts w:ascii="Times New Roman" w:hAnsi="Times New Roman" w:cs="Times New Roman"/>
          <w:b w:val="0"/>
          <w:sz w:val="28"/>
          <w:szCs w:val="28"/>
        </w:rPr>
        <w:t>необхідно забезпечити</w:t>
      </w:r>
      <w:r w:rsidR="005F0C6D" w:rsidRPr="00BA4E9A">
        <w:rPr>
          <w:rFonts w:ascii="Times New Roman" w:hAnsi="Times New Roman" w:cs="Times New Roman"/>
          <w:b w:val="0"/>
          <w:sz w:val="28"/>
          <w:szCs w:val="28"/>
        </w:rPr>
        <w:t xml:space="preserve"> чітку регламентацію</w:t>
      </w:r>
      <w:r w:rsidRPr="00BA4E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4AC1" w:rsidRDefault="00B54AC1" w:rsidP="00B830B0">
      <w:pPr>
        <w:pStyle w:val="3"/>
        <w:widowControl w:val="0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E9A">
        <w:rPr>
          <w:rFonts w:ascii="Times New Roman" w:hAnsi="Times New Roman" w:cs="Times New Roman"/>
          <w:b w:val="0"/>
          <w:sz w:val="28"/>
          <w:szCs w:val="28"/>
        </w:rPr>
        <w:t xml:space="preserve">правил ведення в </w:t>
      </w:r>
      <w:r w:rsidR="005F0C6D" w:rsidRPr="00BA4E9A">
        <w:rPr>
          <w:rFonts w:ascii="Times New Roman" w:hAnsi="Times New Roman" w:cs="Times New Roman"/>
          <w:b w:val="0"/>
          <w:sz w:val="28"/>
          <w:szCs w:val="28"/>
        </w:rPr>
        <w:t>контролюючих</w:t>
      </w:r>
      <w:r w:rsidRPr="00BA4E9A">
        <w:rPr>
          <w:rFonts w:ascii="Times New Roman" w:hAnsi="Times New Roman" w:cs="Times New Roman"/>
          <w:b w:val="0"/>
          <w:sz w:val="28"/>
          <w:szCs w:val="28"/>
        </w:rPr>
        <w:t xml:space="preserve"> органах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оперативного </w:t>
      </w:r>
      <w:r w:rsidRPr="00B54AC1">
        <w:rPr>
          <w:rFonts w:ascii="Times New Roman" w:hAnsi="Times New Roman" w:cs="Times New Roman"/>
          <w:b w:val="0"/>
          <w:sz w:val="28"/>
          <w:szCs w:val="28"/>
        </w:rPr>
        <w:t>обліку податків, зборів, платежів та єдиного внеску на загальнообов’язкове державне соціальне страхування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A4E9A" w:rsidRDefault="005F0C6D" w:rsidP="00B830B0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E9A">
        <w:rPr>
          <w:rFonts w:ascii="Times New Roman" w:hAnsi="Times New Roman" w:cs="Times New Roman"/>
          <w:b w:val="0"/>
          <w:sz w:val="28"/>
          <w:szCs w:val="28"/>
        </w:rPr>
        <w:t xml:space="preserve">проведення </w:t>
      </w:r>
      <w:r w:rsidR="00B830B0">
        <w:rPr>
          <w:rFonts w:ascii="Times New Roman" w:hAnsi="Times New Roman" w:cs="Times New Roman"/>
          <w:b w:val="0"/>
          <w:sz w:val="28"/>
          <w:szCs w:val="28"/>
        </w:rPr>
        <w:t xml:space="preserve">попереднього та </w:t>
      </w:r>
      <w:r w:rsidRPr="00BA4E9A">
        <w:rPr>
          <w:rFonts w:ascii="Times New Roman" w:hAnsi="Times New Roman" w:cs="Times New Roman"/>
          <w:b w:val="0"/>
          <w:sz w:val="28"/>
          <w:szCs w:val="28"/>
        </w:rPr>
        <w:t>загального контрол</w:t>
      </w:r>
      <w:r w:rsidR="00B830B0">
        <w:rPr>
          <w:rFonts w:ascii="Times New Roman" w:hAnsi="Times New Roman" w:cs="Times New Roman"/>
          <w:b w:val="0"/>
          <w:sz w:val="28"/>
          <w:szCs w:val="28"/>
        </w:rPr>
        <w:t>ів</w:t>
      </w:r>
      <w:r w:rsidRPr="00BA4E9A">
        <w:rPr>
          <w:rFonts w:ascii="Times New Roman" w:hAnsi="Times New Roman" w:cs="Times New Roman"/>
          <w:b w:val="0"/>
          <w:sz w:val="28"/>
          <w:szCs w:val="28"/>
        </w:rPr>
        <w:t xml:space="preserve"> за достовірності відображення облікових показників в </w:t>
      </w:r>
      <w:r w:rsidR="00BA4E9A" w:rsidRPr="00BA4E9A">
        <w:rPr>
          <w:rFonts w:ascii="Times New Roman" w:hAnsi="Times New Roman" w:cs="Times New Roman"/>
          <w:b w:val="0"/>
          <w:sz w:val="28"/>
          <w:szCs w:val="28"/>
        </w:rPr>
        <w:t>інтегрованих картках платників</w:t>
      </w:r>
      <w:r w:rsidRPr="00BA4E9A">
        <w:rPr>
          <w:rFonts w:ascii="Times New Roman" w:hAnsi="Times New Roman" w:cs="Times New Roman"/>
          <w:b w:val="0"/>
          <w:sz w:val="28"/>
          <w:szCs w:val="28"/>
        </w:rPr>
        <w:t xml:space="preserve"> структурними підрозділами за напрямами роботи .</w:t>
      </w:r>
      <w:r w:rsidR="00BA4E9A" w:rsidRPr="00BA4E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4AC1" w:rsidRPr="00BA4E9A" w:rsidRDefault="00BA4E9A" w:rsidP="00BA4E9A">
      <w:pPr>
        <w:pStyle w:val="3"/>
        <w:widowControl w:val="0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A4E9A">
        <w:rPr>
          <w:rFonts w:ascii="Times New Roman" w:hAnsi="Times New Roman" w:cs="Times New Roman"/>
          <w:b w:val="0"/>
          <w:sz w:val="28"/>
          <w:szCs w:val="28"/>
        </w:rPr>
        <w:t>Відповідно, реалізація</w:t>
      </w:r>
      <w:r w:rsidRPr="0056180B">
        <w:rPr>
          <w:rFonts w:ascii="Times New Roman" w:hAnsi="Times New Roman" w:cs="Times New Roman"/>
          <w:b w:val="0"/>
          <w:sz w:val="28"/>
          <w:szCs w:val="28"/>
        </w:rPr>
        <w:t xml:space="preserve"> положень проєкту наказу Міністерства фінансів України «</w:t>
      </w:r>
      <w:r w:rsidRPr="006D492F">
        <w:rPr>
          <w:rFonts w:ascii="Times New Roman" w:hAnsi="Times New Roman" w:cs="Times New Roman"/>
          <w:b w:val="0"/>
          <w:sz w:val="28"/>
          <w:szCs w:val="28"/>
        </w:rPr>
        <w:t>Про затвердження Порядку ведення контролюючими органами оперативного обліку податків, зборів, платежів та єдиного внеску на загальнообов’язкове державне соціальне страхування</w:t>
      </w:r>
      <w:r w:rsidRPr="0056180B">
        <w:rPr>
          <w:rFonts w:ascii="Times New Roman" w:hAnsi="Times New Roman" w:cs="Times New Roman"/>
          <w:b w:val="0"/>
          <w:sz w:val="28"/>
          <w:szCs w:val="28"/>
        </w:rPr>
        <w:t>» забезпечить виконання вимог законодавства.</w:t>
      </w:r>
    </w:p>
    <w:p w:rsidR="0056180B" w:rsidRDefault="0056180B" w:rsidP="0056180B">
      <w:pPr>
        <w:pStyle w:val="3"/>
        <w:widowControl w:val="0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180B">
        <w:rPr>
          <w:rFonts w:ascii="Times New Roman" w:hAnsi="Times New Roman" w:cs="Times New Roman"/>
          <w:b w:val="0"/>
          <w:sz w:val="28"/>
          <w:szCs w:val="28"/>
        </w:rPr>
        <w:tab/>
      </w:r>
      <w:r w:rsidR="00EB27B2" w:rsidRPr="0056180B">
        <w:rPr>
          <w:rFonts w:ascii="Times New Roman" w:hAnsi="Times New Roman" w:cs="Times New Roman"/>
          <w:b w:val="0"/>
          <w:sz w:val="28"/>
          <w:szCs w:val="28"/>
        </w:rPr>
        <w:t>У зв’язку з цим наказ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Міністерства фінансів України від 07.04.2016 №422</w:t>
      </w:r>
      <w:r w:rsidRPr="0056180B">
        <w:rPr>
          <w:rFonts w:ascii="Times New Roman" w:hAnsi="Times New Roman" w:cs="Times New Roman"/>
          <w:b w:val="0"/>
          <w:sz w:val="28"/>
          <w:szCs w:val="28"/>
        </w:rPr>
        <w:t xml:space="preserve"> «Про затвердження Порядку ведення органами Державної фіскальної служби України оперативного обліку податків і зборів, митних та інших платежів до бюджетів,</w:t>
      </w:r>
      <w:r w:rsidR="001B397C">
        <w:rPr>
          <w:rFonts w:ascii="Times New Roman" w:hAnsi="Times New Roman" w:cs="Times New Roman"/>
          <w:b w:val="0"/>
          <w:sz w:val="28"/>
          <w:szCs w:val="28"/>
        </w:rPr>
        <w:t xml:space="preserve"> єдиного внеску на загальнообов’</w:t>
      </w:r>
      <w:r w:rsidRPr="0056180B">
        <w:rPr>
          <w:rFonts w:ascii="Times New Roman" w:hAnsi="Times New Roman" w:cs="Times New Roman"/>
          <w:b w:val="0"/>
          <w:sz w:val="28"/>
          <w:szCs w:val="28"/>
        </w:rPr>
        <w:t xml:space="preserve">язкове державне соціальне страхування» зареєстрований у Міністерстві юстиції України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561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травня</w:t>
      </w:r>
      <w:r w:rsidRPr="00561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97C">
        <w:rPr>
          <w:rFonts w:ascii="Times New Roman" w:hAnsi="Times New Roman" w:cs="Times New Roman"/>
          <w:b w:val="0"/>
          <w:sz w:val="28"/>
          <w:szCs w:val="28"/>
        </w:rPr>
        <w:br/>
      </w:r>
      <w:r w:rsidRPr="0056180B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56180B">
        <w:rPr>
          <w:rFonts w:ascii="Times New Roman" w:hAnsi="Times New Roman" w:cs="Times New Roman"/>
          <w:b w:val="0"/>
          <w:sz w:val="28"/>
          <w:szCs w:val="28"/>
        </w:rPr>
        <w:t xml:space="preserve"> року за № </w:t>
      </w:r>
      <w:r>
        <w:rPr>
          <w:rFonts w:ascii="Times New Roman" w:hAnsi="Times New Roman" w:cs="Times New Roman"/>
          <w:b w:val="0"/>
          <w:sz w:val="28"/>
          <w:szCs w:val="28"/>
        </w:rPr>
        <w:t>751</w:t>
      </w:r>
      <w:r w:rsidRPr="0056180B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28881</w:t>
      </w:r>
      <w:r w:rsidRPr="0056180B">
        <w:rPr>
          <w:rFonts w:ascii="Times New Roman" w:hAnsi="Times New Roman" w:cs="Times New Roman"/>
          <w:b w:val="0"/>
          <w:sz w:val="28"/>
          <w:szCs w:val="28"/>
        </w:rPr>
        <w:t>, визнається таким, що втратив чинність, та підлягає затвердженню Міністерством фінансів України у новій редакції з урахуванням законодавчих змін.</w:t>
      </w:r>
    </w:p>
    <w:p w:rsidR="00CA797D" w:rsidRPr="0056180B" w:rsidRDefault="00CA797D" w:rsidP="0056180B">
      <w:pPr>
        <w:pStyle w:val="3"/>
        <w:widowControl w:val="0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6DE" w:rsidRPr="00BA4E9A" w:rsidRDefault="0013217B" w:rsidP="0076466B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4E9A">
        <w:rPr>
          <w:rFonts w:ascii="Times New Roman" w:hAnsi="Times New Roman" w:cs="Times New Roman"/>
          <w:sz w:val="28"/>
          <w:szCs w:val="28"/>
        </w:rPr>
        <w:t>О</w:t>
      </w:r>
      <w:r w:rsidR="00C366DE" w:rsidRPr="00BA4E9A">
        <w:rPr>
          <w:rFonts w:ascii="Times New Roman" w:hAnsi="Times New Roman" w:cs="Times New Roman"/>
          <w:sz w:val="28"/>
          <w:szCs w:val="28"/>
        </w:rPr>
        <w:t>сновні групи (підгрупи), на які проблема справляє вплив:</w:t>
      </w:r>
    </w:p>
    <w:p w:rsidR="00561169" w:rsidRPr="00BA4E9A" w:rsidRDefault="00561169" w:rsidP="0076466B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3118"/>
        <w:gridCol w:w="2943"/>
      </w:tblGrid>
      <w:tr w:rsidR="00C366DE" w:rsidRPr="00BA4E9A" w:rsidTr="00BB5E49">
        <w:tc>
          <w:tcPr>
            <w:tcW w:w="3793" w:type="dxa"/>
          </w:tcPr>
          <w:p w:rsidR="00C366DE" w:rsidRPr="00BA4E9A" w:rsidRDefault="0013217B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A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3118" w:type="dxa"/>
          </w:tcPr>
          <w:p w:rsidR="00C366DE" w:rsidRPr="00BA4E9A" w:rsidRDefault="0013217B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A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943" w:type="dxa"/>
          </w:tcPr>
          <w:p w:rsidR="00C366DE" w:rsidRPr="00BA4E9A" w:rsidRDefault="0013217B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A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C366DE" w:rsidRPr="00BA4E9A" w:rsidTr="00BB5E49">
        <w:tc>
          <w:tcPr>
            <w:tcW w:w="3793" w:type="dxa"/>
          </w:tcPr>
          <w:p w:rsidR="00C366DE" w:rsidRPr="00BA4E9A" w:rsidRDefault="0013217B" w:rsidP="007646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A"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3118" w:type="dxa"/>
          </w:tcPr>
          <w:p w:rsidR="00C366DE" w:rsidRPr="00BA4E9A" w:rsidRDefault="001B397C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43" w:type="dxa"/>
          </w:tcPr>
          <w:p w:rsidR="00AC5469" w:rsidRPr="00BA4E9A" w:rsidRDefault="00AC5469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DE" w:rsidRPr="00BA4E9A" w:rsidTr="00BB5E49">
        <w:tc>
          <w:tcPr>
            <w:tcW w:w="3793" w:type="dxa"/>
          </w:tcPr>
          <w:p w:rsidR="00C366DE" w:rsidRPr="00BA4E9A" w:rsidRDefault="0013217B" w:rsidP="007646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A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3118" w:type="dxa"/>
          </w:tcPr>
          <w:p w:rsidR="00C366DE" w:rsidRPr="00BA4E9A" w:rsidRDefault="00FB12EF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43" w:type="dxa"/>
          </w:tcPr>
          <w:p w:rsidR="00C366DE" w:rsidRPr="00BA4E9A" w:rsidRDefault="00C366DE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DE" w:rsidRPr="00BA4E9A" w:rsidTr="00BB5E49">
        <w:tc>
          <w:tcPr>
            <w:tcW w:w="3793" w:type="dxa"/>
          </w:tcPr>
          <w:p w:rsidR="00C366DE" w:rsidRPr="00BA4E9A" w:rsidRDefault="006B077A" w:rsidP="0076466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E9A">
              <w:rPr>
                <w:rFonts w:ascii="Times New Roman" w:hAnsi="Times New Roman" w:cs="Times New Roman"/>
                <w:sz w:val="24"/>
                <w:szCs w:val="24"/>
              </w:rPr>
              <w:t>Суб’</w:t>
            </w:r>
            <w:r w:rsidR="009671CF" w:rsidRPr="00BA4E9A">
              <w:rPr>
                <w:rFonts w:ascii="Times New Roman" w:hAnsi="Times New Roman" w:cs="Times New Roman"/>
                <w:sz w:val="24"/>
                <w:szCs w:val="24"/>
              </w:rPr>
              <w:t xml:space="preserve">єкти </w:t>
            </w:r>
            <w:r w:rsidR="0013217B" w:rsidRPr="00BA4E9A">
              <w:rPr>
                <w:rFonts w:ascii="Times New Roman" w:hAnsi="Times New Roman" w:cs="Times New Roman"/>
                <w:sz w:val="24"/>
                <w:szCs w:val="24"/>
              </w:rPr>
              <w:t>господарювання,</w:t>
            </w:r>
            <w:r w:rsidR="00BB5E49" w:rsidRPr="00BA4E9A">
              <w:rPr>
                <w:rFonts w:ascii="Times New Roman" w:hAnsi="Times New Roman" w:cs="Times New Roman"/>
                <w:sz w:val="24"/>
                <w:szCs w:val="24"/>
              </w:rPr>
              <w:t xml:space="preserve"> у тому числі суб’єкти малого підприємництва</w:t>
            </w:r>
            <w:r w:rsidR="00BB5E49" w:rsidRPr="00BA4E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C366DE" w:rsidRPr="00BA4E9A" w:rsidRDefault="00FB12EF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43" w:type="dxa"/>
          </w:tcPr>
          <w:p w:rsidR="00C366DE" w:rsidRPr="00BA4E9A" w:rsidRDefault="00C366DE" w:rsidP="0076466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77A" w:rsidRPr="00BA4E9A" w:rsidRDefault="006B077A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61C2" w:rsidRPr="0069635C" w:rsidRDefault="00E361C2" w:rsidP="00CD24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7A4B" w:rsidRPr="00B528C2" w:rsidRDefault="00197A4B" w:rsidP="00CD24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C2">
        <w:rPr>
          <w:rFonts w:ascii="Times New Roman" w:hAnsi="Times New Roman" w:cs="Times New Roman"/>
          <w:b/>
          <w:sz w:val="28"/>
          <w:szCs w:val="28"/>
        </w:rPr>
        <w:t>II. Цілі державного регулювання</w:t>
      </w:r>
    </w:p>
    <w:p w:rsidR="00BA4E9A" w:rsidRPr="001A3A14" w:rsidRDefault="00816CEE" w:rsidP="00816CEE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14">
        <w:rPr>
          <w:rFonts w:ascii="Times New Roman" w:hAnsi="Times New Roman" w:cs="Times New Roman"/>
          <w:sz w:val="28"/>
          <w:szCs w:val="28"/>
        </w:rPr>
        <w:t xml:space="preserve">Основною метою прийняття регуляторного акта є </w:t>
      </w:r>
      <w:r w:rsidR="0006622E" w:rsidRPr="001A3A14">
        <w:rPr>
          <w:rFonts w:ascii="Times New Roman" w:hAnsi="Times New Roman" w:cs="Times New Roman"/>
          <w:sz w:val="28"/>
          <w:szCs w:val="28"/>
        </w:rPr>
        <w:t>практичн</w:t>
      </w:r>
      <w:r w:rsidRPr="001A3A14">
        <w:rPr>
          <w:rFonts w:ascii="Times New Roman" w:hAnsi="Times New Roman" w:cs="Times New Roman"/>
          <w:sz w:val="28"/>
          <w:szCs w:val="28"/>
        </w:rPr>
        <w:t xml:space="preserve">е </w:t>
      </w:r>
      <w:r w:rsidR="0006622E" w:rsidRPr="001A3A14">
        <w:rPr>
          <w:rFonts w:ascii="Times New Roman" w:hAnsi="Times New Roman" w:cs="Times New Roman"/>
          <w:sz w:val="28"/>
          <w:szCs w:val="28"/>
        </w:rPr>
        <w:t>застосування положень Податкового кодексу</w:t>
      </w:r>
      <w:r w:rsidR="0006622E" w:rsidRPr="001A3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22E" w:rsidRPr="001A3A14">
        <w:rPr>
          <w:rFonts w:ascii="Times New Roman" w:hAnsi="Times New Roman" w:cs="Times New Roman"/>
          <w:sz w:val="28"/>
          <w:szCs w:val="28"/>
        </w:rPr>
        <w:t xml:space="preserve">України, Закону України «Про збір та облік єдиного внеску на загальнообов’язкове державне соціальне страхування», виконання підпункту 11 пункту 4 Положення про Державну податкову службу України. </w:t>
      </w:r>
    </w:p>
    <w:p w:rsidR="00D60065" w:rsidRDefault="00D60065" w:rsidP="00CD24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381" w:rsidRPr="00C20B6B" w:rsidRDefault="00C20B6B" w:rsidP="00CD2463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B6B">
        <w:rPr>
          <w:rFonts w:ascii="Times New Roman" w:hAnsi="Times New Roman" w:cs="Times New Roman"/>
          <w:b/>
          <w:sz w:val="28"/>
          <w:szCs w:val="28"/>
        </w:rPr>
        <w:t>III. Визначення та оцінка альтернативних способів досягнення цілей</w:t>
      </w:r>
    </w:p>
    <w:p w:rsidR="00542D7D" w:rsidRDefault="00542D7D" w:rsidP="00CD24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D7D">
        <w:rPr>
          <w:rFonts w:ascii="Times New Roman" w:hAnsi="Times New Roman" w:cs="Times New Roman"/>
          <w:sz w:val="28"/>
          <w:szCs w:val="28"/>
        </w:rPr>
        <w:t>1. Альтернативні способи досягнення цілей державного регулювання:</w:t>
      </w:r>
    </w:p>
    <w:p w:rsidR="00CD2463" w:rsidRPr="00542D7D" w:rsidRDefault="00CD2463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48"/>
        <w:gridCol w:w="7906"/>
      </w:tblGrid>
      <w:tr w:rsidR="00542D7D" w:rsidRPr="00542D7D" w:rsidTr="00B830B0">
        <w:tc>
          <w:tcPr>
            <w:tcW w:w="1948" w:type="dxa"/>
            <w:vAlign w:val="center"/>
          </w:tcPr>
          <w:p w:rsidR="00542D7D" w:rsidRPr="00A667D0" w:rsidRDefault="00542D7D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667D0">
              <w:rPr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7906" w:type="dxa"/>
            <w:vAlign w:val="center"/>
          </w:tcPr>
          <w:p w:rsidR="00542D7D" w:rsidRPr="001A3508" w:rsidRDefault="00542D7D" w:rsidP="0076466B">
            <w:pPr>
              <w:widowControl w:val="0"/>
              <w:jc w:val="center"/>
              <w:rPr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 w:rsidRPr="00A667D0">
              <w:rPr>
                <w:color w:val="000000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542D7D" w:rsidRPr="00542D7D" w:rsidTr="00B830B0">
        <w:tc>
          <w:tcPr>
            <w:tcW w:w="1948" w:type="dxa"/>
            <w:vAlign w:val="center"/>
          </w:tcPr>
          <w:p w:rsidR="00542D7D" w:rsidRDefault="00542D7D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67D0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  <w:p w:rsidR="005940F2" w:rsidRPr="005940F2" w:rsidRDefault="005940F2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06" w:type="dxa"/>
          </w:tcPr>
          <w:p w:rsidR="00667CDE" w:rsidRPr="00FD2746" w:rsidRDefault="00FA465A" w:rsidP="009854E2">
            <w:pPr>
              <w:widowControl w:val="0"/>
              <w:jc w:val="both"/>
              <w:rPr>
                <w:sz w:val="24"/>
                <w:szCs w:val="24"/>
              </w:rPr>
            </w:pPr>
            <w:r w:rsidRPr="00FD2746">
              <w:rPr>
                <w:sz w:val="24"/>
                <w:szCs w:val="24"/>
              </w:rPr>
              <w:t>Прийнят</w:t>
            </w:r>
            <w:r w:rsidR="005940F2" w:rsidRPr="00FD2746">
              <w:rPr>
                <w:sz w:val="24"/>
                <w:szCs w:val="24"/>
              </w:rPr>
              <w:t>тя</w:t>
            </w:r>
            <w:r w:rsidR="00542D7D" w:rsidRPr="00FD2746">
              <w:rPr>
                <w:sz w:val="24"/>
                <w:szCs w:val="24"/>
              </w:rPr>
              <w:t xml:space="preserve"> </w:t>
            </w:r>
            <w:r w:rsidR="001A3A14">
              <w:rPr>
                <w:sz w:val="24"/>
                <w:szCs w:val="24"/>
              </w:rPr>
              <w:t>проє</w:t>
            </w:r>
            <w:r w:rsidR="009854E2" w:rsidRPr="0077715D">
              <w:rPr>
                <w:sz w:val="24"/>
                <w:szCs w:val="24"/>
              </w:rPr>
              <w:t>кту</w:t>
            </w:r>
            <w:r w:rsidR="009854E2" w:rsidRPr="00FD2746">
              <w:rPr>
                <w:sz w:val="24"/>
                <w:szCs w:val="24"/>
              </w:rPr>
              <w:t xml:space="preserve"> наказу «Про затвердження Порядку ведення контролюючими органами оперативного обліку податків, зборів, платежів та єдиного внеску на загальнообов’язкове державне соціальне страхування</w:t>
            </w:r>
            <w:r w:rsidR="009854E2">
              <w:rPr>
                <w:sz w:val="24"/>
                <w:szCs w:val="24"/>
              </w:rPr>
              <w:t xml:space="preserve">» </w:t>
            </w:r>
            <w:r w:rsidR="005940F2" w:rsidRPr="0077715D">
              <w:rPr>
                <w:sz w:val="24"/>
                <w:szCs w:val="24"/>
              </w:rPr>
              <w:t>вирішить питання, визначені в розділі І як проблемні. Запропонований спосіб вирішення зазначених проблем є найбільш доцільним, оскільки це забезпечить</w:t>
            </w:r>
            <w:r w:rsidR="005940F2">
              <w:rPr>
                <w:sz w:val="24"/>
                <w:szCs w:val="24"/>
              </w:rPr>
              <w:t xml:space="preserve"> їх</w:t>
            </w:r>
            <w:r w:rsidR="005940F2" w:rsidRPr="0077715D">
              <w:rPr>
                <w:sz w:val="24"/>
                <w:szCs w:val="24"/>
              </w:rPr>
              <w:t xml:space="preserve"> належне правове врегулювання на рівні відповідного нормативно-правового акт</w:t>
            </w:r>
            <w:r w:rsidR="009854E2">
              <w:rPr>
                <w:sz w:val="24"/>
                <w:szCs w:val="24"/>
              </w:rPr>
              <w:t xml:space="preserve">а </w:t>
            </w:r>
          </w:p>
        </w:tc>
      </w:tr>
      <w:tr w:rsidR="00542D7D" w:rsidRPr="00542D7D" w:rsidTr="00B830B0">
        <w:tc>
          <w:tcPr>
            <w:tcW w:w="1948" w:type="dxa"/>
            <w:vAlign w:val="center"/>
          </w:tcPr>
          <w:p w:rsidR="00542D7D" w:rsidRDefault="00542D7D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667D0">
              <w:rPr>
                <w:color w:val="000000"/>
                <w:sz w:val="24"/>
                <w:szCs w:val="24"/>
                <w:lang w:eastAsia="ru-RU"/>
              </w:rPr>
              <w:t>Альтернатива </w:t>
            </w:r>
            <w:r w:rsidRPr="00A667D0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  <w:p w:rsidR="00EE507E" w:rsidRPr="004D5665" w:rsidRDefault="00EE507E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542D7D" w:rsidRPr="001B60F5" w:rsidRDefault="001B60F5" w:rsidP="00E361C2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B60F5">
              <w:rPr>
                <w:sz w:val="24"/>
                <w:szCs w:val="24"/>
              </w:rPr>
              <w:t>Залишення діючого регуляторного акта без змін</w:t>
            </w:r>
          </w:p>
        </w:tc>
      </w:tr>
    </w:tbl>
    <w:p w:rsidR="00542D7D" w:rsidRDefault="00542D7D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44" w:rsidRDefault="008B3644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2F">
        <w:rPr>
          <w:rFonts w:ascii="Times New Roman" w:hAnsi="Times New Roman" w:cs="Times New Roman"/>
          <w:sz w:val="28"/>
          <w:szCs w:val="28"/>
        </w:rPr>
        <w:t>2. Оцінка впливу на сферу інтересів держави</w:t>
      </w:r>
    </w:p>
    <w:p w:rsidR="00CD2463" w:rsidRPr="008B3644" w:rsidRDefault="00CD2463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34"/>
      </w:tblGrid>
      <w:tr w:rsidR="008B3644" w:rsidRPr="008B3644" w:rsidTr="00B830B0">
        <w:tc>
          <w:tcPr>
            <w:tcW w:w="1951" w:type="dxa"/>
          </w:tcPr>
          <w:p w:rsidR="008B3644" w:rsidRPr="004C421F" w:rsidRDefault="008B3644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969" w:type="dxa"/>
            <w:vAlign w:val="center"/>
          </w:tcPr>
          <w:p w:rsidR="008B3644" w:rsidRPr="004C421F" w:rsidRDefault="008B3644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934" w:type="dxa"/>
            <w:vAlign w:val="center"/>
          </w:tcPr>
          <w:p w:rsidR="008B3644" w:rsidRPr="004C421F" w:rsidRDefault="008B3644" w:rsidP="0076466B">
            <w:pPr>
              <w:widowControl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8B3644" w:rsidRPr="008B3644" w:rsidTr="00B830B0">
        <w:tc>
          <w:tcPr>
            <w:tcW w:w="1951" w:type="dxa"/>
          </w:tcPr>
          <w:p w:rsidR="008B3644" w:rsidRDefault="008B364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  <w:p w:rsidR="00E67C37" w:rsidRPr="00E67C37" w:rsidRDefault="00E67C37" w:rsidP="00BA4E9A">
            <w:pPr>
              <w:widowControl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940F2">
              <w:rPr>
                <w:color w:val="000000"/>
                <w:sz w:val="24"/>
                <w:szCs w:val="24"/>
                <w:lang w:eastAsia="ru-RU"/>
              </w:rPr>
              <w:t xml:space="preserve">Розробка </w:t>
            </w:r>
            <w:r w:rsidR="007C4769">
              <w:rPr>
                <w:color w:val="000000"/>
                <w:sz w:val="24"/>
                <w:szCs w:val="24"/>
                <w:lang w:eastAsia="ru-RU"/>
              </w:rPr>
              <w:t>проєкт</w:t>
            </w:r>
            <w:r w:rsidRPr="005940F2">
              <w:rPr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BA4E9A">
              <w:rPr>
                <w:color w:val="000000"/>
                <w:sz w:val="24"/>
                <w:szCs w:val="24"/>
                <w:lang w:eastAsia="ru-RU"/>
              </w:rPr>
              <w:t>наказу</w:t>
            </w:r>
            <w:r w:rsidRPr="005940F2">
              <w:rPr>
                <w:color w:val="000000"/>
                <w:sz w:val="24"/>
                <w:szCs w:val="24"/>
                <w:lang w:eastAsia="ru-RU"/>
              </w:rPr>
              <w:t>, що пропонується</w:t>
            </w:r>
          </w:p>
        </w:tc>
        <w:tc>
          <w:tcPr>
            <w:tcW w:w="3969" w:type="dxa"/>
          </w:tcPr>
          <w:p w:rsidR="00AA5BB0" w:rsidRPr="0076466B" w:rsidRDefault="002252D9" w:rsidP="00D04EFE">
            <w:pPr>
              <w:widowControl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6466B">
              <w:rPr>
                <w:bCs/>
                <w:color w:val="000000"/>
                <w:sz w:val="23"/>
                <w:szCs w:val="23"/>
                <w:lang w:eastAsia="ru-RU"/>
              </w:rPr>
              <w:t xml:space="preserve">Прийняття </w:t>
            </w:r>
            <w:r w:rsidR="007C4769">
              <w:rPr>
                <w:bCs/>
                <w:color w:val="000000"/>
                <w:sz w:val="23"/>
                <w:szCs w:val="23"/>
                <w:lang w:eastAsia="ru-RU"/>
              </w:rPr>
              <w:t>проєкт</w:t>
            </w:r>
            <w:r w:rsidRPr="0076466B">
              <w:rPr>
                <w:bCs/>
                <w:color w:val="000000"/>
                <w:sz w:val="23"/>
                <w:szCs w:val="23"/>
                <w:lang w:eastAsia="ru-RU"/>
              </w:rPr>
              <w:t xml:space="preserve">у </w:t>
            </w:r>
            <w:r w:rsidR="009854E2">
              <w:rPr>
                <w:bCs/>
                <w:color w:val="000000"/>
                <w:sz w:val="23"/>
                <w:szCs w:val="23"/>
                <w:lang w:eastAsia="ru-RU"/>
              </w:rPr>
              <w:t>наказу над</w:t>
            </w:r>
            <w:r w:rsidR="009854E2" w:rsidRPr="0076466B">
              <w:rPr>
                <w:bCs/>
                <w:color w:val="000000"/>
                <w:sz w:val="23"/>
                <w:szCs w:val="23"/>
                <w:lang w:eastAsia="ru-RU"/>
              </w:rPr>
              <w:t>асть</w:t>
            </w:r>
            <w:r w:rsidRPr="0076466B">
              <w:rPr>
                <w:bCs/>
                <w:color w:val="000000"/>
                <w:sz w:val="23"/>
                <w:szCs w:val="23"/>
                <w:lang w:eastAsia="ru-RU"/>
              </w:rPr>
              <w:t xml:space="preserve"> можливість </w:t>
            </w:r>
            <w:r w:rsidR="00B65424" w:rsidRPr="0076466B">
              <w:rPr>
                <w:bCs/>
                <w:color w:val="000000"/>
                <w:sz w:val="23"/>
                <w:szCs w:val="23"/>
                <w:lang w:eastAsia="ru-RU"/>
              </w:rPr>
              <w:t>правового забезпечення функції контролюючих органів, визначен</w:t>
            </w:r>
            <w:r w:rsidR="00D531A8">
              <w:rPr>
                <w:bCs/>
                <w:color w:val="000000"/>
                <w:sz w:val="23"/>
                <w:szCs w:val="23"/>
                <w:lang w:eastAsia="ru-RU"/>
              </w:rPr>
              <w:t>ої</w:t>
            </w:r>
            <w:r w:rsidR="00B65424" w:rsidRPr="0076466B">
              <w:rPr>
                <w:bCs/>
                <w:color w:val="000000"/>
                <w:sz w:val="23"/>
                <w:szCs w:val="23"/>
                <w:lang w:eastAsia="ru-RU"/>
              </w:rPr>
              <w:t xml:space="preserve"> Законом та По</w:t>
            </w:r>
            <w:r w:rsidR="00EB469F">
              <w:rPr>
                <w:bCs/>
                <w:color w:val="000000"/>
                <w:sz w:val="23"/>
                <w:szCs w:val="23"/>
                <w:lang w:eastAsia="ru-RU"/>
              </w:rPr>
              <w:t>датковим кодексом України, щодо</w:t>
            </w:r>
            <w:r w:rsidR="009854E2" w:rsidRPr="00FD2746">
              <w:rPr>
                <w:sz w:val="24"/>
                <w:szCs w:val="24"/>
              </w:rPr>
              <w:t xml:space="preserve"> ведення контролюючими</w:t>
            </w:r>
            <w:r w:rsidR="009854E2">
              <w:rPr>
                <w:sz w:val="24"/>
                <w:szCs w:val="24"/>
              </w:rPr>
              <w:t xml:space="preserve"> </w:t>
            </w:r>
            <w:r w:rsidR="009854E2" w:rsidRPr="00FD2746">
              <w:rPr>
                <w:sz w:val="24"/>
                <w:szCs w:val="24"/>
              </w:rPr>
              <w:t>органами оперативного обліку податків, зборів, платежів та єдиного внеску на загальнообов’язкове державне соціальне страхування</w:t>
            </w:r>
            <w:r w:rsidR="00B65424" w:rsidRPr="0076466B">
              <w:rPr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934" w:type="dxa"/>
          </w:tcPr>
          <w:p w:rsidR="00075F8A" w:rsidRPr="0076466B" w:rsidRDefault="004E48DE" w:rsidP="0076466B">
            <w:pPr>
              <w:widowControl w:val="0"/>
              <w:ind w:firstLine="567"/>
              <w:jc w:val="both"/>
              <w:rPr>
                <w:sz w:val="23"/>
                <w:szCs w:val="23"/>
              </w:rPr>
            </w:pPr>
            <w:r w:rsidRPr="0076466B">
              <w:rPr>
                <w:sz w:val="23"/>
                <w:szCs w:val="23"/>
              </w:rPr>
              <w:t>Додаткові в</w:t>
            </w:r>
            <w:r w:rsidR="00075F8A" w:rsidRPr="0076466B">
              <w:rPr>
                <w:sz w:val="23"/>
                <w:szCs w:val="23"/>
              </w:rPr>
              <w:t>итрати відсутні</w:t>
            </w:r>
          </w:p>
          <w:p w:rsidR="008B3644" w:rsidRPr="0076466B" w:rsidRDefault="008B3644" w:rsidP="0076466B">
            <w:pPr>
              <w:widowControl w:val="0"/>
              <w:ind w:firstLine="34"/>
              <w:jc w:val="both"/>
              <w:rPr>
                <w:color w:val="000000"/>
                <w:sz w:val="23"/>
                <w:szCs w:val="23"/>
                <w:highlight w:val="yellow"/>
                <w:lang w:val="ru-RU" w:eastAsia="ru-RU"/>
              </w:rPr>
            </w:pPr>
          </w:p>
        </w:tc>
      </w:tr>
      <w:tr w:rsidR="008B3644" w:rsidRPr="008B3644" w:rsidTr="00CD2463">
        <w:trPr>
          <w:trHeight w:val="60"/>
        </w:trPr>
        <w:tc>
          <w:tcPr>
            <w:tcW w:w="1951" w:type="dxa"/>
          </w:tcPr>
          <w:p w:rsidR="008B3644" w:rsidRDefault="008B364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B3644">
              <w:rPr>
                <w:color w:val="000000"/>
                <w:sz w:val="24"/>
                <w:szCs w:val="24"/>
                <w:lang w:eastAsia="ru-RU"/>
              </w:rPr>
              <w:t>Альтернатива </w:t>
            </w:r>
            <w:r w:rsidRPr="008B3644"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E67C37" w:rsidRPr="00E67C37" w:rsidRDefault="00E67C37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D5665">
              <w:rPr>
                <w:color w:val="000000"/>
                <w:sz w:val="24"/>
                <w:szCs w:val="24"/>
                <w:lang w:eastAsia="ru-RU"/>
              </w:rPr>
              <w:t>Збереження існуючого стану</w:t>
            </w:r>
          </w:p>
        </w:tc>
        <w:tc>
          <w:tcPr>
            <w:tcW w:w="3969" w:type="dxa"/>
          </w:tcPr>
          <w:p w:rsidR="008B3644" w:rsidRPr="0076466B" w:rsidRDefault="002252D9" w:rsidP="0076466B">
            <w:pPr>
              <w:widowControl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6466B">
              <w:rPr>
                <w:color w:val="000000"/>
                <w:sz w:val="23"/>
                <w:szCs w:val="23"/>
                <w:lang w:eastAsia="ru-RU"/>
              </w:rPr>
              <w:t>Відсутні</w:t>
            </w:r>
          </w:p>
        </w:tc>
        <w:tc>
          <w:tcPr>
            <w:tcW w:w="3934" w:type="dxa"/>
          </w:tcPr>
          <w:p w:rsidR="00A12711" w:rsidRPr="00EB469F" w:rsidRDefault="00A12711" w:rsidP="00EB469F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B469F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  <w:r w:rsidR="0086195B" w:rsidRPr="00EB469F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670E32" w:rsidRPr="00EB469F" w:rsidRDefault="00EB469F" w:rsidP="00EB469F">
            <w:pPr>
              <w:pStyle w:val="3"/>
              <w:widowControl w:val="0"/>
              <w:tabs>
                <w:tab w:val="left" w:pos="567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B469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Передбачається використання наявного програмного забезпечення з незначним його доопрацюванням ДПС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</w:tbl>
    <w:p w:rsidR="00CD2463" w:rsidRDefault="00CD2463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644" w:rsidRDefault="008B3644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053">
        <w:rPr>
          <w:rFonts w:ascii="Times New Roman" w:hAnsi="Times New Roman" w:cs="Times New Roman"/>
          <w:sz w:val="28"/>
          <w:szCs w:val="28"/>
        </w:rPr>
        <w:t>3. </w:t>
      </w:r>
      <w:r w:rsidR="00B87016">
        <w:rPr>
          <w:rFonts w:ascii="Times New Roman" w:hAnsi="Times New Roman" w:cs="Times New Roman"/>
          <w:sz w:val="28"/>
          <w:szCs w:val="28"/>
        </w:rPr>
        <w:t xml:space="preserve">Дія </w:t>
      </w:r>
      <w:r w:rsidR="007C4769">
        <w:rPr>
          <w:rFonts w:ascii="Times New Roman" w:hAnsi="Times New Roman" w:cs="Times New Roman"/>
          <w:sz w:val="28"/>
          <w:szCs w:val="28"/>
        </w:rPr>
        <w:t>проєкт</w:t>
      </w:r>
      <w:r w:rsidR="00B87016">
        <w:rPr>
          <w:rFonts w:ascii="Times New Roman" w:hAnsi="Times New Roman" w:cs="Times New Roman"/>
          <w:sz w:val="28"/>
          <w:szCs w:val="28"/>
        </w:rPr>
        <w:t>у</w:t>
      </w:r>
      <w:r w:rsidR="002252D9" w:rsidRPr="00A03053">
        <w:rPr>
          <w:rFonts w:ascii="Times New Roman" w:hAnsi="Times New Roman" w:cs="Times New Roman"/>
          <w:sz w:val="28"/>
          <w:szCs w:val="28"/>
        </w:rPr>
        <w:t xml:space="preserve"> </w:t>
      </w:r>
      <w:r w:rsidR="000558FD">
        <w:rPr>
          <w:rFonts w:ascii="Times New Roman" w:hAnsi="Times New Roman" w:cs="Times New Roman"/>
          <w:sz w:val="28"/>
          <w:szCs w:val="28"/>
        </w:rPr>
        <w:t>наказу</w:t>
      </w:r>
      <w:r w:rsidR="002252D9" w:rsidRPr="00A03053">
        <w:rPr>
          <w:rFonts w:ascii="Times New Roman" w:hAnsi="Times New Roman" w:cs="Times New Roman"/>
          <w:sz w:val="28"/>
          <w:szCs w:val="28"/>
        </w:rPr>
        <w:t xml:space="preserve"> не </w:t>
      </w:r>
      <w:r w:rsidR="00B87016">
        <w:rPr>
          <w:rFonts w:ascii="Times New Roman" w:hAnsi="Times New Roman" w:cs="Times New Roman"/>
          <w:sz w:val="28"/>
          <w:szCs w:val="28"/>
        </w:rPr>
        <w:t>поширюється</w:t>
      </w:r>
      <w:r w:rsidR="002252D9" w:rsidRPr="00A03053">
        <w:rPr>
          <w:rFonts w:ascii="Times New Roman" w:hAnsi="Times New Roman" w:cs="Times New Roman"/>
          <w:sz w:val="28"/>
          <w:szCs w:val="28"/>
        </w:rPr>
        <w:t xml:space="preserve"> на сферу інтересів громадян</w:t>
      </w:r>
      <w:r w:rsidR="00B87016">
        <w:rPr>
          <w:rFonts w:ascii="Times New Roman" w:hAnsi="Times New Roman" w:cs="Times New Roman"/>
          <w:sz w:val="28"/>
          <w:szCs w:val="28"/>
        </w:rPr>
        <w:t>.</w:t>
      </w:r>
    </w:p>
    <w:p w:rsidR="00225988" w:rsidRDefault="00225988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493" w:rsidRDefault="00A25493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038">
        <w:rPr>
          <w:rFonts w:ascii="Times New Roman" w:hAnsi="Times New Roman" w:cs="Times New Roman"/>
          <w:sz w:val="28"/>
          <w:szCs w:val="28"/>
        </w:rPr>
        <w:t>4. Оцінка впливу на сферу інтересів суб’єктів господарювання</w:t>
      </w:r>
    </w:p>
    <w:p w:rsidR="00DD1C39" w:rsidRPr="009A11DC" w:rsidRDefault="00DD1C39" w:rsidP="00DD1C39">
      <w:pPr>
        <w:pStyle w:val="a5"/>
        <w:widowControl w:val="0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9A11DC">
        <w:rPr>
          <w:color w:val="auto"/>
          <w:sz w:val="28"/>
          <w:szCs w:val="28"/>
        </w:rPr>
        <w:t>Проблема однаково впливає на всіх платників податків незалежно від рівня доходу.</w:t>
      </w:r>
    </w:p>
    <w:p w:rsidR="008F62B0" w:rsidRDefault="008F62B0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34"/>
      </w:tblGrid>
      <w:tr w:rsidR="00D11F94" w:rsidRPr="00F72DF7" w:rsidTr="00B830B0">
        <w:tc>
          <w:tcPr>
            <w:tcW w:w="1951" w:type="dxa"/>
          </w:tcPr>
          <w:p w:rsidR="00D11F94" w:rsidRPr="00C34038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969" w:type="dxa"/>
          </w:tcPr>
          <w:p w:rsidR="00D11F94" w:rsidRPr="00C34038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934" w:type="dxa"/>
          </w:tcPr>
          <w:p w:rsidR="00D11F94" w:rsidRPr="00C34038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</w:tr>
      <w:tr w:rsidR="00D11F94" w:rsidRPr="00F72DF7" w:rsidTr="00B830B0">
        <w:tc>
          <w:tcPr>
            <w:tcW w:w="1951" w:type="dxa"/>
            <w:vAlign w:val="center"/>
          </w:tcPr>
          <w:p w:rsidR="00D11F94" w:rsidRPr="00F72DF7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4930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3969" w:type="dxa"/>
          </w:tcPr>
          <w:p w:rsidR="007E2B2D" w:rsidRPr="006E0469" w:rsidRDefault="00D11F94" w:rsidP="0076466B">
            <w:pPr>
              <w:widowControl w:val="0"/>
              <w:ind w:hanging="26"/>
              <w:jc w:val="both"/>
              <w:rPr>
                <w:sz w:val="24"/>
                <w:szCs w:val="24"/>
                <w:lang w:eastAsia="ru-RU"/>
              </w:rPr>
            </w:pPr>
            <w:r w:rsidRPr="006E0469">
              <w:rPr>
                <w:sz w:val="24"/>
                <w:szCs w:val="24"/>
                <w:lang w:eastAsia="ru-RU"/>
              </w:rPr>
              <w:t xml:space="preserve">Визначеність та послідовність дій </w:t>
            </w:r>
            <w:r w:rsidR="00626053">
              <w:rPr>
                <w:sz w:val="24"/>
                <w:szCs w:val="24"/>
                <w:lang w:eastAsia="ru-RU"/>
              </w:rPr>
              <w:t>контролюючих</w:t>
            </w:r>
            <w:r w:rsidRPr="006E0469">
              <w:rPr>
                <w:sz w:val="24"/>
                <w:szCs w:val="24"/>
                <w:lang w:eastAsia="ru-RU"/>
              </w:rPr>
              <w:t xml:space="preserve"> органів</w:t>
            </w:r>
            <w:r w:rsidR="007E2B2D" w:rsidRPr="006E0469">
              <w:rPr>
                <w:sz w:val="24"/>
                <w:szCs w:val="24"/>
                <w:lang w:eastAsia="ru-RU"/>
              </w:rPr>
              <w:t>.</w:t>
            </w:r>
            <w:r w:rsidRPr="006E0469">
              <w:rPr>
                <w:sz w:val="24"/>
                <w:szCs w:val="24"/>
                <w:lang w:eastAsia="ru-RU"/>
              </w:rPr>
              <w:t xml:space="preserve"> </w:t>
            </w:r>
          </w:p>
          <w:p w:rsidR="00D11F94" w:rsidRPr="00F72DF7" w:rsidRDefault="00D11F94" w:rsidP="0076466B">
            <w:pPr>
              <w:widowControl w:val="0"/>
              <w:ind w:hanging="26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72796">
              <w:rPr>
                <w:sz w:val="24"/>
                <w:szCs w:val="24"/>
                <w:lang w:eastAsia="ru-RU"/>
              </w:rPr>
              <w:t xml:space="preserve">Здійснення єдиного підходу до </w:t>
            </w:r>
            <w:r w:rsidR="00DD1C39" w:rsidRPr="00FD2746">
              <w:rPr>
                <w:sz w:val="24"/>
                <w:szCs w:val="24"/>
              </w:rPr>
              <w:t>ведення контролюючими органами оперативного обліку податків, зборів, платежів та єдиного внеску на загальнообов’язкове державне соціальне страхування</w:t>
            </w:r>
            <w:r w:rsidRPr="00D7279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4" w:type="dxa"/>
          </w:tcPr>
          <w:p w:rsidR="00D11F94" w:rsidRPr="00AE7B48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7B48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  <w:r w:rsidR="005F1090" w:rsidRPr="00AE7B4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1F94" w:rsidRPr="00F72DF7" w:rsidTr="00B830B0">
        <w:tc>
          <w:tcPr>
            <w:tcW w:w="1951" w:type="dxa"/>
          </w:tcPr>
          <w:p w:rsidR="00D11F94" w:rsidRPr="00F72DF7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Альтернатива 2</w:t>
            </w:r>
          </w:p>
        </w:tc>
        <w:tc>
          <w:tcPr>
            <w:tcW w:w="3969" w:type="dxa"/>
          </w:tcPr>
          <w:p w:rsidR="00D11F94" w:rsidRPr="00F72DF7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2899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41D8D">
              <w:rPr>
                <w:color w:val="000000"/>
                <w:sz w:val="24"/>
                <w:szCs w:val="24"/>
                <w:lang w:eastAsia="ru-RU"/>
              </w:rPr>
              <w:t>игоди в</w:t>
            </w:r>
            <w:r w:rsidRPr="00862899">
              <w:rPr>
                <w:color w:val="000000"/>
                <w:sz w:val="24"/>
                <w:szCs w:val="24"/>
                <w:lang w:eastAsia="ru-RU"/>
              </w:rPr>
              <w:t>ідсутні</w:t>
            </w:r>
            <w:r w:rsidR="00141D8D">
              <w:rPr>
                <w:color w:val="000000"/>
                <w:sz w:val="24"/>
                <w:szCs w:val="24"/>
                <w:lang w:eastAsia="ru-RU"/>
              </w:rPr>
              <w:t>, оскільки проблема залишається не</w:t>
            </w:r>
            <w:r w:rsidR="00786C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D8D">
              <w:rPr>
                <w:color w:val="000000"/>
                <w:sz w:val="24"/>
                <w:szCs w:val="24"/>
                <w:lang w:eastAsia="ru-RU"/>
              </w:rPr>
              <w:t>вирішеною</w:t>
            </w:r>
          </w:p>
        </w:tc>
        <w:tc>
          <w:tcPr>
            <w:tcW w:w="3934" w:type="dxa"/>
          </w:tcPr>
          <w:p w:rsidR="00D11F94" w:rsidRPr="00C34038" w:rsidRDefault="00D11F94" w:rsidP="0076466B">
            <w:pPr>
              <w:widowControl w:val="0"/>
              <w:ind w:hanging="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34038">
              <w:rPr>
                <w:color w:val="000000"/>
                <w:sz w:val="24"/>
                <w:szCs w:val="24"/>
                <w:lang w:eastAsia="ru-RU"/>
              </w:rPr>
              <w:t>Витрати відсутні</w:t>
            </w:r>
            <w:r w:rsidR="005F1090" w:rsidRPr="00C34038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D11F94" w:rsidRPr="00C34038" w:rsidRDefault="00D11F94" w:rsidP="0076466B">
            <w:pPr>
              <w:widowControl w:val="0"/>
              <w:ind w:hanging="1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05CA0" w:rsidRPr="00F72DF7" w:rsidRDefault="00C05CA0" w:rsidP="00C05CA0">
            <w:pPr>
              <w:widowControl w:val="0"/>
              <w:ind w:hanging="14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D11F94" w:rsidRPr="00C34038">
              <w:rPr>
                <w:color w:val="000000"/>
                <w:sz w:val="24"/>
                <w:szCs w:val="24"/>
                <w:lang w:eastAsia="ru-RU"/>
              </w:rPr>
              <w:t>ідсутн</w:t>
            </w:r>
            <w:r>
              <w:rPr>
                <w:color w:val="000000"/>
                <w:sz w:val="24"/>
                <w:szCs w:val="24"/>
                <w:lang w:eastAsia="ru-RU"/>
              </w:rPr>
              <w:t>і</w:t>
            </w:r>
            <w:r w:rsidR="00D11F94" w:rsidRPr="00C34038">
              <w:rPr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  <w:r w:rsidR="00D11F94" w:rsidRPr="00C340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796">
              <w:rPr>
                <w:sz w:val="24"/>
                <w:szCs w:val="24"/>
                <w:lang w:eastAsia="ru-RU"/>
              </w:rPr>
              <w:t xml:space="preserve">єдиного підходу до </w:t>
            </w:r>
            <w:r w:rsidRPr="00FD2746">
              <w:rPr>
                <w:sz w:val="24"/>
                <w:szCs w:val="24"/>
              </w:rPr>
              <w:t>ведення контролюючими органами оперативного обліку податків, зборів, платежів та єдиного внеску на загальнообов’язкове державне соціальне страхування</w:t>
            </w:r>
            <w:r w:rsidRPr="00D72796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76466B" w:rsidRDefault="0076466B" w:rsidP="0076466B">
      <w:pPr>
        <w:pStyle w:val="a5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</w:p>
    <w:p w:rsidR="00794EF8" w:rsidRPr="00AB08EC" w:rsidRDefault="00794EF8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EC">
        <w:rPr>
          <w:rFonts w:ascii="Times New Roman" w:hAnsi="Times New Roman" w:cs="Times New Roman"/>
          <w:b/>
          <w:sz w:val="28"/>
          <w:szCs w:val="28"/>
        </w:rPr>
        <w:t>IV. Вибір найбільш оптимального альтернативного способу досягнення цілей</w:t>
      </w:r>
    </w:p>
    <w:tbl>
      <w:tblPr>
        <w:tblStyle w:val="5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351"/>
      </w:tblGrid>
      <w:tr w:rsidR="00310F1B" w:rsidRPr="00F72DF7" w:rsidTr="00310F1B">
        <w:tc>
          <w:tcPr>
            <w:tcW w:w="2235" w:type="dxa"/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5351" w:type="dxa"/>
          </w:tcPr>
          <w:p w:rsidR="00310F1B" w:rsidRPr="00AB08EC" w:rsidRDefault="00310F1B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10F1B" w:rsidRPr="00AB08EC" w:rsidRDefault="00310F1B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10F1B" w:rsidRPr="00AB08EC" w:rsidRDefault="00310F1B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Коментарі щодо присвоєння відповідного бала</w:t>
            </w:r>
          </w:p>
        </w:tc>
      </w:tr>
      <w:tr w:rsidR="00310F1B" w:rsidRPr="00F72DF7" w:rsidTr="00A3356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0F1B" w:rsidRPr="00AB08EC" w:rsidRDefault="009F2A0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310F1B" w:rsidRPr="00AB08EC" w:rsidRDefault="00AB08EC" w:rsidP="009F2A04">
            <w:pPr>
              <w:widowControl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B08EC">
              <w:rPr>
                <w:sz w:val="24"/>
                <w:szCs w:val="24"/>
              </w:rPr>
              <w:t xml:space="preserve">Дає змогу повністю досягнути поставлених цілей </w:t>
            </w:r>
          </w:p>
        </w:tc>
      </w:tr>
      <w:tr w:rsidR="00310F1B" w:rsidRPr="00F72DF7" w:rsidTr="00A3356E">
        <w:tc>
          <w:tcPr>
            <w:tcW w:w="2235" w:type="dxa"/>
            <w:tcBorders>
              <w:bottom w:val="single" w:sz="4" w:space="0" w:color="auto"/>
            </w:tcBorders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Альтернатива 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0F1B" w:rsidRPr="00AB08EC" w:rsidRDefault="00310F1B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310F1B" w:rsidRPr="00AB08EC" w:rsidRDefault="00310F1B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B08EC">
              <w:rPr>
                <w:color w:val="000000"/>
                <w:sz w:val="24"/>
                <w:szCs w:val="24"/>
                <w:lang w:eastAsia="ru-RU"/>
              </w:rPr>
              <w:t>Не дає змоги досягнути поставлених цілей державного регулювання.</w:t>
            </w:r>
          </w:p>
        </w:tc>
      </w:tr>
    </w:tbl>
    <w:p w:rsidR="00794EF8" w:rsidRDefault="00794EF8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79D6" w:rsidRPr="00F72DF7" w:rsidRDefault="00FA79D6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83"/>
        <w:gridCol w:w="2922"/>
        <w:gridCol w:w="2532"/>
        <w:gridCol w:w="2317"/>
      </w:tblGrid>
      <w:tr w:rsidR="00D11F94" w:rsidRPr="00F72DF7" w:rsidTr="00B830B0">
        <w:tc>
          <w:tcPr>
            <w:tcW w:w="2093" w:type="dxa"/>
            <w:vAlign w:val="center"/>
          </w:tcPr>
          <w:p w:rsidR="00D11F94" w:rsidRPr="00DD74F4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Рейтинг результативності</w:t>
            </w:r>
          </w:p>
        </w:tc>
        <w:tc>
          <w:tcPr>
            <w:tcW w:w="2977" w:type="dxa"/>
            <w:vAlign w:val="center"/>
          </w:tcPr>
          <w:p w:rsidR="00D11F94" w:rsidRPr="00DD74F4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Вигоди (підсумок)</w:t>
            </w:r>
          </w:p>
        </w:tc>
        <w:tc>
          <w:tcPr>
            <w:tcW w:w="2551" w:type="dxa"/>
            <w:vAlign w:val="center"/>
          </w:tcPr>
          <w:p w:rsidR="00D11F94" w:rsidRPr="00DD74F4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Витрати (підсумок)</w:t>
            </w:r>
          </w:p>
        </w:tc>
        <w:tc>
          <w:tcPr>
            <w:tcW w:w="2233" w:type="dxa"/>
          </w:tcPr>
          <w:p w:rsidR="00D11F94" w:rsidRPr="00DD74F4" w:rsidRDefault="00D11F94" w:rsidP="0076466B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D11F94" w:rsidRPr="00F72DF7" w:rsidTr="00DD74F4">
        <w:tc>
          <w:tcPr>
            <w:tcW w:w="2093" w:type="dxa"/>
            <w:shd w:val="clear" w:color="auto" w:fill="auto"/>
          </w:tcPr>
          <w:p w:rsidR="00D11F94" w:rsidRPr="00DD74F4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Альтернатива 1</w:t>
            </w:r>
          </w:p>
        </w:tc>
        <w:tc>
          <w:tcPr>
            <w:tcW w:w="2977" w:type="dxa"/>
          </w:tcPr>
          <w:p w:rsidR="00D11F94" w:rsidRPr="00F72DF7" w:rsidRDefault="00322C57" w:rsidP="00D7435C">
            <w:pPr>
              <w:widowControl w:val="0"/>
              <w:jc w:val="both"/>
              <w:rPr>
                <w:highlight w:val="yellow"/>
                <w:lang w:eastAsia="ru-RU"/>
              </w:rPr>
            </w:pPr>
            <w:r w:rsidRPr="00B65424">
              <w:rPr>
                <w:bCs/>
                <w:color w:val="000000"/>
                <w:sz w:val="24"/>
                <w:szCs w:val="24"/>
                <w:lang w:eastAsia="ru-RU"/>
              </w:rPr>
              <w:t>Прийнятт</w:t>
            </w:r>
            <w:r w:rsidR="009F2A04">
              <w:rPr>
                <w:bCs/>
                <w:color w:val="000000"/>
                <w:sz w:val="24"/>
                <w:szCs w:val="24"/>
                <w:lang w:eastAsia="ru-RU"/>
              </w:rPr>
              <w:t>ям</w:t>
            </w:r>
            <w:r w:rsidR="00D04EFE">
              <w:rPr>
                <w:bCs/>
                <w:color w:val="000000"/>
                <w:sz w:val="24"/>
                <w:szCs w:val="24"/>
                <w:lang w:eastAsia="ru-RU"/>
              </w:rPr>
              <w:t xml:space="preserve"> проє</w:t>
            </w:r>
            <w:r w:rsidRPr="00B65424">
              <w:rPr>
                <w:bCs/>
                <w:color w:val="000000"/>
                <w:sz w:val="24"/>
                <w:szCs w:val="24"/>
                <w:lang w:eastAsia="ru-RU"/>
              </w:rPr>
              <w:t xml:space="preserve">кту </w:t>
            </w:r>
            <w:r w:rsidR="009F2A04">
              <w:rPr>
                <w:bCs/>
                <w:color w:val="000000"/>
                <w:sz w:val="24"/>
                <w:szCs w:val="24"/>
                <w:lang w:eastAsia="ru-RU"/>
              </w:rPr>
              <w:t>наказу</w:t>
            </w:r>
            <w:r w:rsidRPr="00B65424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2A04" w:rsidRPr="009F2A04">
              <w:rPr>
                <w:bCs/>
                <w:color w:val="000000"/>
                <w:sz w:val="24"/>
                <w:szCs w:val="24"/>
                <w:lang w:eastAsia="ru-RU"/>
              </w:rPr>
              <w:t xml:space="preserve">буде досягнуто поставлену мету, оскільки </w:t>
            </w:r>
            <w:r w:rsidR="007C4769">
              <w:rPr>
                <w:bCs/>
                <w:color w:val="000000"/>
                <w:sz w:val="24"/>
                <w:szCs w:val="24"/>
                <w:lang w:eastAsia="ru-RU"/>
              </w:rPr>
              <w:t>проєкт</w:t>
            </w:r>
            <w:r w:rsidR="009F2A04" w:rsidRPr="009F2A04">
              <w:rPr>
                <w:bCs/>
                <w:color w:val="000000"/>
                <w:sz w:val="24"/>
                <w:szCs w:val="24"/>
                <w:lang w:eastAsia="ru-RU"/>
              </w:rPr>
              <w:t xml:space="preserve"> Порядку розроблено, виходячи із положень Податкового кодекс</w:t>
            </w:r>
            <w:r w:rsidR="009F2A04"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9F2A04" w:rsidRPr="009F2A04">
              <w:rPr>
                <w:bCs/>
                <w:color w:val="000000"/>
                <w:sz w:val="24"/>
                <w:szCs w:val="24"/>
                <w:lang w:eastAsia="ru-RU"/>
              </w:rPr>
              <w:t xml:space="preserve"> України, Закону України «Про збір та облік єдиного внеску на загальнообов’язкове державне соціальне страхування» та спрямовано</w:t>
            </w:r>
            <w:r w:rsidR="00D7435C">
              <w:rPr>
                <w:bCs/>
                <w:color w:val="000000"/>
                <w:sz w:val="24"/>
                <w:szCs w:val="24"/>
                <w:lang w:eastAsia="ru-RU"/>
              </w:rPr>
              <w:t xml:space="preserve"> на забезпечення єдиного </w:t>
            </w:r>
            <w:r w:rsidR="00D7435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підходу до ведення </w:t>
            </w:r>
            <w:r w:rsidR="00D7435C">
              <w:rPr>
                <w:b/>
                <w:sz w:val="28"/>
                <w:szCs w:val="28"/>
              </w:rPr>
              <w:t xml:space="preserve"> </w:t>
            </w:r>
            <w:r w:rsidR="00D7435C" w:rsidRPr="00D7435C">
              <w:rPr>
                <w:bCs/>
                <w:color w:val="000000"/>
                <w:sz w:val="24"/>
                <w:szCs w:val="24"/>
                <w:lang w:eastAsia="ru-RU"/>
              </w:rPr>
              <w:t>оперативного обліку податків, зборів, платежів та єдиного внеску на загальнообов’язкове державне соціальне страхування</w:t>
            </w:r>
            <w:r w:rsidR="00D7435C">
              <w:rPr>
                <w:bCs/>
                <w:color w:val="000000"/>
                <w:sz w:val="24"/>
                <w:szCs w:val="24"/>
                <w:lang w:eastAsia="ru-RU"/>
              </w:rPr>
              <w:t>, та</w:t>
            </w:r>
            <w:r w:rsidR="009F2A04" w:rsidRPr="009F2A04">
              <w:rPr>
                <w:bCs/>
                <w:color w:val="000000"/>
                <w:sz w:val="24"/>
                <w:szCs w:val="24"/>
                <w:lang w:eastAsia="ru-RU"/>
              </w:rPr>
              <w:t xml:space="preserve"> забезпечення контролю </w:t>
            </w:r>
            <w:r w:rsidR="00D7435C" w:rsidRPr="00D7435C">
              <w:rPr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="00D7435C" w:rsidRPr="00196535">
              <w:rPr>
                <w:color w:val="000000"/>
                <w:sz w:val="28"/>
                <w:szCs w:val="28"/>
              </w:rPr>
              <w:t xml:space="preserve"> </w:t>
            </w:r>
            <w:r w:rsidR="00D7435C" w:rsidRPr="00D7435C">
              <w:rPr>
                <w:bCs/>
                <w:color w:val="000000"/>
                <w:sz w:val="24"/>
                <w:szCs w:val="24"/>
                <w:lang w:eastAsia="ru-RU"/>
              </w:rPr>
              <w:t>достовірності відображення облікових показників в ІКП структурними підрозділами</w:t>
            </w:r>
            <w:r w:rsidR="00D04EFE">
              <w:rPr>
                <w:bCs/>
                <w:color w:val="000000"/>
                <w:sz w:val="24"/>
                <w:szCs w:val="24"/>
                <w:lang w:eastAsia="ru-RU"/>
              </w:rPr>
              <w:t xml:space="preserve"> ДПС</w:t>
            </w:r>
            <w:r w:rsidR="00D7435C" w:rsidRPr="00D7435C">
              <w:rPr>
                <w:bCs/>
                <w:color w:val="000000"/>
                <w:sz w:val="24"/>
                <w:szCs w:val="24"/>
                <w:lang w:eastAsia="ru-RU"/>
              </w:rPr>
              <w:t xml:space="preserve"> за напрямами роботи</w:t>
            </w:r>
            <w:r w:rsidR="00D04EFE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7435C" w:rsidRPr="0019653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11F94" w:rsidRPr="00D04EFE" w:rsidRDefault="00102344" w:rsidP="00D7435C">
            <w:pPr>
              <w:pStyle w:val="3"/>
              <w:widowControl w:val="0"/>
              <w:tabs>
                <w:tab w:val="left" w:pos="567"/>
              </w:tabs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04E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Витрати відсутні</w:t>
            </w:r>
            <w:r w:rsidR="000A0CAB" w:rsidRPr="00D04E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9F2A04" w:rsidRPr="00D04E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D11F94" w:rsidRPr="00322C57" w:rsidRDefault="00474E5F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2C57">
              <w:rPr>
                <w:sz w:val="24"/>
                <w:szCs w:val="24"/>
              </w:rPr>
              <w:t>Є найоптимальнішою серед запропонованих альтернатив, оскільки</w:t>
            </w:r>
            <w:r w:rsidR="00894A2E" w:rsidRPr="00322C57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894A2E" w:rsidRPr="00322C57" w:rsidRDefault="00894A2E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2C57">
              <w:rPr>
                <w:color w:val="000000"/>
                <w:sz w:val="24"/>
                <w:szCs w:val="24"/>
                <w:lang w:eastAsia="ru-RU"/>
              </w:rPr>
              <w:t>1) дає змогу повністю досягнути поставлених цілей;</w:t>
            </w:r>
          </w:p>
          <w:p w:rsidR="00894A2E" w:rsidRPr="00322C57" w:rsidRDefault="00D7435C" w:rsidP="00D7435C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2) практичної реалізації положень Податкового кодексу,</w:t>
            </w:r>
            <w:r>
              <w:rPr>
                <w:sz w:val="28"/>
                <w:szCs w:val="28"/>
              </w:rPr>
              <w:t xml:space="preserve"> </w:t>
            </w:r>
            <w:r w:rsidRPr="00D7435C">
              <w:rPr>
                <w:color w:val="000000"/>
                <w:sz w:val="24"/>
                <w:szCs w:val="24"/>
                <w:lang w:eastAsia="ru-RU"/>
              </w:rPr>
              <w:t xml:space="preserve">Закону України «Про збір </w:t>
            </w:r>
            <w:r w:rsidRPr="00D7435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та облік єдиного внеску на загальнообов’язкове державне соціальне страхування» від </w:t>
            </w:r>
            <w:r w:rsidR="00D04EFE">
              <w:rPr>
                <w:color w:val="000000"/>
                <w:sz w:val="24"/>
                <w:szCs w:val="24"/>
                <w:lang w:eastAsia="ru-RU"/>
              </w:rPr>
              <w:br/>
            </w:r>
            <w:r w:rsidRPr="00D7435C">
              <w:rPr>
                <w:color w:val="000000"/>
                <w:sz w:val="24"/>
                <w:szCs w:val="24"/>
                <w:lang w:eastAsia="ru-RU"/>
              </w:rPr>
              <w:t xml:space="preserve">08 липня 2000 року </w:t>
            </w:r>
            <w:r w:rsidR="00D04EFE">
              <w:rPr>
                <w:color w:val="000000"/>
                <w:sz w:val="24"/>
                <w:szCs w:val="24"/>
                <w:lang w:eastAsia="ru-RU"/>
              </w:rPr>
              <w:br/>
            </w:r>
            <w:r w:rsidRPr="00D7435C">
              <w:rPr>
                <w:color w:val="000000"/>
                <w:sz w:val="24"/>
                <w:szCs w:val="24"/>
                <w:lang w:eastAsia="ru-RU"/>
              </w:rPr>
              <w:t>№ 2464-VІ та підпункту 11 пункту 4 Положення про Державну податкову службу України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1F94" w:rsidRPr="00D11F94" w:rsidTr="00B830B0">
        <w:tc>
          <w:tcPr>
            <w:tcW w:w="2093" w:type="dxa"/>
          </w:tcPr>
          <w:p w:rsidR="00D11F94" w:rsidRPr="00DD74F4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lastRenderedPageBreak/>
              <w:t>Альтернатива 2</w:t>
            </w:r>
          </w:p>
        </w:tc>
        <w:tc>
          <w:tcPr>
            <w:tcW w:w="2977" w:type="dxa"/>
          </w:tcPr>
          <w:p w:rsidR="00D11F94" w:rsidRPr="00DD74F4" w:rsidRDefault="00D11F94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>Вигоди відсутні, оскільки проблема залишається не</w:t>
            </w:r>
            <w:r w:rsidR="002C738C" w:rsidRPr="00DD74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D74F4">
              <w:rPr>
                <w:color w:val="000000"/>
                <w:sz w:val="24"/>
                <w:szCs w:val="24"/>
                <w:lang w:eastAsia="ru-RU"/>
              </w:rPr>
              <w:t>вирішеною</w:t>
            </w:r>
          </w:p>
        </w:tc>
        <w:tc>
          <w:tcPr>
            <w:tcW w:w="2551" w:type="dxa"/>
          </w:tcPr>
          <w:p w:rsidR="00D11F94" w:rsidRPr="00DD74F4" w:rsidRDefault="00D57FB3" w:rsidP="0076466B">
            <w:pPr>
              <w:widowControl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C34038">
              <w:rPr>
                <w:color w:val="000000"/>
                <w:sz w:val="24"/>
                <w:szCs w:val="24"/>
                <w:lang w:eastAsia="ru-RU"/>
              </w:rPr>
              <w:t>ідсутн</w:t>
            </w:r>
            <w:r>
              <w:rPr>
                <w:color w:val="000000"/>
                <w:sz w:val="24"/>
                <w:szCs w:val="24"/>
                <w:lang w:eastAsia="ru-RU"/>
              </w:rPr>
              <w:t>і</w:t>
            </w:r>
            <w:r w:rsidRPr="00C34038">
              <w:rPr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C3403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796">
              <w:rPr>
                <w:sz w:val="24"/>
                <w:szCs w:val="24"/>
                <w:lang w:eastAsia="ru-RU"/>
              </w:rPr>
              <w:t xml:space="preserve">єдиного підходу до </w:t>
            </w:r>
            <w:r w:rsidRPr="00FD2746">
              <w:rPr>
                <w:sz w:val="24"/>
                <w:szCs w:val="24"/>
              </w:rPr>
              <w:t>ведення контролюючими органами оперативного обліку податків, зборів, платежів та єдиного внеску на загальнообов’язкове державне соціальне страхування</w:t>
            </w:r>
            <w:r w:rsidRPr="00D7279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D11F94" w:rsidRPr="00DD74F4" w:rsidRDefault="00D11F94" w:rsidP="004978C7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D74F4">
              <w:rPr>
                <w:color w:val="000000"/>
                <w:sz w:val="24"/>
                <w:szCs w:val="24"/>
                <w:lang w:eastAsia="ru-RU"/>
              </w:rPr>
              <w:t xml:space="preserve">Є гіршою серед альтернатив, оскільки </w:t>
            </w:r>
            <w:r w:rsidR="006C4FDA" w:rsidRPr="00DD74F4">
              <w:rPr>
                <w:color w:val="000000"/>
                <w:sz w:val="24"/>
                <w:szCs w:val="24"/>
                <w:lang w:eastAsia="ru-RU"/>
              </w:rPr>
              <w:t xml:space="preserve">не дасть змоги досягнути </w:t>
            </w:r>
            <w:r w:rsidR="004978C7">
              <w:rPr>
                <w:color w:val="000000"/>
                <w:sz w:val="24"/>
                <w:szCs w:val="24"/>
                <w:lang w:eastAsia="ru-RU"/>
              </w:rPr>
              <w:t xml:space="preserve">поставлених </w:t>
            </w:r>
            <w:r w:rsidR="006C4FDA" w:rsidRPr="00DD74F4">
              <w:rPr>
                <w:color w:val="000000"/>
                <w:sz w:val="24"/>
                <w:szCs w:val="24"/>
                <w:lang w:eastAsia="ru-RU"/>
              </w:rPr>
              <w:t xml:space="preserve">цілей </w:t>
            </w:r>
          </w:p>
        </w:tc>
      </w:tr>
    </w:tbl>
    <w:p w:rsidR="00D11F94" w:rsidRDefault="00D11F94" w:rsidP="007646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77438" w:rsidRPr="00C77438" w:rsidRDefault="00C77438" w:rsidP="00A3356E">
      <w:pPr>
        <w:widowControl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438">
        <w:rPr>
          <w:rFonts w:ascii="Times New Roman" w:hAnsi="Times New Roman" w:cs="Times New Roman"/>
          <w:b/>
          <w:sz w:val="28"/>
          <w:szCs w:val="28"/>
        </w:rPr>
        <w:t>V. Механізми та заходи, які забезпечать розв’язання визначеної проблеми</w:t>
      </w:r>
    </w:p>
    <w:p w:rsidR="00C77438" w:rsidRPr="00C77438" w:rsidRDefault="00C77438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CBD" w:rsidRDefault="006C488A" w:rsidP="001E1CBD">
      <w:pPr>
        <w:widowControl w:val="0"/>
        <w:tabs>
          <w:tab w:val="center" w:pos="489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88A">
        <w:rPr>
          <w:rFonts w:ascii="Times New Roman" w:hAnsi="Times New Roman" w:cs="Times New Roman"/>
          <w:sz w:val="28"/>
          <w:szCs w:val="28"/>
        </w:rPr>
        <w:t xml:space="preserve">Основним механізмом </w:t>
      </w:r>
      <w:r w:rsidR="006A3641">
        <w:rPr>
          <w:rFonts w:ascii="Times New Roman" w:hAnsi="Times New Roman" w:cs="Times New Roman"/>
          <w:sz w:val="28"/>
          <w:szCs w:val="28"/>
        </w:rPr>
        <w:t>вирішення</w:t>
      </w:r>
      <w:r w:rsidRPr="006C488A">
        <w:rPr>
          <w:rFonts w:ascii="Times New Roman" w:hAnsi="Times New Roman" w:cs="Times New Roman"/>
          <w:sz w:val="28"/>
          <w:szCs w:val="28"/>
        </w:rPr>
        <w:t xml:space="preserve"> визначеної проблеми є прийняття </w:t>
      </w:r>
      <w:r w:rsidR="007C4769">
        <w:rPr>
          <w:rFonts w:ascii="Times New Roman" w:hAnsi="Times New Roman" w:cs="Times New Roman"/>
          <w:sz w:val="28"/>
          <w:szCs w:val="28"/>
        </w:rPr>
        <w:t>проєкт</w:t>
      </w:r>
      <w:r w:rsidRPr="006C488A">
        <w:rPr>
          <w:rFonts w:ascii="Times New Roman" w:hAnsi="Times New Roman" w:cs="Times New Roman"/>
          <w:sz w:val="28"/>
          <w:szCs w:val="28"/>
        </w:rPr>
        <w:t xml:space="preserve">у </w:t>
      </w:r>
      <w:r w:rsidR="001E1CBD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1E1CBD" w:rsidRPr="001E1CBD">
        <w:rPr>
          <w:rFonts w:ascii="Times New Roman" w:hAnsi="Times New Roman" w:cs="Times New Roman"/>
          <w:sz w:val="28"/>
          <w:szCs w:val="28"/>
        </w:rPr>
        <w:t>«Про затвердження Порядку ведення контролюючими органами оперативного обліку податків, зборів, платежів та єдиного внеску на загальнообов’язкове державне соціальне страхування»</w:t>
      </w:r>
      <w:r w:rsidR="00C4449A">
        <w:rPr>
          <w:rFonts w:ascii="Times New Roman" w:hAnsi="Times New Roman" w:cs="Times New Roman"/>
          <w:sz w:val="28"/>
          <w:szCs w:val="28"/>
        </w:rPr>
        <w:t>.</w:t>
      </w:r>
    </w:p>
    <w:p w:rsidR="00CF1D47" w:rsidRDefault="001D71B5" w:rsidP="00C4449A">
      <w:pPr>
        <w:widowControl w:val="0"/>
        <w:tabs>
          <w:tab w:val="center" w:pos="489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положень </w:t>
      </w:r>
      <w:r w:rsidR="007C4769">
        <w:rPr>
          <w:rFonts w:ascii="Times New Roman" w:hAnsi="Times New Roman" w:cs="Times New Roman"/>
          <w:sz w:val="28"/>
          <w:szCs w:val="28"/>
        </w:rPr>
        <w:t>проєкт</w:t>
      </w:r>
      <w:r w:rsidR="007E1B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49A">
        <w:rPr>
          <w:rFonts w:ascii="Times New Roman" w:hAnsi="Times New Roman" w:cs="Times New Roman"/>
          <w:sz w:val="28"/>
          <w:szCs w:val="28"/>
        </w:rPr>
        <w:t>наказу</w:t>
      </w:r>
      <w:r w:rsidR="00BD6799">
        <w:rPr>
          <w:rFonts w:ascii="Times New Roman" w:hAnsi="Times New Roman" w:cs="Times New Roman"/>
          <w:sz w:val="28"/>
          <w:szCs w:val="28"/>
        </w:rPr>
        <w:t xml:space="preserve"> </w:t>
      </w:r>
      <w:r w:rsidR="00D96322">
        <w:rPr>
          <w:rFonts w:ascii="Times New Roman" w:hAnsi="Times New Roman" w:cs="Times New Roman"/>
          <w:sz w:val="28"/>
          <w:szCs w:val="28"/>
        </w:rPr>
        <w:t>забезпечить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9F3" w:rsidRPr="00C4449A">
        <w:rPr>
          <w:rFonts w:ascii="Times New Roman" w:hAnsi="Times New Roman" w:cs="Times New Roman"/>
          <w:sz w:val="28"/>
          <w:szCs w:val="28"/>
        </w:rPr>
        <w:t>встановл</w:t>
      </w:r>
      <w:r w:rsidR="00D96322" w:rsidRPr="00C4449A">
        <w:rPr>
          <w:rFonts w:ascii="Times New Roman" w:hAnsi="Times New Roman" w:cs="Times New Roman"/>
          <w:sz w:val="28"/>
          <w:szCs w:val="28"/>
        </w:rPr>
        <w:t>ення</w:t>
      </w:r>
      <w:r w:rsidR="00C4449A">
        <w:rPr>
          <w:rFonts w:ascii="Times New Roman" w:hAnsi="Times New Roman" w:cs="Times New Roman"/>
          <w:sz w:val="28"/>
          <w:szCs w:val="28"/>
        </w:rPr>
        <w:t xml:space="preserve"> єдиного підходу</w:t>
      </w:r>
      <w:r w:rsidR="00AE09F3" w:rsidRPr="00C4449A">
        <w:rPr>
          <w:rFonts w:ascii="Times New Roman" w:hAnsi="Times New Roman" w:cs="Times New Roman"/>
          <w:sz w:val="28"/>
          <w:szCs w:val="28"/>
        </w:rPr>
        <w:t xml:space="preserve"> </w:t>
      </w:r>
      <w:r w:rsidR="00C4449A" w:rsidRPr="00C4449A">
        <w:rPr>
          <w:rFonts w:ascii="Times New Roman" w:hAnsi="Times New Roman" w:cs="Times New Roman"/>
          <w:sz w:val="28"/>
          <w:szCs w:val="28"/>
        </w:rPr>
        <w:t>до ведення контролюючими органами оперативного обліку податків, зборів, платежів та єдиного внеску на загальнообов’язкове державне соціальне страхування</w:t>
      </w:r>
      <w:r w:rsidR="004978C7">
        <w:rPr>
          <w:rFonts w:ascii="Times New Roman" w:hAnsi="Times New Roman" w:cs="Times New Roman"/>
          <w:sz w:val="28"/>
          <w:szCs w:val="28"/>
        </w:rPr>
        <w:t xml:space="preserve"> </w:t>
      </w:r>
      <w:r w:rsidR="004978C7" w:rsidRPr="00EF2E3C">
        <w:rPr>
          <w:rFonts w:ascii="Times New Roman" w:hAnsi="Times New Roman" w:cs="Times New Roman"/>
          <w:sz w:val="28"/>
          <w:szCs w:val="28"/>
        </w:rPr>
        <w:t xml:space="preserve">та проведення контролю за достовірності відображення облікових показників в інтегрованих картках платників структурними підрозділами </w:t>
      </w:r>
      <w:r w:rsidR="00EF2E3C">
        <w:rPr>
          <w:rFonts w:ascii="Times New Roman" w:hAnsi="Times New Roman" w:cs="Times New Roman"/>
          <w:sz w:val="28"/>
          <w:szCs w:val="28"/>
        </w:rPr>
        <w:t xml:space="preserve">ДПС </w:t>
      </w:r>
      <w:r w:rsidR="004978C7" w:rsidRPr="00EF2E3C">
        <w:rPr>
          <w:rFonts w:ascii="Times New Roman" w:hAnsi="Times New Roman" w:cs="Times New Roman"/>
          <w:sz w:val="28"/>
          <w:szCs w:val="28"/>
        </w:rPr>
        <w:t>за напрямами роботи</w:t>
      </w:r>
      <w:r w:rsidR="00C4449A" w:rsidRPr="00EF2E3C">
        <w:rPr>
          <w:rFonts w:ascii="Times New Roman" w:hAnsi="Times New Roman" w:cs="Times New Roman"/>
          <w:sz w:val="28"/>
          <w:szCs w:val="28"/>
        </w:rPr>
        <w:t>.</w:t>
      </w:r>
    </w:p>
    <w:p w:rsidR="004978C7" w:rsidRPr="004978C7" w:rsidRDefault="004978C7" w:rsidP="00C4449A">
      <w:pPr>
        <w:widowControl w:val="0"/>
        <w:tabs>
          <w:tab w:val="center" w:pos="489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2D6C" w:rsidRDefault="00322D6C" w:rsidP="004978C7">
      <w:pPr>
        <w:widowControl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C7">
        <w:rPr>
          <w:rFonts w:ascii="Times New Roman" w:hAnsi="Times New Roman" w:cs="Times New Roman"/>
          <w:b/>
          <w:sz w:val="28"/>
          <w:szCs w:val="28"/>
        </w:rPr>
        <w:t>VI. Оцінка виконання вимог регуляторного акта</w:t>
      </w:r>
      <w:r w:rsidRPr="00322D6C"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 </w:t>
      </w:r>
    </w:p>
    <w:p w:rsidR="00F92A71" w:rsidRPr="00F92A71" w:rsidRDefault="00F92A71" w:rsidP="0076466B">
      <w:pPr>
        <w:pStyle w:val="3"/>
        <w:keepNext w:val="0"/>
        <w:widowControl w:val="0"/>
        <w:spacing w:before="120" w:after="0"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F92A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Реалізація </w:t>
      </w:r>
      <w:r w:rsidR="007C476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проєкт</w:t>
      </w:r>
      <w:r w:rsidRPr="00F92A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у </w:t>
      </w:r>
      <w:r w:rsidR="00EF2E3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наказу</w:t>
      </w:r>
      <w:r w:rsidRPr="00F92A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не передбачає фінансових витрат з боку державних органів та, відповідно, додаткових видатків бюджету.</w:t>
      </w:r>
    </w:p>
    <w:p w:rsidR="00322D6C" w:rsidRPr="00BA687E" w:rsidRDefault="00322D6C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3F5" w:rsidRPr="00F92A71" w:rsidRDefault="002873F5" w:rsidP="0076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A71">
        <w:rPr>
          <w:rFonts w:ascii="Times New Roman" w:hAnsi="Times New Roman" w:cs="Times New Roman"/>
          <w:b/>
          <w:sz w:val="28"/>
          <w:szCs w:val="28"/>
        </w:rPr>
        <w:t>VII. Обґрунтування запропонованого строку дії регуляторного акта</w:t>
      </w:r>
    </w:p>
    <w:p w:rsidR="006350E4" w:rsidRPr="00D670FE" w:rsidRDefault="006350E4" w:rsidP="0076466B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670FE">
        <w:rPr>
          <w:color w:val="000000" w:themeColor="text1"/>
          <w:sz w:val="28"/>
          <w:szCs w:val="28"/>
        </w:rPr>
        <w:t xml:space="preserve">Термін дії </w:t>
      </w:r>
      <w:r w:rsidR="00FA79D6">
        <w:rPr>
          <w:color w:val="000000" w:themeColor="text1"/>
          <w:sz w:val="28"/>
          <w:szCs w:val="28"/>
        </w:rPr>
        <w:t xml:space="preserve">акта </w:t>
      </w:r>
      <w:r w:rsidRPr="00D670FE">
        <w:rPr>
          <w:color w:val="000000" w:themeColor="text1"/>
          <w:sz w:val="28"/>
          <w:szCs w:val="28"/>
        </w:rPr>
        <w:t xml:space="preserve">є необмеженим, </w:t>
      </w:r>
      <w:r w:rsidR="00C4449A" w:rsidRPr="00D670FE">
        <w:rPr>
          <w:color w:val="000000" w:themeColor="text1"/>
          <w:sz w:val="28"/>
          <w:szCs w:val="28"/>
        </w:rPr>
        <w:t>оскільки</w:t>
      </w:r>
      <w:r w:rsidR="00C4449A">
        <w:rPr>
          <w:color w:val="000000" w:themeColor="text1"/>
          <w:sz w:val="28"/>
          <w:szCs w:val="28"/>
        </w:rPr>
        <w:t xml:space="preserve"> норми Податкового кодексу та </w:t>
      </w:r>
      <w:r w:rsidR="00D670FE" w:rsidRPr="00D670FE">
        <w:rPr>
          <w:color w:val="000000" w:themeColor="text1"/>
          <w:sz w:val="28"/>
          <w:szCs w:val="28"/>
        </w:rPr>
        <w:t>Закон</w:t>
      </w:r>
      <w:r w:rsidRPr="00D670FE">
        <w:rPr>
          <w:color w:val="000000" w:themeColor="text1"/>
          <w:sz w:val="28"/>
          <w:szCs w:val="28"/>
        </w:rPr>
        <w:t>, на виконання вимог як</w:t>
      </w:r>
      <w:r w:rsidR="00C4449A">
        <w:rPr>
          <w:color w:val="000000" w:themeColor="text1"/>
          <w:sz w:val="28"/>
          <w:szCs w:val="28"/>
        </w:rPr>
        <w:t>их</w:t>
      </w:r>
      <w:r w:rsidRPr="00D670FE">
        <w:rPr>
          <w:color w:val="000000" w:themeColor="text1"/>
          <w:sz w:val="28"/>
          <w:szCs w:val="28"/>
        </w:rPr>
        <w:t xml:space="preserve"> розроблено </w:t>
      </w:r>
      <w:r w:rsidR="007C4769">
        <w:rPr>
          <w:color w:val="000000" w:themeColor="text1"/>
          <w:sz w:val="28"/>
          <w:szCs w:val="28"/>
        </w:rPr>
        <w:t>проєкт</w:t>
      </w:r>
      <w:r w:rsidRPr="00D670FE">
        <w:rPr>
          <w:color w:val="000000" w:themeColor="text1"/>
          <w:sz w:val="28"/>
          <w:szCs w:val="28"/>
        </w:rPr>
        <w:t xml:space="preserve"> </w:t>
      </w:r>
      <w:r w:rsidR="00C4449A">
        <w:rPr>
          <w:color w:val="000000" w:themeColor="text1"/>
          <w:sz w:val="28"/>
          <w:szCs w:val="28"/>
        </w:rPr>
        <w:t>наказу</w:t>
      </w:r>
      <w:r w:rsidRPr="00D670FE">
        <w:rPr>
          <w:color w:val="000000" w:themeColor="text1"/>
          <w:sz w:val="28"/>
          <w:szCs w:val="28"/>
        </w:rPr>
        <w:t>, має необмежений термін дії.</w:t>
      </w:r>
    </w:p>
    <w:p w:rsidR="006350E4" w:rsidRDefault="006350E4" w:rsidP="0076466B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350E4">
        <w:rPr>
          <w:color w:val="000000" w:themeColor="text1"/>
          <w:sz w:val="28"/>
          <w:szCs w:val="28"/>
        </w:rPr>
        <w:t>Зміна терміну дії акт</w:t>
      </w:r>
      <w:r w:rsidR="007810E9">
        <w:rPr>
          <w:color w:val="000000" w:themeColor="text1"/>
          <w:sz w:val="28"/>
          <w:szCs w:val="28"/>
        </w:rPr>
        <w:t>а</w:t>
      </w:r>
      <w:r w:rsidRPr="006350E4">
        <w:rPr>
          <w:color w:val="000000" w:themeColor="text1"/>
          <w:sz w:val="28"/>
          <w:szCs w:val="28"/>
        </w:rPr>
        <w:t xml:space="preserve"> можлива в разі зміни правових актів, на виконання вимог яких </w:t>
      </w:r>
      <w:r w:rsidR="007810E9">
        <w:rPr>
          <w:color w:val="000000" w:themeColor="text1"/>
          <w:sz w:val="28"/>
          <w:szCs w:val="28"/>
        </w:rPr>
        <w:t>розроблено</w:t>
      </w:r>
      <w:r w:rsidRPr="006350E4">
        <w:rPr>
          <w:color w:val="000000" w:themeColor="text1"/>
          <w:sz w:val="28"/>
          <w:szCs w:val="28"/>
        </w:rPr>
        <w:t xml:space="preserve"> </w:t>
      </w:r>
      <w:r w:rsidR="007C4769">
        <w:rPr>
          <w:color w:val="000000" w:themeColor="text1"/>
          <w:sz w:val="28"/>
          <w:szCs w:val="28"/>
        </w:rPr>
        <w:t>проєкт</w:t>
      </w:r>
      <w:r w:rsidR="00634BC1">
        <w:rPr>
          <w:color w:val="000000" w:themeColor="text1"/>
          <w:sz w:val="28"/>
          <w:szCs w:val="28"/>
        </w:rPr>
        <w:t xml:space="preserve"> </w:t>
      </w:r>
      <w:r w:rsidR="00C4449A">
        <w:rPr>
          <w:color w:val="000000" w:themeColor="text1"/>
          <w:sz w:val="28"/>
          <w:szCs w:val="28"/>
        </w:rPr>
        <w:t>наказу</w:t>
      </w:r>
      <w:r w:rsidRPr="006350E4">
        <w:rPr>
          <w:color w:val="000000" w:themeColor="text1"/>
          <w:sz w:val="28"/>
          <w:szCs w:val="28"/>
        </w:rPr>
        <w:t>.</w:t>
      </w:r>
    </w:p>
    <w:p w:rsidR="00ED4BEA" w:rsidRDefault="00ED4BEA" w:rsidP="00ED4BEA">
      <w:pPr>
        <w:pStyle w:val="a5"/>
        <w:spacing w:before="0" w:beforeAutospacing="0" w:after="0" w:afterAutospacing="0" w:line="230" w:lineRule="auto"/>
        <w:ind w:firstLine="567"/>
        <w:jc w:val="both"/>
        <w:rPr>
          <w:sz w:val="28"/>
          <w:szCs w:val="28"/>
        </w:rPr>
      </w:pPr>
      <w:r w:rsidRPr="00C02A50">
        <w:rPr>
          <w:sz w:val="28"/>
          <w:szCs w:val="28"/>
        </w:rPr>
        <w:t>Термін набрання чинності регуляторним актом – відповідно до законодавства після його офіційного оприлюднення.</w:t>
      </w:r>
    </w:p>
    <w:p w:rsidR="00ED4BEA" w:rsidRPr="00ED4BEA" w:rsidRDefault="00ED4BEA" w:rsidP="00ED4BEA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D4BEA">
        <w:rPr>
          <w:color w:val="000000" w:themeColor="text1"/>
          <w:sz w:val="28"/>
          <w:szCs w:val="28"/>
        </w:rPr>
        <w:t>Оскільки регуляторний акт є актом, розробленим відповідно до норм Податкового кодексу України,</w:t>
      </w:r>
      <w:r w:rsidRPr="00ED4BEA">
        <w:rPr>
          <w:sz w:val="28"/>
          <w:szCs w:val="28"/>
        </w:rPr>
        <w:t xml:space="preserve"> </w:t>
      </w:r>
      <w:r w:rsidRPr="001A3A14">
        <w:rPr>
          <w:sz w:val="28"/>
          <w:szCs w:val="28"/>
        </w:rPr>
        <w:t>Закону України «Про збір та облік єдиного внеску на загальнообов’язкове державне соціальне страхування»</w:t>
      </w:r>
      <w:r>
        <w:rPr>
          <w:sz w:val="28"/>
          <w:szCs w:val="28"/>
        </w:rPr>
        <w:t>,</w:t>
      </w:r>
      <w:r w:rsidRPr="00ED4BEA">
        <w:rPr>
          <w:color w:val="000000" w:themeColor="text1"/>
          <w:sz w:val="28"/>
          <w:szCs w:val="28"/>
        </w:rPr>
        <w:t xml:space="preserve"> у разі внесення змін до вищезазначених </w:t>
      </w:r>
      <w:r>
        <w:rPr>
          <w:color w:val="000000" w:themeColor="text1"/>
          <w:sz w:val="28"/>
          <w:szCs w:val="28"/>
        </w:rPr>
        <w:t>законодавчих актів</w:t>
      </w:r>
      <w:r w:rsidRPr="00ED4BEA">
        <w:rPr>
          <w:color w:val="000000" w:themeColor="text1"/>
          <w:sz w:val="28"/>
          <w:szCs w:val="28"/>
        </w:rPr>
        <w:t xml:space="preserve"> регуляторний акт має бути приведений у відповідність до таких змін.</w:t>
      </w:r>
    </w:p>
    <w:p w:rsidR="00ED4BEA" w:rsidRPr="006350E4" w:rsidRDefault="00ED4BEA" w:rsidP="0076466B">
      <w:pPr>
        <w:pStyle w:val="a5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E6A22" w:rsidRPr="001E31AA" w:rsidRDefault="005E6A22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 Визначення показників результативності дії регуляторного акта</w:t>
      </w:r>
    </w:p>
    <w:p w:rsidR="00C4449A" w:rsidRPr="0006622E" w:rsidRDefault="00AB0813" w:rsidP="00C4449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4449A" w:rsidRPr="00C44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Дія акта опосередковано поширюється на значне коло суб’єктів господарювання, що сплачують </w:t>
      </w:r>
      <w:r w:rsidR="00C4449A" w:rsidRPr="0006622E">
        <w:rPr>
          <w:rFonts w:ascii="Times New Roman" w:hAnsi="Times New Roman" w:cs="Times New Roman"/>
          <w:sz w:val="28"/>
          <w:szCs w:val="28"/>
        </w:rPr>
        <w:t>податк</w:t>
      </w:r>
      <w:r w:rsidR="00C4449A">
        <w:rPr>
          <w:rFonts w:ascii="Times New Roman" w:hAnsi="Times New Roman" w:cs="Times New Roman"/>
          <w:sz w:val="28"/>
          <w:szCs w:val="28"/>
        </w:rPr>
        <w:t>и</w:t>
      </w:r>
      <w:r w:rsidR="00C4449A" w:rsidRPr="0006622E">
        <w:rPr>
          <w:rFonts w:ascii="Times New Roman" w:hAnsi="Times New Roman" w:cs="Times New Roman"/>
          <w:sz w:val="28"/>
          <w:szCs w:val="28"/>
        </w:rPr>
        <w:t>, збор</w:t>
      </w:r>
      <w:r w:rsidR="00C4449A">
        <w:rPr>
          <w:rFonts w:ascii="Times New Roman" w:hAnsi="Times New Roman" w:cs="Times New Roman"/>
          <w:sz w:val="28"/>
          <w:szCs w:val="28"/>
        </w:rPr>
        <w:t>и</w:t>
      </w:r>
      <w:r w:rsidR="00C4449A" w:rsidRPr="0006622E">
        <w:rPr>
          <w:rFonts w:ascii="Times New Roman" w:hAnsi="Times New Roman" w:cs="Times New Roman"/>
          <w:sz w:val="28"/>
          <w:szCs w:val="28"/>
        </w:rPr>
        <w:t xml:space="preserve">, платежі </w:t>
      </w:r>
      <w:r w:rsidR="00EF2E3C">
        <w:rPr>
          <w:rFonts w:ascii="Times New Roman" w:hAnsi="Times New Roman" w:cs="Times New Roman"/>
          <w:sz w:val="28"/>
          <w:szCs w:val="28"/>
        </w:rPr>
        <w:t xml:space="preserve">та </w:t>
      </w:r>
      <w:r w:rsidR="00C4449A" w:rsidRPr="00C44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єдиний внесок </w:t>
      </w:r>
      <w:r w:rsidR="00C4449A" w:rsidRPr="0006622E">
        <w:rPr>
          <w:rFonts w:ascii="Times New Roman" w:hAnsi="Times New Roman" w:cs="Times New Roman"/>
          <w:sz w:val="28"/>
          <w:szCs w:val="28"/>
        </w:rPr>
        <w:t>на загальнообов’язкове державне соціальне страхування.</w:t>
      </w:r>
    </w:p>
    <w:p w:rsidR="00ED4BEA" w:rsidRPr="00ED4BEA" w:rsidRDefault="00ED4BEA" w:rsidP="00ED4BEA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Прийняття наказу не впливатиме на розмір надходжень до бюджету. </w:t>
      </w:r>
    </w:p>
    <w:p w:rsidR="00AB0813" w:rsidRPr="00AB0813" w:rsidRDefault="00AB0813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26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Збільшення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r w:rsidR="00626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 витрачатим</w:t>
      </w:r>
      <w:r w:rsidR="00626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 суб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єктами господарювання, пов</w:t>
      </w:r>
      <w:r w:rsidR="00444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язаними з виконанням вимог акта</w:t>
      </w:r>
      <w:r w:rsidR="00634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передбачається.</w:t>
      </w:r>
    </w:p>
    <w:p w:rsidR="0098208E" w:rsidRPr="0098208E" w:rsidRDefault="00AB0813" w:rsidP="0098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98208E" w:rsidRPr="00982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Рівень поінформованості суб’єктів господарювання щодо основних положень </w:t>
      </w:r>
      <w:r w:rsidR="00982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нормативно-правового</w:t>
      </w:r>
      <w:r w:rsidR="0098208E" w:rsidRPr="00982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 є високим. </w:t>
      </w:r>
    </w:p>
    <w:p w:rsidR="00800C26" w:rsidRDefault="007C4769" w:rsidP="0098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r w:rsidR="0098208E" w:rsidRPr="00982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 розміщено в мережі Інтернет на офіційному веб-порталі Міністерства фінансів України для громадського обговорення. </w:t>
      </w:r>
    </w:p>
    <w:p w:rsidR="0098208E" w:rsidRPr="0098208E" w:rsidRDefault="0098208E" w:rsidP="009820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2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 прийняття акт буде оприлюднений у засобах масової інформації.</w:t>
      </w:r>
    </w:p>
    <w:p w:rsidR="00AB0813" w:rsidRPr="00EF2E3C" w:rsidRDefault="00AB0813" w:rsidP="007646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Додаткові показники результативності регуляторного акта:</w:t>
      </w:r>
    </w:p>
    <w:p w:rsidR="003F72DE" w:rsidRPr="00EF2E3C" w:rsidRDefault="003F72DE" w:rsidP="003F72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 інтегрованих карток платника, відкритих за кожним платником та видом платежу;</w:t>
      </w:r>
    </w:p>
    <w:p w:rsidR="003F72DE" w:rsidRPr="00EF2E3C" w:rsidRDefault="003F72DE" w:rsidP="003F72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 платіжних документів суб’єктів господарювання, які набули ознаки «Платежі до з’ясування»;</w:t>
      </w:r>
    </w:p>
    <w:p w:rsidR="003F72DE" w:rsidRPr="00EF2E3C" w:rsidRDefault="003F72DE" w:rsidP="003F72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 відпрацьованих платіжних документів суб’єктів господарювання, які набули ознаки «Платежі до з’ясування»;</w:t>
      </w:r>
    </w:p>
    <w:p w:rsidR="003F72DE" w:rsidRPr="00EF2E3C" w:rsidRDefault="003F72DE" w:rsidP="003F72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 рішень органів Д</w:t>
      </w:r>
      <w:r w:rsidR="00664A01" w:rsidRPr="00EF2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F2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щодо списання помилково та/або надміру сплачені суми платежів з терміном виникнення понад 1095 днів;</w:t>
      </w:r>
    </w:p>
    <w:p w:rsidR="003F72DE" w:rsidRPr="00EF2E3C" w:rsidRDefault="003F72DE" w:rsidP="003F72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2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 скарг платників про невідповідність даних в інтегрованих картках платників.</w:t>
      </w:r>
    </w:p>
    <w:p w:rsidR="00BF4B53" w:rsidRPr="00BF4B53" w:rsidRDefault="00BF4B53" w:rsidP="00FA79D6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800C26" w:rsidRPr="00800C26" w:rsidRDefault="00800C26" w:rsidP="0076466B">
      <w:pPr>
        <w:pStyle w:val="10"/>
        <w:widowControl w:val="0"/>
        <w:ind w:firstLine="567"/>
        <w:jc w:val="both"/>
        <w:rPr>
          <w:sz w:val="28"/>
          <w:szCs w:val="28"/>
          <w:lang w:val="uk-UA"/>
        </w:rPr>
      </w:pPr>
      <w:r w:rsidRPr="00800C26">
        <w:rPr>
          <w:sz w:val="28"/>
          <w:szCs w:val="28"/>
          <w:lang w:val="uk-UA"/>
        </w:rPr>
        <w:t>Стосовно регуляторного акта здійснюється базове</w:t>
      </w:r>
      <w:r w:rsidR="004978C7">
        <w:rPr>
          <w:sz w:val="28"/>
          <w:szCs w:val="28"/>
          <w:lang w:val="uk-UA"/>
        </w:rPr>
        <w:t xml:space="preserve"> та</w:t>
      </w:r>
      <w:r w:rsidRPr="00800C26">
        <w:rPr>
          <w:sz w:val="28"/>
          <w:szCs w:val="28"/>
          <w:lang w:val="uk-UA"/>
        </w:rPr>
        <w:t xml:space="preserve"> повторне</w:t>
      </w:r>
      <w:r w:rsidR="004978C7" w:rsidRPr="004978C7">
        <w:rPr>
          <w:b/>
          <w:sz w:val="28"/>
          <w:szCs w:val="28"/>
        </w:rPr>
        <w:t xml:space="preserve"> </w:t>
      </w:r>
      <w:r w:rsidR="004978C7" w:rsidRPr="004978C7">
        <w:rPr>
          <w:sz w:val="28"/>
          <w:szCs w:val="28"/>
          <w:lang w:val="uk-UA"/>
        </w:rPr>
        <w:t>відстеження результативності дії акта</w:t>
      </w:r>
      <w:r w:rsidRPr="00800C26">
        <w:rPr>
          <w:sz w:val="28"/>
          <w:szCs w:val="28"/>
          <w:lang w:val="uk-UA"/>
        </w:rPr>
        <w:t xml:space="preserve"> у межах строків, установлених </w:t>
      </w:r>
      <w:hyperlink r:id="rId8" w:tgtFrame="_blank" w:history="1">
        <w:r w:rsidRPr="00800C26">
          <w:rPr>
            <w:sz w:val="28"/>
            <w:szCs w:val="28"/>
            <w:lang w:val="uk-UA"/>
          </w:rPr>
          <w:t>статтею 10</w:t>
        </w:r>
      </w:hyperlink>
      <w:r w:rsidR="00EF2E3C">
        <w:rPr>
          <w:sz w:val="28"/>
          <w:szCs w:val="28"/>
          <w:lang w:val="uk-UA"/>
        </w:rPr>
        <w:t> Закону України «</w:t>
      </w:r>
      <w:r w:rsidRPr="00800C26">
        <w:rPr>
          <w:sz w:val="28"/>
          <w:szCs w:val="28"/>
          <w:lang w:val="uk-UA"/>
        </w:rPr>
        <w:t xml:space="preserve">Про засади державної регуляторної політики у сфері господарської </w:t>
      </w:r>
      <w:r w:rsidRPr="00800C26">
        <w:rPr>
          <w:sz w:val="28"/>
          <w:szCs w:val="28"/>
          <w:lang w:val="uk-UA"/>
        </w:rPr>
        <w:lastRenderedPageBreak/>
        <w:t>діяльності</w:t>
      </w:r>
      <w:r w:rsidR="00EF2E3C">
        <w:rPr>
          <w:sz w:val="28"/>
          <w:szCs w:val="28"/>
          <w:lang w:val="uk-UA"/>
        </w:rPr>
        <w:t>»</w:t>
      </w:r>
      <w:r w:rsidRPr="00800C26">
        <w:rPr>
          <w:sz w:val="28"/>
          <w:szCs w:val="28"/>
          <w:lang w:val="uk-UA"/>
        </w:rPr>
        <w:t>.</w:t>
      </w:r>
    </w:p>
    <w:p w:rsidR="00800C26" w:rsidRPr="00800C26" w:rsidRDefault="00800C26" w:rsidP="00800C26">
      <w:pPr>
        <w:pStyle w:val="10"/>
        <w:widowControl w:val="0"/>
        <w:ind w:firstLine="567"/>
        <w:jc w:val="both"/>
        <w:rPr>
          <w:sz w:val="28"/>
          <w:szCs w:val="28"/>
          <w:lang w:val="uk-UA"/>
        </w:rPr>
      </w:pPr>
      <w:r w:rsidRPr="00800C26">
        <w:rPr>
          <w:sz w:val="28"/>
          <w:szCs w:val="28"/>
          <w:lang w:val="uk-UA"/>
        </w:rPr>
        <w:t>Відстеження результативності регуляторного акта буде здійснюватись шляхом аналізу статистичних даних.</w:t>
      </w:r>
    </w:p>
    <w:p w:rsidR="0051169E" w:rsidRPr="00C7436B" w:rsidRDefault="0051169E" w:rsidP="0076466B">
      <w:pPr>
        <w:pStyle w:val="10"/>
        <w:widowControl w:val="0"/>
        <w:ind w:firstLine="567"/>
        <w:jc w:val="both"/>
        <w:rPr>
          <w:sz w:val="28"/>
          <w:szCs w:val="28"/>
          <w:lang w:val="uk-UA"/>
        </w:rPr>
      </w:pPr>
      <w:r w:rsidRPr="00641EEC">
        <w:rPr>
          <w:sz w:val="28"/>
          <w:szCs w:val="28"/>
          <w:lang w:val="uk-UA"/>
        </w:rPr>
        <w:t xml:space="preserve">Базове відстеження результативності акта буде </w:t>
      </w:r>
      <w:r w:rsidRPr="00C7436B">
        <w:rPr>
          <w:sz w:val="28"/>
          <w:szCs w:val="28"/>
          <w:lang w:val="uk-UA"/>
        </w:rPr>
        <w:t>здійснюватись через рік після набрання чинності цим актом шляхом аналізу статистичних даних.</w:t>
      </w:r>
    </w:p>
    <w:p w:rsidR="0051169E" w:rsidRPr="00641EEC" w:rsidRDefault="0051169E" w:rsidP="0076466B">
      <w:pPr>
        <w:pStyle w:val="10"/>
        <w:widowControl w:val="0"/>
        <w:ind w:firstLine="567"/>
        <w:jc w:val="both"/>
        <w:rPr>
          <w:sz w:val="28"/>
          <w:szCs w:val="28"/>
          <w:lang w:val="uk-UA"/>
        </w:rPr>
      </w:pPr>
      <w:r w:rsidRPr="00C7436B">
        <w:rPr>
          <w:sz w:val="28"/>
          <w:szCs w:val="28"/>
          <w:lang w:val="uk-UA"/>
        </w:rPr>
        <w:t>Повторне відстеження результативності акта буде здійснюватись через два роки з дня набрання ним чинності.</w:t>
      </w:r>
    </w:p>
    <w:p w:rsidR="0051169E" w:rsidRPr="00641EEC" w:rsidRDefault="0051169E" w:rsidP="0076466B">
      <w:pPr>
        <w:pStyle w:val="10"/>
        <w:widowControl w:val="0"/>
        <w:ind w:firstLine="567"/>
        <w:jc w:val="both"/>
        <w:rPr>
          <w:sz w:val="28"/>
          <w:szCs w:val="28"/>
          <w:lang w:val="uk-UA"/>
        </w:rPr>
      </w:pPr>
      <w:r w:rsidRPr="00641EEC">
        <w:rPr>
          <w:sz w:val="28"/>
          <w:szCs w:val="28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98208E" w:rsidRPr="00C7436B" w:rsidRDefault="00C7436B" w:rsidP="00C7436B">
      <w:pPr>
        <w:pStyle w:val="10"/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заходів з відстеження результативності дії регуляторного акта забезпечується Міністерством фінансів України спільно з ДПС</w:t>
      </w:r>
    </w:p>
    <w:p w:rsidR="00BF4B53" w:rsidRDefault="00BF4B53" w:rsidP="0076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6B" w:rsidRDefault="00C7436B" w:rsidP="0076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499" w:rsidRDefault="00C35499" w:rsidP="0076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0F" w:rsidRPr="002621C8" w:rsidRDefault="009F341E" w:rsidP="0076466B">
      <w:pPr>
        <w:pStyle w:val="10"/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Міністр</w:t>
      </w:r>
      <w:r w:rsidR="0051169E" w:rsidRPr="00057B10">
        <w:rPr>
          <w:b/>
          <w:sz w:val="28"/>
          <w:szCs w:val="28"/>
          <w:lang w:val="uk-UA"/>
        </w:rPr>
        <w:t xml:space="preserve"> </w:t>
      </w:r>
      <w:r w:rsidR="0051169E" w:rsidRPr="00057B10">
        <w:rPr>
          <w:b/>
          <w:sz w:val="28"/>
          <w:szCs w:val="28"/>
          <w:lang w:val="uk-UA"/>
        </w:rPr>
        <w:tab/>
      </w:r>
      <w:r w:rsidR="0051169E">
        <w:rPr>
          <w:b/>
          <w:sz w:val="28"/>
          <w:szCs w:val="28"/>
          <w:lang w:val="uk-UA"/>
        </w:rPr>
        <w:t xml:space="preserve"> </w:t>
      </w:r>
      <w:r w:rsidR="0051169E" w:rsidRPr="00057B10">
        <w:rPr>
          <w:b/>
          <w:sz w:val="28"/>
          <w:szCs w:val="28"/>
          <w:lang w:val="uk-UA"/>
        </w:rPr>
        <w:tab/>
      </w:r>
      <w:r w:rsidR="0051169E" w:rsidRPr="00057B10">
        <w:rPr>
          <w:b/>
          <w:sz w:val="28"/>
          <w:szCs w:val="28"/>
          <w:lang w:val="uk-UA"/>
        </w:rPr>
        <w:tab/>
      </w:r>
      <w:r w:rsidR="0051169E">
        <w:rPr>
          <w:b/>
          <w:sz w:val="28"/>
          <w:szCs w:val="28"/>
          <w:lang w:val="uk-UA"/>
        </w:rPr>
        <w:tab/>
        <w:t xml:space="preserve">   </w:t>
      </w:r>
      <w:r w:rsidR="00243A87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243A87">
        <w:rPr>
          <w:b/>
          <w:sz w:val="28"/>
          <w:szCs w:val="28"/>
          <w:lang w:val="uk-UA"/>
        </w:rPr>
        <w:t xml:space="preserve">        </w:t>
      </w:r>
      <w:r w:rsidR="0051169E">
        <w:rPr>
          <w:b/>
          <w:sz w:val="28"/>
          <w:szCs w:val="28"/>
          <w:lang w:val="uk-UA"/>
        </w:rPr>
        <w:t xml:space="preserve"> </w:t>
      </w:r>
      <w:r w:rsidRPr="009F341E">
        <w:rPr>
          <w:b/>
          <w:sz w:val="28"/>
          <w:szCs w:val="28"/>
        </w:rPr>
        <w:t>Сергій МАРЧЕНКО</w:t>
      </w:r>
    </w:p>
    <w:p w:rsidR="00920C79" w:rsidRPr="00204D2E" w:rsidRDefault="00920C79" w:rsidP="0076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20C79" w:rsidRPr="00204D2E" w:rsidSect="008A64BE">
      <w:headerReference w:type="default" r:id="rId9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62" w:rsidRDefault="007B1B62" w:rsidP="00CA4AA4">
      <w:pPr>
        <w:spacing w:after="0" w:line="240" w:lineRule="auto"/>
      </w:pPr>
      <w:r>
        <w:separator/>
      </w:r>
    </w:p>
  </w:endnote>
  <w:endnote w:type="continuationSeparator" w:id="0">
    <w:p w:rsidR="007B1B62" w:rsidRDefault="007B1B62" w:rsidP="00CA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62" w:rsidRDefault="007B1B62" w:rsidP="00CA4AA4">
      <w:pPr>
        <w:spacing w:after="0" w:line="240" w:lineRule="auto"/>
      </w:pPr>
      <w:r>
        <w:separator/>
      </w:r>
    </w:p>
  </w:footnote>
  <w:footnote w:type="continuationSeparator" w:id="0">
    <w:p w:rsidR="007B1B62" w:rsidRDefault="007B1B62" w:rsidP="00CA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765702"/>
      <w:docPartObj>
        <w:docPartGallery w:val="Page Numbers (Top of Page)"/>
        <w:docPartUnique/>
      </w:docPartObj>
    </w:sdtPr>
    <w:sdtEndPr/>
    <w:sdtContent>
      <w:p w:rsidR="000558FD" w:rsidRDefault="000558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B7" w:rsidRPr="00A050B7">
          <w:rPr>
            <w:noProof/>
            <w:lang w:val="ru-RU"/>
          </w:rPr>
          <w:t>2</w:t>
        </w:r>
        <w:r>
          <w:fldChar w:fldCharType="end"/>
        </w:r>
      </w:p>
    </w:sdtContent>
  </w:sdt>
  <w:p w:rsidR="000558FD" w:rsidRDefault="000558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573"/>
    <w:multiLevelType w:val="hybridMultilevel"/>
    <w:tmpl w:val="5CFC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D97"/>
    <w:multiLevelType w:val="hybridMultilevel"/>
    <w:tmpl w:val="CAE2C0A6"/>
    <w:lvl w:ilvl="0" w:tplc="CDFCE1B0"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837FB"/>
    <w:multiLevelType w:val="hybridMultilevel"/>
    <w:tmpl w:val="7720A39E"/>
    <w:lvl w:ilvl="0" w:tplc="4B60F098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B332F7F"/>
    <w:multiLevelType w:val="hybridMultilevel"/>
    <w:tmpl w:val="63FE9D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24CAD"/>
    <w:multiLevelType w:val="hybridMultilevel"/>
    <w:tmpl w:val="D5FE1F8C"/>
    <w:lvl w:ilvl="0" w:tplc="D86AD4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FC6473"/>
    <w:multiLevelType w:val="hybridMultilevel"/>
    <w:tmpl w:val="B97AF37C"/>
    <w:lvl w:ilvl="0" w:tplc="CDFCE1B0"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A6EF1"/>
    <w:multiLevelType w:val="hybridMultilevel"/>
    <w:tmpl w:val="AD0C57CE"/>
    <w:lvl w:ilvl="0" w:tplc="673602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BB"/>
    <w:rsid w:val="000060E1"/>
    <w:rsid w:val="00006E38"/>
    <w:rsid w:val="0001071A"/>
    <w:rsid w:val="00012C3E"/>
    <w:rsid w:val="0001666F"/>
    <w:rsid w:val="00017C47"/>
    <w:rsid w:val="00025628"/>
    <w:rsid w:val="00031036"/>
    <w:rsid w:val="000347BD"/>
    <w:rsid w:val="000558FD"/>
    <w:rsid w:val="0006622E"/>
    <w:rsid w:val="000700B8"/>
    <w:rsid w:val="00070B19"/>
    <w:rsid w:val="00075F8A"/>
    <w:rsid w:val="000A0CAB"/>
    <w:rsid w:val="000A273B"/>
    <w:rsid w:val="000B28E2"/>
    <w:rsid w:val="000B5D98"/>
    <w:rsid w:val="000C01AC"/>
    <w:rsid w:val="000C4D6B"/>
    <w:rsid w:val="000C780E"/>
    <w:rsid w:val="000E05A2"/>
    <w:rsid w:val="000E2B26"/>
    <w:rsid w:val="000F09D2"/>
    <w:rsid w:val="000F422F"/>
    <w:rsid w:val="00102344"/>
    <w:rsid w:val="001107E2"/>
    <w:rsid w:val="00110AD5"/>
    <w:rsid w:val="00126F65"/>
    <w:rsid w:val="00126FD4"/>
    <w:rsid w:val="0013097D"/>
    <w:rsid w:val="0013217B"/>
    <w:rsid w:val="00141D8D"/>
    <w:rsid w:val="00147986"/>
    <w:rsid w:val="001538CA"/>
    <w:rsid w:val="00155856"/>
    <w:rsid w:val="00156536"/>
    <w:rsid w:val="00160029"/>
    <w:rsid w:val="00161B5C"/>
    <w:rsid w:val="00165A58"/>
    <w:rsid w:val="00174986"/>
    <w:rsid w:val="0018138A"/>
    <w:rsid w:val="001814A8"/>
    <w:rsid w:val="00183F2D"/>
    <w:rsid w:val="001859A1"/>
    <w:rsid w:val="0019743F"/>
    <w:rsid w:val="00197A4B"/>
    <w:rsid w:val="001A0D46"/>
    <w:rsid w:val="001A3508"/>
    <w:rsid w:val="001A3A14"/>
    <w:rsid w:val="001B0FC8"/>
    <w:rsid w:val="001B24A5"/>
    <w:rsid w:val="001B397C"/>
    <w:rsid w:val="001B60F5"/>
    <w:rsid w:val="001B7BD4"/>
    <w:rsid w:val="001C3CB1"/>
    <w:rsid w:val="001C47BE"/>
    <w:rsid w:val="001C60DD"/>
    <w:rsid w:val="001C61DA"/>
    <w:rsid w:val="001D26F0"/>
    <w:rsid w:val="001D324D"/>
    <w:rsid w:val="001D71B5"/>
    <w:rsid w:val="001E1CBD"/>
    <w:rsid w:val="001E31AA"/>
    <w:rsid w:val="001F09A3"/>
    <w:rsid w:val="001F0B1C"/>
    <w:rsid w:val="001F2F92"/>
    <w:rsid w:val="001F3D0D"/>
    <w:rsid w:val="001F6089"/>
    <w:rsid w:val="0020068F"/>
    <w:rsid w:val="00204D2E"/>
    <w:rsid w:val="00217479"/>
    <w:rsid w:val="0022083C"/>
    <w:rsid w:val="0022343C"/>
    <w:rsid w:val="002252D9"/>
    <w:rsid w:val="00225988"/>
    <w:rsid w:val="0023266F"/>
    <w:rsid w:val="0023539E"/>
    <w:rsid w:val="00243A87"/>
    <w:rsid w:val="002440BF"/>
    <w:rsid w:val="0024695C"/>
    <w:rsid w:val="00246C1E"/>
    <w:rsid w:val="00260986"/>
    <w:rsid w:val="002621C8"/>
    <w:rsid w:val="00262AAA"/>
    <w:rsid w:val="002651FD"/>
    <w:rsid w:val="0027223E"/>
    <w:rsid w:val="00282936"/>
    <w:rsid w:val="002844EB"/>
    <w:rsid w:val="00287125"/>
    <w:rsid w:val="002873F5"/>
    <w:rsid w:val="00291455"/>
    <w:rsid w:val="0029157F"/>
    <w:rsid w:val="002A64D6"/>
    <w:rsid w:val="002A6CC0"/>
    <w:rsid w:val="002B08C9"/>
    <w:rsid w:val="002B2667"/>
    <w:rsid w:val="002C429C"/>
    <w:rsid w:val="002C4B9D"/>
    <w:rsid w:val="002C4C96"/>
    <w:rsid w:val="002C738C"/>
    <w:rsid w:val="002D12D6"/>
    <w:rsid w:val="002E522C"/>
    <w:rsid w:val="002E74DE"/>
    <w:rsid w:val="002F174B"/>
    <w:rsid w:val="002F2A8C"/>
    <w:rsid w:val="003018FC"/>
    <w:rsid w:val="00305C97"/>
    <w:rsid w:val="00307F81"/>
    <w:rsid w:val="003106F9"/>
    <w:rsid w:val="00310F1B"/>
    <w:rsid w:val="00313064"/>
    <w:rsid w:val="00322C57"/>
    <w:rsid w:val="00322D6C"/>
    <w:rsid w:val="00327347"/>
    <w:rsid w:val="003321A3"/>
    <w:rsid w:val="00333F6B"/>
    <w:rsid w:val="00335A9B"/>
    <w:rsid w:val="00340F71"/>
    <w:rsid w:val="0035465A"/>
    <w:rsid w:val="00356F80"/>
    <w:rsid w:val="00364878"/>
    <w:rsid w:val="003661E9"/>
    <w:rsid w:val="00367612"/>
    <w:rsid w:val="00382AB4"/>
    <w:rsid w:val="00396FEE"/>
    <w:rsid w:val="003A0171"/>
    <w:rsid w:val="003A71A6"/>
    <w:rsid w:val="003B33D5"/>
    <w:rsid w:val="003B7590"/>
    <w:rsid w:val="003C2D25"/>
    <w:rsid w:val="003C3363"/>
    <w:rsid w:val="003E4A7C"/>
    <w:rsid w:val="003F3910"/>
    <w:rsid w:val="003F72DE"/>
    <w:rsid w:val="0040288F"/>
    <w:rsid w:val="00404373"/>
    <w:rsid w:val="00423333"/>
    <w:rsid w:val="004240FE"/>
    <w:rsid w:val="00427F5F"/>
    <w:rsid w:val="00431DEE"/>
    <w:rsid w:val="00440D1B"/>
    <w:rsid w:val="0044403E"/>
    <w:rsid w:val="00444EEA"/>
    <w:rsid w:val="00446D1A"/>
    <w:rsid w:val="00455FB6"/>
    <w:rsid w:val="00457787"/>
    <w:rsid w:val="00474E5F"/>
    <w:rsid w:val="004750FA"/>
    <w:rsid w:val="00476726"/>
    <w:rsid w:val="00480072"/>
    <w:rsid w:val="00483F58"/>
    <w:rsid w:val="00490404"/>
    <w:rsid w:val="0049223C"/>
    <w:rsid w:val="00492C22"/>
    <w:rsid w:val="0049312F"/>
    <w:rsid w:val="00494149"/>
    <w:rsid w:val="004978C7"/>
    <w:rsid w:val="004A3611"/>
    <w:rsid w:val="004A67F2"/>
    <w:rsid w:val="004C319B"/>
    <w:rsid w:val="004C421F"/>
    <w:rsid w:val="004D5665"/>
    <w:rsid w:val="004D659E"/>
    <w:rsid w:val="004E0187"/>
    <w:rsid w:val="004E48DE"/>
    <w:rsid w:val="004F0A73"/>
    <w:rsid w:val="004F37A3"/>
    <w:rsid w:val="004F472F"/>
    <w:rsid w:val="00504261"/>
    <w:rsid w:val="0051169E"/>
    <w:rsid w:val="00514405"/>
    <w:rsid w:val="005204D3"/>
    <w:rsid w:val="00521072"/>
    <w:rsid w:val="00521A1A"/>
    <w:rsid w:val="00525338"/>
    <w:rsid w:val="00525B99"/>
    <w:rsid w:val="005302FE"/>
    <w:rsid w:val="005326E9"/>
    <w:rsid w:val="00542D7D"/>
    <w:rsid w:val="00561169"/>
    <w:rsid w:val="0056180B"/>
    <w:rsid w:val="00565ADF"/>
    <w:rsid w:val="00575351"/>
    <w:rsid w:val="00575C23"/>
    <w:rsid w:val="00584DF8"/>
    <w:rsid w:val="00591CB5"/>
    <w:rsid w:val="005940F2"/>
    <w:rsid w:val="0059544F"/>
    <w:rsid w:val="00595B4F"/>
    <w:rsid w:val="00597AD1"/>
    <w:rsid w:val="005A44FB"/>
    <w:rsid w:val="005A528F"/>
    <w:rsid w:val="005B4D25"/>
    <w:rsid w:val="005B76F1"/>
    <w:rsid w:val="005C342E"/>
    <w:rsid w:val="005C4354"/>
    <w:rsid w:val="005D377B"/>
    <w:rsid w:val="005D3DB7"/>
    <w:rsid w:val="005D4336"/>
    <w:rsid w:val="005E3568"/>
    <w:rsid w:val="005E6A22"/>
    <w:rsid w:val="005F0C6D"/>
    <w:rsid w:val="005F1090"/>
    <w:rsid w:val="005F157C"/>
    <w:rsid w:val="0060165E"/>
    <w:rsid w:val="00602696"/>
    <w:rsid w:val="00602ACE"/>
    <w:rsid w:val="006120B6"/>
    <w:rsid w:val="0061585A"/>
    <w:rsid w:val="00615BF2"/>
    <w:rsid w:val="00626053"/>
    <w:rsid w:val="00633F30"/>
    <w:rsid w:val="00634BC1"/>
    <w:rsid w:val="006350E4"/>
    <w:rsid w:val="00641A74"/>
    <w:rsid w:val="0065159B"/>
    <w:rsid w:val="00661536"/>
    <w:rsid w:val="0066310C"/>
    <w:rsid w:val="00664A01"/>
    <w:rsid w:val="00665330"/>
    <w:rsid w:val="00667CDE"/>
    <w:rsid w:val="00670E32"/>
    <w:rsid w:val="00672672"/>
    <w:rsid w:val="0068653F"/>
    <w:rsid w:val="0068787A"/>
    <w:rsid w:val="00692A49"/>
    <w:rsid w:val="0069635C"/>
    <w:rsid w:val="006A3641"/>
    <w:rsid w:val="006A6DA1"/>
    <w:rsid w:val="006B077A"/>
    <w:rsid w:val="006B5DBB"/>
    <w:rsid w:val="006C03AC"/>
    <w:rsid w:val="006C2590"/>
    <w:rsid w:val="006C297C"/>
    <w:rsid w:val="006C488A"/>
    <w:rsid w:val="006C4FDA"/>
    <w:rsid w:val="006C554E"/>
    <w:rsid w:val="006C5F25"/>
    <w:rsid w:val="006D0E5D"/>
    <w:rsid w:val="006D48DC"/>
    <w:rsid w:val="006D492F"/>
    <w:rsid w:val="006E0469"/>
    <w:rsid w:val="006F5A7F"/>
    <w:rsid w:val="00702D8C"/>
    <w:rsid w:val="00702EFB"/>
    <w:rsid w:val="00706DD5"/>
    <w:rsid w:val="00716061"/>
    <w:rsid w:val="007200B6"/>
    <w:rsid w:val="007254FE"/>
    <w:rsid w:val="00727F86"/>
    <w:rsid w:val="007336B1"/>
    <w:rsid w:val="00742A9F"/>
    <w:rsid w:val="00752A80"/>
    <w:rsid w:val="00757465"/>
    <w:rsid w:val="0076466B"/>
    <w:rsid w:val="007810E9"/>
    <w:rsid w:val="007839E4"/>
    <w:rsid w:val="00786CCB"/>
    <w:rsid w:val="00792819"/>
    <w:rsid w:val="0079479F"/>
    <w:rsid w:val="00794EF8"/>
    <w:rsid w:val="00797C61"/>
    <w:rsid w:val="007A06CE"/>
    <w:rsid w:val="007A661B"/>
    <w:rsid w:val="007B14D8"/>
    <w:rsid w:val="007B1B62"/>
    <w:rsid w:val="007B228A"/>
    <w:rsid w:val="007C4769"/>
    <w:rsid w:val="007E0CC5"/>
    <w:rsid w:val="007E1BC8"/>
    <w:rsid w:val="007E2B2D"/>
    <w:rsid w:val="00800C26"/>
    <w:rsid w:val="00801353"/>
    <w:rsid w:val="00805074"/>
    <w:rsid w:val="0081426C"/>
    <w:rsid w:val="00816AA0"/>
    <w:rsid w:val="00816CEE"/>
    <w:rsid w:val="008177B6"/>
    <w:rsid w:val="00817E0F"/>
    <w:rsid w:val="008240B6"/>
    <w:rsid w:val="0083052D"/>
    <w:rsid w:val="00832B2C"/>
    <w:rsid w:val="008455B9"/>
    <w:rsid w:val="008516E9"/>
    <w:rsid w:val="00852467"/>
    <w:rsid w:val="00853750"/>
    <w:rsid w:val="0086195B"/>
    <w:rsid w:val="00862899"/>
    <w:rsid w:val="0086363A"/>
    <w:rsid w:val="0087335F"/>
    <w:rsid w:val="0087651A"/>
    <w:rsid w:val="00882B1D"/>
    <w:rsid w:val="00884183"/>
    <w:rsid w:val="00890447"/>
    <w:rsid w:val="00894A2E"/>
    <w:rsid w:val="00897372"/>
    <w:rsid w:val="008A10CB"/>
    <w:rsid w:val="008A64BE"/>
    <w:rsid w:val="008B3644"/>
    <w:rsid w:val="008B4B9B"/>
    <w:rsid w:val="008C1139"/>
    <w:rsid w:val="008C673A"/>
    <w:rsid w:val="008D06BC"/>
    <w:rsid w:val="008D4930"/>
    <w:rsid w:val="008E362F"/>
    <w:rsid w:val="008E5474"/>
    <w:rsid w:val="008E6C1A"/>
    <w:rsid w:val="008E7A50"/>
    <w:rsid w:val="008F173B"/>
    <w:rsid w:val="008F62B0"/>
    <w:rsid w:val="009171C9"/>
    <w:rsid w:val="00920C79"/>
    <w:rsid w:val="00920F60"/>
    <w:rsid w:val="00924F92"/>
    <w:rsid w:val="00927E0A"/>
    <w:rsid w:val="00931298"/>
    <w:rsid w:val="009438CB"/>
    <w:rsid w:val="00944512"/>
    <w:rsid w:val="0094642A"/>
    <w:rsid w:val="0095483C"/>
    <w:rsid w:val="0096100C"/>
    <w:rsid w:val="009671CF"/>
    <w:rsid w:val="0097207D"/>
    <w:rsid w:val="009731BD"/>
    <w:rsid w:val="009761B6"/>
    <w:rsid w:val="00980513"/>
    <w:rsid w:val="0098085C"/>
    <w:rsid w:val="0098208E"/>
    <w:rsid w:val="009854E2"/>
    <w:rsid w:val="00986F19"/>
    <w:rsid w:val="00996ACA"/>
    <w:rsid w:val="009B1356"/>
    <w:rsid w:val="009B321B"/>
    <w:rsid w:val="009B6AAB"/>
    <w:rsid w:val="009D3CDB"/>
    <w:rsid w:val="009D5252"/>
    <w:rsid w:val="009D7A70"/>
    <w:rsid w:val="009E7E79"/>
    <w:rsid w:val="009F1089"/>
    <w:rsid w:val="009F2A04"/>
    <w:rsid w:val="009F2BF0"/>
    <w:rsid w:val="009F341E"/>
    <w:rsid w:val="00A0126B"/>
    <w:rsid w:val="00A03053"/>
    <w:rsid w:val="00A050B5"/>
    <w:rsid w:val="00A050B7"/>
    <w:rsid w:val="00A1002A"/>
    <w:rsid w:val="00A1154A"/>
    <w:rsid w:val="00A118B2"/>
    <w:rsid w:val="00A12711"/>
    <w:rsid w:val="00A25493"/>
    <w:rsid w:val="00A25B1F"/>
    <w:rsid w:val="00A2700D"/>
    <w:rsid w:val="00A3356E"/>
    <w:rsid w:val="00A438A8"/>
    <w:rsid w:val="00A4500D"/>
    <w:rsid w:val="00A45364"/>
    <w:rsid w:val="00A5322B"/>
    <w:rsid w:val="00A564CD"/>
    <w:rsid w:val="00A6011A"/>
    <w:rsid w:val="00A6350B"/>
    <w:rsid w:val="00A65620"/>
    <w:rsid w:val="00A667D0"/>
    <w:rsid w:val="00A66A9A"/>
    <w:rsid w:val="00A719AB"/>
    <w:rsid w:val="00A762D6"/>
    <w:rsid w:val="00A81C73"/>
    <w:rsid w:val="00A942AB"/>
    <w:rsid w:val="00A9726C"/>
    <w:rsid w:val="00AA5BB0"/>
    <w:rsid w:val="00AB0813"/>
    <w:rsid w:val="00AB08EC"/>
    <w:rsid w:val="00AB246F"/>
    <w:rsid w:val="00AB7073"/>
    <w:rsid w:val="00AC13E9"/>
    <w:rsid w:val="00AC5469"/>
    <w:rsid w:val="00AD733C"/>
    <w:rsid w:val="00AE09F3"/>
    <w:rsid w:val="00AE7B48"/>
    <w:rsid w:val="00AF1FAC"/>
    <w:rsid w:val="00AF40BD"/>
    <w:rsid w:val="00AF644F"/>
    <w:rsid w:val="00B061A1"/>
    <w:rsid w:val="00B10381"/>
    <w:rsid w:val="00B13783"/>
    <w:rsid w:val="00B26C73"/>
    <w:rsid w:val="00B26CD4"/>
    <w:rsid w:val="00B33A58"/>
    <w:rsid w:val="00B35528"/>
    <w:rsid w:val="00B424E9"/>
    <w:rsid w:val="00B46579"/>
    <w:rsid w:val="00B51F11"/>
    <w:rsid w:val="00B528C2"/>
    <w:rsid w:val="00B5350B"/>
    <w:rsid w:val="00B54AC1"/>
    <w:rsid w:val="00B60DBF"/>
    <w:rsid w:val="00B65424"/>
    <w:rsid w:val="00B7581F"/>
    <w:rsid w:val="00B830B0"/>
    <w:rsid w:val="00B83DAC"/>
    <w:rsid w:val="00B87016"/>
    <w:rsid w:val="00B944A1"/>
    <w:rsid w:val="00B94A6E"/>
    <w:rsid w:val="00B950C7"/>
    <w:rsid w:val="00B96295"/>
    <w:rsid w:val="00BA4E9A"/>
    <w:rsid w:val="00BA4F59"/>
    <w:rsid w:val="00BA594D"/>
    <w:rsid w:val="00BA687E"/>
    <w:rsid w:val="00BB5E49"/>
    <w:rsid w:val="00BC0898"/>
    <w:rsid w:val="00BD6009"/>
    <w:rsid w:val="00BD60A7"/>
    <w:rsid w:val="00BD6799"/>
    <w:rsid w:val="00BE11B6"/>
    <w:rsid w:val="00BE3968"/>
    <w:rsid w:val="00BE6090"/>
    <w:rsid w:val="00BF4B53"/>
    <w:rsid w:val="00C01BDB"/>
    <w:rsid w:val="00C057D2"/>
    <w:rsid w:val="00C058F3"/>
    <w:rsid w:val="00C05CA0"/>
    <w:rsid w:val="00C1115C"/>
    <w:rsid w:val="00C13E2D"/>
    <w:rsid w:val="00C15AC7"/>
    <w:rsid w:val="00C20B6B"/>
    <w:rsid w:val="00C34038"/>
    <w:rsid w:val="00C35499"/>
    <w:rsid w:val="00C366DE"/>
    <w:rsid w:val="00C36F8A"/>
    <w:rsid w:val="00C375FB"/>
    <w:rsid w:val="00C4449A"/>
    <w:rsid w:val="00C5547E"/>
    <w:rsid w:val="00C56F24"/>
    <w:rsid w:val="00C60575"/>
    <w:rsid w:val="00C63693"/>
    <w:rsid w:val="00C6380F"/>
    <w:rsid w:val="00C63F0B"/>
    <w:rsid w:val="00C660DB"/>
    <w:rsid w:val="00C72C42"/>
    <w:rsid w:val="00C7436B"/>
    <w:rsid w:val="00C77438"/>
    <w:rsid w:val="00CA00DE"/>
    <w:rsid w:val="00CA2525"/>
    <w:rsid w:val="00CA4AA4"/>
    <w:rsid w:val="00CA797D"/>
    <w:rsid w:val="00CB5A0E"/>
    <w:rsid w:val="00CC0B5F"/>
    <w:rsid w:val="00CC0E92"/>
    <w:rsid w:val="00CC313B"/>
    <w:rsid w:val="00CC4539"/>
    <w:rsid w:val="00CC6FE5"/>
    <w:rsid w:val="00CD2463"/>
    <w:rsid w:val="00CE026D"/>
    <w:rsid w:val="00CE266F"/>
    <w:rsid w:val="00CF1D47"/>
    <w:rsid w:val="00CF79A6"/>
    <w:rsid w:val="00D02AED"/>
    <w:rsid w:val="00D02F23"/>
    <w:rsid w:val="00D04EFE"/>
    <w:rsid w:val="00D05DAB"/>
    <w:rsid w:val="00D10C9D"/>
    <w:rsid w:val="00D117F5"/>
    <w:rsid w:val="00D11F94"/>
    <w:rsid w:val="00D12100"/>
    <w:rsid w:val="00D209FD"/>
    <w:rsid w:val="00D26E33"/>
    <w:rsid w:val="00D33975"/>
    <w:rsid w:val="00D4680E"/>
    <w:rsid w:val="00D531A8"/>
    <w:rsid w:val="00D53924"/>
    <w:rsid w:val="00D57FB3"/>
    <w:rsid w:val="00D60065"/>
    <w:rsid w:val="00D64064"/>
    <w:rsid w:val="00D670FE"/>
    <w:rsid w:val="00D72796"/>
    <w:rsid w:val="00D7435C"/>
    <w:rsid w:val="00D8099B"/>
    <w:rsid w:val="00D82E3D"/>
    <w:rsid w:val="00D83CE2"/>
    <w:rsid w:val="00D938DB"/>
    <w:rsid w:val="00D95E14"/>
    <w:rsid w:val="00D96322"/>
    <w:rsid w:val="00DA4692"/>
    <w:rsid w:val="00DA5796"/>
    <w:rsid w:val="00DB1DD8"/>
    <w:rsid w:val="00DC0406"/>
    <w:rsid w:val="00DC138D"/>
    <w:rsid w:val="00DC6927"/>
    <w:rsid w:val="00DD1C39"/>
    <w:rsid w:val="00DD74F4"/>
    <w:rsid w:val="00DE1D16"/>
    <w:rsid w:val="00DF69DD"/>
    <w:rsid w:val="00E01D77"/>
    <w:rsid w:val="00E04E23"/>
    <w:rsid w:val="00E128A4"/>
    <w:rsid w:val="00E207DD"/>
    <w:rsid w:val="00E279D6"/>
    <w:rsid w:val="00E32E08"/>
    <w:rsid w:val="00E33562"/>
    <w:rsid w:val="00E33BB9"/>
    <w:rsid w:val="00E352CF"/>
    <w:rsid w:val="00E361C2"/>
    <w:rsid w:val="00E41634"/>
    <w:rsid w:val="00E448FE"/>
    <w:rsid w:val="00E51F04"/>
    <w:rsid w:val="00E610F7"/>
    <w:rsid w:val="00E67C37"/>
    <w:rsid w:val="00E86E2C"/>
    <w:rsid w:val="00E9152C"/>
    <w:rsid w:val="00EB27B2"/>
    <w:rsid w:val="00EB469F"/>
    <w:rsid w:val="00EC691F"/>
    <w:rsid w:val="00ED4BEA"/>
    <w:rsid w:val="00ED63BE"/>
    <w:rsid w:val="00EE0CC3"/>
    <w:rsid w:val="00EE507E"/>
    <w:rsid w:val="00EF2E3C"/>
    <w:rsid w:val="00EF2F40"/>
    <w:rsid w:val="00EF329E"/>
    <w:rsid w:val="00EF473C"/>
    <w:rsid w:val="00EF4842"/>
    <w:rsid w:val="00EF6654"/>
    <w:rsid w:val="00F02660"/>
    <w:rsid w:val="00F11AAD"/>
    <w:rsid w:val="00F14214"/>
    <w:rsid w:val="00F23602"/>
    <w:rsid w:val="00F2485F"/>
    <w:rsid w:val="00F34BF0"/>
    <w:rsid w:val="00F376AA"/>
    <w:rsid w:val="00F40D39"/>
    <w:rsid w:val="00F41777"/>
    <w:rsid w:val="00F44047"/>
    <w:rsid w:val="00F50055"/>
    <w:rsid w:val="00F50695"/>
    <w:rsid w:val="00F72DF7"/>
    <w:rsid w:val="00F74351"/>
    <w:rsid w:val="00F758B1"/>
    <w:rsid w:val="00F82C16"/>
    <w:rsid w:val="00F865BB"/>
    <w:rsid w:val="00F91BF4"/>
    <w:rsid w:val="00F92A71"/>
    <w:rsid w:val="00FA465A"/>
    <w:rsid w:val="00FA683D"/>
    <w:rsid w:val="00FA79D6"/>
    <w:rsid w:val="00FB12EF"/>
    <w:rsid w:val="00FB13B1"/>
    <w:rsid w:val="00FC3662"/>
    <w:rsid w:val="00FD2746"/>
    <w:rsid w:val="00FE4AF4"/>
    <w:rsid w:val="00FE757A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8F2D-484F-4077-8E5B-0C20B835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D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DE"/>
    <w:pPr>
      <w:ind w:left="720"/>
      <w:contextualSpacing/>
    </w:pPr>
  </w:style>
  <w:style w:type="table" w:styleId="a4">
    <w:name w:val="Table Grid"/>
    <w:basedOn w:val="a1"/>
    <w:uiPriority w:val="59"/>
    <w:rsid w:val="00C3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Знак"/>
    <w:basedOn w:val="a"/>
    <w:link w:val="a6"/>
    <w:qFormat/>
    <w:rsid w:val="00A4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Знак Знак"/>
    <w:link w:val="a5"/>
    <w:locked/>
    <w:rsid w:val="00A4500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42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8B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A2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B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1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2D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BF4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kern w:val="1"/>
      <w:lang w:val="ru-RU" w:eastAsia="zh-CN" w:bidi="hi-IN"/>
    </w:rPr>
  </w:style>
  <w:style w:type="character" w:customStyle="1" w:styleId="HTML0">
    <w:name w:val="Стандартний HTML Знак"/>
    <w:basedOn w:val="a0"/>
    <w:link w:val="HTML"/>
    <w:uiPriority w:val="99"/>
    <w:rsid w:val="00BF4B53"/>
    <w:rPr>
      <w:rFonts w:ascii="Courier New" w:eastAsia="Times New Roman" w:hAnsi="Courier New" w:cs="Courier New"/>
      <w:color w:val="000000"/>
      <w:kern w:val="1"/>
      <w:lang w:val="ru-RU" w:eastAsia="zh-CN" w:bidi="hi-IN"/>
    </w:rPr>
  </w:style>
  <w:style w:type="table" w:customStyle="1" w:styleId="6">
    <w:name w:val="Сетка таблицы6"/>
    <w:basedOn w:val="a1"/>
    <w:next w:val="a4"/>
    <w:uiPriority w:val="59"/>
    <w:rsid w:val="00F1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4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A4AA4"/>
  </w:style>
  <w:style w:type="paragraph" w:styleId="a9">
    <w:name w:val="footer"/>
    <w:basedOn w:val="a"/>
    <w:link w:val="aa"/>
    <w:uiPriority w:val="99"/>
    <w:unhideWhenUsed/>
    <w:rsid w:val="00CA4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A4AA4"/>
  </w:style>
  <w:style w:type="paragraph" w:styleId="ab">
    <w:name w:val="Balloon Text"/>
    <w:basedOn w:val="a"/>
    <w:link w:val="ac"/>
    <w:uiPriority w:val="99"/>
    <w:semiHidden/>
    <w:unhideWhenUsed/>
    <w:rsid w:val="00ED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D63BE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F72DF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10">
    <w:name w:val="Обычный1"/>
    <w:rsid w:val="007E1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lle">
    <w:name w:val="spelle"/>
    <w:basedOn w:val="a0"/>
    <w:rsid w:val="003F72DE"/>
  </w:style>
  <w:style w:type="paragraph" w:styleId="22">
    <w:name w:val="Body Text Indent 2"/>
    <w:basedOn w:val="a"/>
    <w:link w:val="23"/>
    <w:rsid w:val="00575C2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ий текст з відступом 2 Знак"/>
    <w:basedOn w:val="a0"/>
    <w:link w:val="22"/>
    <w:rsid w:val="00575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60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730D-512A-444B-A824-01DA9DD4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6927</Words>
  <Characters>3949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БАКУМЕНКО АЛЬОНА ЯРОСЛАВІВНА</dc:creator>
  <cp:lastModifiedBy>Ганнисик Людмила Василівна</cp:lastModifiedBy>
  <cp:revision>2</cp:revision>
  <cp:lastPrinted>2018-12-04T15:13:00Z</cp:lastPrinted>
  <dcterms:created xsi:type="dcterms:W3CDTF">2020-06-10T12:15:00Z</dcterms:created>
  <dcterms:modified xsi:type="dcterms:W3CDTF">2020-06-10T12:15:00Z</dcterms:modified>
</cp:coreProperties>
</file>