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1B" w:rsidRPr="00C1701B" w:rsidRDefault="00C1701B" w:rsidP="00C170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701B">
        <w:rPr>
          <w:rFonts w:ascii="Verdana" w:eastAsia="Times New Roman" w:hAnsi="Verdana" w:cs="Times New Roman"/>
          <w:color w:val="000000"/>
          <w:sz w:val="14"/>
          <w:szCs w:val="14"/>
        </w:rPr>
        <w:br/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7"/>
        <w:gridCol w:w="9492"/>
      </w:tblGrid>
      <w:tr w:rsidR="00C1701B" w:rsidRPr="00C1701B" w:rsidTr="00C1701B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1701B" w:rsidRPr="00C1701B" w:rsidRDefault="00C1701B" w:rsidP="00C1701B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  <w:r>
              <w:rPr>
                <w:rFonts w:ascii="Verdana" w:eastAsia="Times New Roman" w:hAnsi="Verdana" w:cs="Times New Roman"/>
                <w:noProof/>
                <w:sz w:val="14"/>
                <w:szCs w:val="14"/>
              </w:rPr>
              <w:drawing>
                <wp:inline distT="0" distB="0" distL="0" distR="0">
                  <wp:extent cx="93345" cy="6985"/>
                  <wp:effectExtent l="0" t="0" r="0" b="0"/>
                  <wp:docPr id="1" name="Рисунок 1" descr="http://195.78.68.18/minfin/img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5.78.68.18/minfin/img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" cy="6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492"/>
            </w:tblGrid>
            <w:tr w:rsidR="00C1701B" w:rsidRPr="00C1701B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1701B" w:rsidRDefault="00C1701B" w:rsidP="00C170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  <w:lang w:val="en-US"/>
                    </w:rPr>
                  </w:pPr>
                  <w:r w:rsidRPr="00C1701B"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  <w:t>Оголошення про планове проведення розміщень середньострокових державних облігацій, які відбудуться</w:t>
                  </w:r>
                  <w:r w:rsidRPr="00C1701B"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  <w:lang w:val="ru-RU"/>
                    </w:rPr>
                    <w:t xml:space="preserve"> </w:t>
                  </w:r>
                  <w:r w:rsidRPr="00C1701B"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  <w:t>2 квітня 2014 року</w:t>
                  </w:r>
                </w:p>
                <w:p w:rsidR="00C1701B" w:rsidRDefault="00C1701B" w:rsidP="00C170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  <w:lang w:val="en-US"/>
                    </w:rPr>
                  </w:pPr>
                </w:p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92"/>
                  </w:tblGrid>
                  <w:tr w:rsidR="00C1701B" w:rsidRPr="00C1701B" w:rsidTr="00C1701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1701B" w:rsidRPr="00C1701B" w:rsidRDefault="00C1701B" w:rsidP="00C1701B">
                        <w:pPr>
                          <w:spacing w:after="0" w:line="240" w:lineRule="auto"/>
                          <w:ind w:firstLine="708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br/>
                          <w:t>Міністерство фінансів України на підставі постанови Кабінету Міністрів України від 31.01.2001р. № 80</w:t>
                        </w: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</w:rPr>
                          <w:t> </w:t>
                        </w:r>
                        <w:proofErr w:type="spellStart"/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</w:rPr>
                          <w:t>„Про</w:t>
                        </w:r>
                        <w:proofErr w:type="spellEnd"/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</w:rPr>
                          <w:t> </w:t>
                        </w: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 xml:space="preserve">випуск облігацій внутрішніх державних </w:t>
                        </w:r>
                        <w:proofErr w:type="spellStart"/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позик”</w:t>
                        </w:r>
                        <w:proofErr w:type="spellEnd"/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 xml:space="preserve"> оголошує планове проведення розміщень середньострокових державних облігацій, які відбудуться</w:t>
                        </w: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</w:rPr>
                          <w:t> </w:t>
                        </w: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</w:rPr>
                          <w:t> </w:t>
                        </w:r>
                        <w:r w:rsidRPr="00C1701B"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  <w:t>квітня2014 року за наступними показниками:</w:t>
                        </w:r>
                      </w:p>
                      <w:tbl>
                        <w:tblPr>
                          <w:tblW w:w="4275" w:type="dxa"/>
                          <w:jc w:val="center"/>
                          <w:tblInd w:w="632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48"/>
                          <w:gridCol w:w="2227"/>
                        </w:tblGrid>
                        <w:tr w:rsidR="00C1701B" w:rsidRPr="00C1701B">
                          <w:trPr>
                            <w:trHeight w:val="310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Номер розміщення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single" w:sz="8" w:space="0" w:color="auto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27*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544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Код облігацій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C1701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</w:rPr>
                                <w:t>Дорозміщення</w:t>
                              </w:r>
                              <w:proofErr w:type="spellEnd"/>
                            </w:p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UA4000185623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281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Термін обігу (</w:t>
                              </w:r>
                              <w:proofErr w:type="spellStart"/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</w:rPr>
                                <w:t>дн</w:t>
                              </w:r>
                              <w:proofErr w:type="spellEnd"/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.)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481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Кількість виставлених облігацій (шт.)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900 102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340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Фіксований рівень дохідності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7,00%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278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Дата проведення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02.04.2015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410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Дата оплати за придбані облігації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03.04.2015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260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Термін погашення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27.07.2016</w:t>
                              </w:r>
                            </w:p>
                          </w:tc>
                        </w:tr>
                        <w:tr w:rsidR="00C1701B" w:rsidRPr="00C1701B">
                          <w:trPr>
                            <w:trHeight w:val="3175"/>
                            <w:jc w:val="center"/>
                          </w:trPr>
                          <w:tc>
                            <w:tcPr>
                              <w:tcW w:w="2046" w:type="dxa"/>
                              <w:tcBorders>
                                <w:top w:val="nil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sz w:val="18"/>
                                  <w:szCs w:val="18"/>
                                </w:rPr>
                                <w:t>Терміни сплати відсотків</w:t>
                              </w:r>
                            </w:p>
                          </w:tc>
                          <w:tc>
                            <w:tcPr>
                              <w:tcW w:w="2224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tc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cMar>
                              <w:vAlign w:val="center"/>
                              <w:hideMark/>
                            </w:tcPr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29.07.2015</w:t>
                              </w:r>
                            </w:p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27.01.2016</w:t>
                              </w:r>
                            </w:p>
                            <w:p w:rsidR="00C1701B" w:rsidRPr="00C1701B" w:rsidRDefault="00C1701B" w:rsidP="00C1701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1701B"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8"/>
                                  <w:szCs w:val="18"/>
                                </w:rPr>
                                <w:t>27.07.2016</w:t>
                              </w:r>
                            </w:p>
                          </w:tc>
                        </w:tr>
                      </w:tbl>
                      <w:p w:rsidR="00C1701B" w:rsidRPr="00C1701B" w:rsidRDefault="00C1701B" w:rsidP="00C1701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01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C1701B" w:rsidRPr="00C1701B" w:rsidRDefault="00C1701B" w:rsidP="00C1701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01B">
                          <w:rPr>
                            <w:rFonts w:ascii="Verdana" w:eastAsia="Times New Roman" w:hAnsi="Verdana" w:cs="Times New Roman"/>
                            <w:b/>
                            <w:bCs/>
                            <w:sz w:val="18"/>
                            <w:szCs w:val="18"/>
                          </w:rPr>
                          <w:t> </w:t>
                        </w:r>
                      </w:p>
                      <w:p w:rsidR="00C1701B" w:rsidRPr="00C1701B" w:rsidRDefault="00C1701B" w:rsidP="00C1701B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01B">
                          <w:rPr>
                            <w:rFonts w:ascii="Verdana" w:eastAsia="Times New Roman" w:hAnsi="Verdana" w:cs="Times New Roman"/>
                            <w:sz w:val="18"/>
                            <w:szCs w:val="18"/>
                          </w:rPr>
                          <w:t>* Відповідно до постанови Кабінету Міністрів України від 01.04.2014 № 101 «Про випуск облігацій внутрішньої державної позики «Військові облігації» кошти, залучені за результатами розміщення середньострокових державних облігацій, будуть спрямовані до державного бюджету з метою фінансування Збройних сил України та зміцнення обороноздатності держави.</w:t>
                        </w:r>
                      </w:p>
                      <w:p w:rsidR="00C1701B" w:rsidRPr="00C1701B" w:rsidRDefault="00C1701B" w:rsidP="00C1701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C1701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</w:tbl>
                <w:p w:rsidR="00C1701B" w:rsidRPr="00C1701B" w:rsidRDefault="00C1701B" w:rsidP="00C1701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669E"/>
                      <w:sz w:val="17"/>
                      <w:szCs w:val="17"/>
                    </w:rPr>
                  </w:pPr>
                </w:p>
              </w:tc>
            </w:tr>
          </w:tbl>
          <w:p w:rsidR="00C1701B" w:rsidRPr="00C1701B" w:rsidRDefault="00C1701B" w:rsidP="00C1701B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</w:rPr>
            </w:pPr>
          </w:p>
        </w:tc>
      </w:tr>
    </w:tbl>
    <w:p w:rsidR="00C778C7" w:rsidRDefault="00C778C7"/>
    <w:sectPr w:rsidR="00C778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>
    <w:useFELayout/>
  </w:compat>
  <w:rsids>
    <w:rsidRoot w:val="00C1701B"/>
    <w:rsid w:val="00C1701B"/>
    <w:rsid w:val="00C77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170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1701B"/>
  </w:style>
  <w:style w:type="character" w:customStyle="1" w:styleId="spelle">
    <w:name w:val="spelle"/>
    <w:basedOn w:val="a0"/>
    <w:rsid w:val="00C1701B"/>
  </w:style>
  <w:style w:type="paragraph" w:styleId="a5">
    <w:name w:val="Body Text"/>
    <w:basedOn w:val="a"/>
    <w:link w:val="a6"/>
    <w:uiPriority w:val="99"/>
    <w:semiHidden/>
    <w:unhideWhenUsed/>
    <w:rsid w:val="00C1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ий текст Знак"/>
    <w:basedOn w:val="a0"/>
    <w:link w:val="a5"/>
    <w:uiPriority w:val="99"/>
    <w:semiHidden/>
    <w:rsid w:val="00C170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Company>Minfin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i_bodnar</dc:creator>
  <cp:keywords/>
  <dc:description/>
  <cp:lastModifiedBy>i_bodnar</cp:lastModifiedBy>
  <cp:revision>2</cp:revision>
  <dcterms:created xsi:type="dcterms:W3CDTF">2015-10-21T15:12:00Z</dcterms:created>
  <dcterms:modified xsi:type="dcterms:W3CDTF">2015-10-21T15:13:00Z</dcterms:modified>
</cp:coreProperties>
</file>