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5F8" w:rsidRPr="00D71A64" w:rsidRDefault="001C45F8"/>
    <w:p w:rsidR="008A1201" w:rsidRPr="00D71A64" w:rsidRDefault="008A1201" w:rsidP="008A1201">
      <w:pPr>
        <w:widowControl w:val="0"/>
        <w:shd w:val="clear" w:color="auto" w:fill="FFFFFF"/>
        <w:spacing w:after="0" w:line="240" w:lineRule="auto"/>
        <w:jc w:val="center"/>
        <w:rPr>
          <w:rFonts w:ascii="Times New Roman" w:hAnsi="Times New Roman" w:cs="Times New Roman"/>
          <w:b/>
          <w:bCs/>
          <w:sz w:val="28"/>
          <w:szCs w:val="28"/>
        </w:rPr>
      </w:pPr>
      <w:r w:rsidRPr="00D71A64">
        <w:rPr>
          <w:rFonts w:ascii="Times New Roman" w:hAnsi="Times New Roman" w:cs="Times New Roman"/>
          <w:b/>
          <w:bCs/>
          <w:sz w:val="28"/>
          <w:szCs w:val="28"/>
        </w:rPr>
        <w:t>Повідомлення про оприлюднення</w:t>
      </w:r>
    </w:p>
    <w:p w:rsidR="00285546" w:rsidRPr="00D71A64" w:rsidRDefault="00171DEA" w:rsidP="00FE33E4">
      <w:pPr>
        <w:widowControl w:val="0"/>
        <w:shd w:val="clear" w:color="auto" w:fill="FFFFFF"/>
        <w:spacing w:after="0" w:line="240" w:lineRule="auto"/>
        <w:jc w:val="center"/>
        <w:rPr>
          <w:rFonts w:ascii="Times New Roman" w:hAnsi="Times New Roman" w:cs="Times New Roman"/>
          <w:b/>
          <w:bCs/>
          <w:sz w:val="28"/>
          <w:szCs w:val="28"/>
        </w:rPr>
      </w:pPr>
      <w:proofErr w:type="spellStart"/>
      <w:r w:rsidRPr="00D71A64">
        <w:rPr>
          <w:rFonts w:ascii="Times New Roman" w:hAnsi="Times New Roman" w:cs="Times New Roman"/>
          <w:b/>
          <w:bCs/>
          <w:sz w:val="28"/>
          <w:szCs w:val="28"/>
        </w:rPr>
        <w:t>проєкту</w:t>
      </w:r>
      <w:proofErr w:type="spellEnd"/>
      <w:r w:rsidRPr="00D71A64">
        <w:rPr>
          <w:rFonts w:ascii="Times New Roman" w:hAnsi="Times New Roman" w:cs="Times New Roman"/>
          <w:b/>
          <w:bCs/>
          <w:sz w:val="28"/>
          <w:szCs w:val="28"/>
        </w:rPr>
        <w:t xml:space="preserve"> Закону України «Про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 липня 2016 року»</w:t>
      </w:r>
    </w:p>
    <w:p w:rsidR="00171DEA" w:rsidRPr="00D71A64" w:rsidRDefault="00171DEA" w:rsidP="008A1201">
      <w:pPr>
        <w:widowControl w:val="0"/>
        <w:shd w:val="clear" w:color="auto" w:fill="FFFFFF"/>
        <w:spacing w:after="0" w:line="240" w:lineRule="auto"/>
        <w:ind w:firstLine="709"/>
        <w:jc w:val="both"/>
        <w:rPr>
          <w:rFonts w:ascii="Times New Roman" w:hAnsi="Times New Roman" w:cs="Times New Roman"/>
          <w:b/>
          <w:sz w:val="28"/>
          <w:szCs w:val="28"/>
        </w:rPr>
      </w:pPr>
    </w:p>
    <w:p w:rsidR="008A1201" w:rsidRPr="00D71A64" w:rsidRDefault="008A1201" w:rsidP="00EE1CA9">
      <w:pPr>
        <w:shd w:val="clear" w:color="auto" w:fill="FFFFFF"/>
        <w:spacing w:after="0" w:line="240" w:lineRule="auto"/>
        <w:ind w:firstLine="567"/>
        <w:jc w:val="both"/>
        <w:rPr>
          <w:rFonts w:ascii="Times New Roman" w:hAnsi="Times New Roman" w:cs="Times New Roman"/>
          <w:sz w:val="28"/>
          <w:szCs w:val="28"/>
        </w:rPr>
      </w:pPr>
      <w:r w:rsidRPr="00D71A64">
        <w:rPr>
          <w:rFonts w:ascii="Times New Roman" w:hAnsi="Times New Roman" w:cs="Times New Roman"/>
          <w:sz w:val="28"/>
          <w:szCs w:val="28"/>
        </w:rPr>
        <w:t>Міністерство фінансів України відповідно до статті 15 Закону України «Про доступ до публічної інформації» повідомляє про оприлюднення</w:t>
      </w:r>
      <w:r w:rsidR="00171DEA" w:rsidRPr="00D71A64">
        <w:rPr>
          <w:rFonts w:ascii="Times New Roman" w:hAnsi="Times New Roman" w:cs="Times New Roman"/>
          <w:sz w:val="28"/>
          <w:szCs w:val="28"/>
        </w:rPr>
        <w:t xml:space="preserve"> </w:t>
      </w:r>
      <w:proofErr w:type="spellStart"/>
      <w:r w:rsidR="00171DEA" w:rsidRPr="00D71A64">
        <w:rPr>
          <w:rFonts w:ascii="Times New Roman" w:hAnsi="Times New Roman" w:cs="Times New Roman"/>
          <w:sz w:val="28"/>
          <w:szCs w:val="28"/>
        </w:rPr>
        <w:t>проєкту</w:t>
      </w:r>
      <w:proofErr w:type="spellEnd"/>
      <w:r w:rsidR="00171DEA" w:rsidRPr="00D71A64">
        <w:rPr>
          <w:rFonts w:ascii="Times New Roman" w:hAnsi="Times New Roman" w:cs="Times New Roman"/>
          <w:sz w:val="28"/>
          <w:szCs w:val="28"/>
        </w:rPr>
        <w:t xml:space="preserve"> Закону України «Про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 липня 2016 року»</w:t>
      </w:r>
      <w:r w:rsidR="00EE1CA9" w:rsidRPr="00D71A64">
        <w:rPr>
          <w:rFonts w:ascii="Times New Roman" w:hAnsi="Times New Roman" w:cs="Times New Roman"/>
          <w:sz w:val="28"/>
          <w:szCs w:val="28"/>
        </w:rPr>
        <w:t xml:space="preserve"> (далі – </w:t>
      </w:r>
      <w:proofErr w:type="spellStart"/>
      <w:r w:rsidR="00EE1CA9" w:rsidRPr="00D71A64">
        <w:rPr>
          <w:rFonts w:ascii="Times New Roman" w:hAnsi="Times New Roman" w:cs="Times New Roman"/>
          <w:sz w:val="28"/>
          <w:szCs w:val="28"/>
        </w:rPr>
        <w:t>законопроєкт</w:t>
      </w:r>
      <w:proofErr w:type="spellEnd"/>
      <w:r w:rsidR="00EE1CA9" w:rsidRPr="00D71A64">
        <w:rPr>
          <w:rFonts w:ascii="Times New Roman" w:hAnsi="Times New Roman" w:cs="Times New Roman"/>
          <w:sz w:val="28"/>
          <w:szCs w:val="28"/>
        </w:rPr>
        <w:t>)</w:t>
      </w:r>
      <w:r w:rsidR="00171DEA" w:rsidRPr="00D71A64">
        <w:rPr>
          <w:rFonts w:ascii="Times New Roman" w:hAnsi="Times New Roman" w:cs="Times New Roman"/>
          <w:sz w:val="28"/>
          <w:szCs w:val="28"/>
        </w:rPr>
        <w:t>.</w:t>
      </w:r>
    </w:p>
    <w:p w:rsidR="00F1175A" w:rsidRPr="00D71A64" w:rsidRDefault="00EE1CA9" w:rsidP="00696A2A">
      <w:pPr>
        <w:shd w:val="clear" w:color="auto" w:fill="FFFFFF"/>
        <w:spacing w:after="0" w:line="240" w:lineRule="auto"/>
        <w:ind w:firstLine="567"/>
        <w:jc w:val="both"/>
        <w:rPr>
          <w:rFonts w:ascii="Times New Roman" w:hAnsi="Times New Roman" w:cs="Times New Roman"/>
          <w:sz w:val="28"/>
          <w:szCs w:val="28"/>
        </w:rPr>
      </w:pPr>
      <w:proofErr w:type="spellStart"/>
      <w:r w:rsidRPr="00D71A64">
        <w:rPr>
          <w:rFonts w:ascii="Times New Roman" w:hAnsi="Times New Roman" w:cs="Times New Roman"/>
          <w:sz w:val="28"/>
          <w:szCs w:val="28"/>
        </w:rPr>
        <w:t>Законопроєкт</w:t>
      </w:r>
      <w:proofErr w:type="spellEnd"/>
      <w:r w:rsidRPr="00D71A64">
        <w:rPr>
          <w:rFonts w:ascii="Times New Roman" w:hAnsi="Times New Roman" w:cs="Times New Roman"/>
          <w:sz w:val="28"/>
          <w:szCs w:val="28"/>
        </w:rPr>
        <w:t xml:space="preserve"> розроблено</w:t>
      </w:r>
      <w:r w:rsidR="008A1201" w:rsidRPr="00D71A64">
        <w:rPr>
          <w:rFonts w:ascii="Times New Roman" w:hAnsi="Times New Roman" w:cs="Times New Roman"/>
          <w:sz w:val="28"/>
          <w:szCs w:val="28"/>
        </w:rPr>
        <w:t xml:space="preserve"> з метою</w:t>
      </w:r>
      <w:r w:rsidR="005B353E">
        <w:rPr>
          <w:rFonts w:ascii="Times New Roman" w:hAnsi="Times New Roman" w:cs="Times New Roman"/>
          <w:sz w:val="28"/>
          <w:szCs w:val="28"/>
        </w:rPr>
        <w:t>:</w:t>
      </w:r>
      <w:r w:rsidR="008A1201" w:rsidRPr="00D71A64">
        <w:rPr>
          <w:rFonts w:ascii="Times New Roman" w:hAnsi="Times New Roman" w:cs="Times New Roman"/>
          <w:sz w:val="28"/>
          <w:szCs w:val="28"/>
        </w:rPr>
        <w:t xml:space="preserve"> </w:t>
      </w:r>
    </w:p>
    <w:p w:rsidR="00EE1CA9" w:rsidRPr="00D71A64" w:rsidRDefault="00EE1CA9" w:rsidP="00EE1CA9">
      <w:pPr>
        <w:spacing w:after="0" w:line="240" w:lineRule="auto"/>
        <w:ind w:firstLine="567"/>
        <w:jc w:val="both"/>
        <w:rPr>
          <w:rFonts w:ascii="Times New Roman" w:hAnsi="Times New Roman" w:cs="Times New Roman"/>
          <w:color w:val="000000" w:themeColor="text1"/>
          <w:sz w:val="28"/>
          <w:szCs w:val="28"/>
          <w:lang w:eastAsia="uk-UA"/>
        </w:rPr>
      </w:pPr>
      <w:r w:rsidRPr="00D71A64">
        <w:rPr>
          <w:rFonts w:ascii="Times New Roman" w:hAnsi="Times New Roman" w:cs="Times New Roman"/>
          <w:color w:val="000000" w:themeColor="text1"/>
          <w:sz w:val="28"/>
          <w:szCs w:val="28"/>
          <w:lang w:eastAsia="uk-UA"/>
        </w:rPr>
        <w:t xml:space="preserve">забезпечення необхідного рівня захисту національної системи оподаткування прибутку підприємств </w:t>
      </w:r>
      <w:r w:rsidRPr="00D71A64">
        <w:rPr>
          <w:rFonts w:ascii="Times New Roman" w:hAnsi="Times New Roman"/>
          <w:color w:val="000000" w:themeColor="text1"/>
          <w:sz w:val="28"/>
          <w:szCs w:val="28"/>
        </w:rPr>
        <w:t xml:space="preserve">від практик ухилення </w:t>
      </w:r>
      <w:r w:rsidR="00D71A64" w:rsidRPr="00D71A64">
        <w:rPr>
          <w:rFonts w:ascii="Times New Roman" w:hAnsi="Times New Roman"/>
          <w:color w:val="000000" w:themeColor="text1"/>
          <w:sz w:val="28"/>
          <w:szCs w:val="28"/>
        </w:rPr>
        <w:t>(та</w:t>
      </w:r>
      <w:r w:rsidRPr="00D71A64">
        <w:rPr>
          <w:rFonts w:ascii="Times New Roman" w:hAnsi="Times New Roman"/>
          <w:color w:val="000000" w:themeColor="text1"/>
          <w:sz w:val="28"/>
          <w:szCs w:val="28"/>
        </w:rPr>
        <w:t xml:space="preserve"> уникнення</w:t>
      </w:r>
      <w:r w:rsidR="00D71A64" w:rsidRPr="00D71A64">
        <w:rPr>
          <w:rFonts w:ascii="Times New Roman" w:hAnsi="Times New Roman"/>
          <w:color w:val="000000" w:themeColor="text1"/>
          <w:sz w:val="28"/>
          <w:szCs w:val="28"/>
        </w:rPr>
        <w:t>)</w:t>
      </w:r>
      <w:r w:rsidRPr="00D71A64">
        <w:rPr>
          <w:rFonts w:ascii="Times New Roman" w:hAnsi="Times New Roman"/>
          <w:color w:val="000000" w:themeColor="text1"/>
          <w:sz w:val="28"/>
          <w:szCs w:val="28"/>
        </w:rPr>
        <w:t xml:space="preserve"> </w:t>
      </w:r>
      <w:r w:rsidR="00D71A64" w:rsidRPr="00D71A64">
        <w:rPr>
          <w:rFonts w:ascii="Times New Roman" w:hAnsi="Times New Roman"/>
          <w:color w:val="000000" w:themeColor="text1"/>
          <w:sz w:val="28"/>
          <w:szCs w:val="28"/>
        </w:rPr>
        <w:t>від оподаткування</w:t>
      </w:r>
      <w:r w:rsidRPr="00D71A64">
        <w:rPr>
          <w:rFonts w:ascii="Times New Roman" w:hAnsi="Times New Roman"/>
          <w:color w:val="000000" w:themeColor="text1"/>
          <w:sz w:val="28"/>
          <w:szCs w:val="28"/>
        </w:rPr>
        <w:t>, розмивання податкової бази та переміщення прибутку до юрисдикцій з нижчим рівнем оподаткування;</w:t>
      </w:r>
      <w:r w:rsidRPr="00D71A64">
        <w:rPr>
          <w:rFonts w:ascii="Times New Roman" w:hAnsi="Times New Roman" w:cs="Times New Roman"/>
          <w:color w:val="000000" w:themeColor="text1"/>
          <w:sz w:val="28"/>
          <w:szCs w:val="28"/>
          <w:lang w:eastAsia="uk-UA"/>
        </w:rPr>
        <w:t xml:space="preserve"> </w:t>
      </w:r>
    </w:p>
    <w:p w:rsidR="00EE1CA9" w:rsidRPr="00D71A64" w:rsidRDefault="00EE1CA9" w:rsidP="00EE1CA9">
      <w:pPr>
        <w:spacing w:after="0" w:line="240" w:lineRule="auto"/>
        <w:ind w:firstLine="567"/>
        <w:jc w:val="both"/>
        <w:rPr>
          <w:rFonts w:ascii="Times New Roman" w:hAnsi="Times New Roman" w:cs="Times New Roman"/>
          <w:color w:val="000000" w:themeColor="text1"/>
          <w:sz w:val="28"/>
          <w:szCs w:val="28"/>
          <w:lang w:eastAsia="uk-UA"/>
        </w:rPr>
      </w:pPr>
      <w:r w:rsidRPr="00D71A64">
        <w:rPr>
          <w:rFonts w:ascii="Times New Roman" w:hAnsi="Times New Roman" w:cs="Times New Roman"/>
          <w:color w:val="000000" w:themeColor="text1"/>
          <w:sz w:val="28"/>
          <w:szCs w:val="28"/>
          <w:lang w:eastAsia="uk-UA"/>
        </w:rPr>
        <w:t xml:space="preserve">приведення положень податкового законодавства України у відповідність до права Європейського Союзу, зокрема до вимог </w:t>
      </w:r>
      <w:proofErr w:type="spellStart"/>
      <w:r w:rsidRPr="00D71A64">
        <w:rPr>
          <w:rFonts w:ascii="Times New Roman" w:hAnsi="Times New Roman" w:cs="Times New Roman"/>
          <w:color w:val="000000" w:themeColor="text1"/>
          <w:sz w:val="28"/>
          <w:szCs w:val="28"/>
          <w:lang w:eastAsia="uk-UA"/>
        </w:rPr>
        <w:t>статт</w:t>
      </w:r>
      <w:r w:rsidR="00181E3F" w:rsidRPr="00D71A64">
        <w:rPr>
          <w:rFonts w:ascii="Times New Roman" w:hAnsi="Times New Roman" w:cs="Times New Roman"/>
          <w:color w:val="000000" w:themeColor="text1"/>
          <w:sz w:val="28"/>
          <w:szCs w:val="28"/>
          <w:lang w:eastAsia="uk-UA"/>
        </w:rPr>
        <w:t>ей</w:t>
      </w:r>
      <w:proofErr w:type="spellEnd"/>
      <w:r w:rsidRPr="00D71A64">
        <w:rPr>
          <w:rFonts w:ascii="Times New Roman" w:hAnsi="Times New Roman" w:cs="Times New Roman"/>
          <w:color w:val="000000" w:themeColor="text1"/>
          <w:sz w:val="28"/>
          <w:szCs w:val="28"/>
          <w:lang w:eastAsia="uk-UA"/>
        </w:rPr>
        <w:t xml:space="preserve"> 4</w:t>
      </w:r>
      <w:r w:rsidR="00181E3F" w:rsidRPr="00D71A64">
        <w:rPr>
          <w:rFonts w:ascii="Times New Roman" w:hAnsi="Times New Roman" w:cs="Times New Roman"/>
          <w:color w:val="000000" w:themeColor="text1"/>
          <w:sz w:val="28"/>
          <w:szCs w:val="28"/>
          <w:lang w:eastAsia="uk-UA"/>
        </w:rPr>
        <w:t xml:space="preserve">, </w:t>
      </w:r>
      <w:r w:rsidRPr="00D71A64">
        <w:rPr>
          <w:rFonts w:ascii="Times New Roman" w:hAnsi="Times New Roman" w:cs="Times New Roman"/>
          <w:color w:val="000000" w:themeColor="text1"/>
          <w:sz w:val="28"/>
          <w:szCs w:val="28"/>
          <w:lang w:eastAsia="uk-UA"/>
        </w:rPr>
        <w:t>5, 6, 9</w:t>
      </w:r>
      <w:r w:rsidR="009D5415" w:rsidRPr="00D71A64">
        <w:rPr>
          <w:rFonts w:ascii="Times New Roman" w:hAnsi="Times New Roman" w:cs="Times New Roman"/>
          <w:color w:val="000000" w:themeColor="text1"/>
          <w:sz w:val="28"/>
          <w:szCs w:val="28"/>
          <w:lang w:eastAsia="uk-UA"/>
        </w:rPr>
        <w:t xml:space="preserve">, </w:t>
      </w:r>
      <w:r w:rsidRPr="00D71A64">
        <w:rPr>
          <w:rFonts w:ascii="Times New Roman" w:hAnsi="Times New Roman" w:cs="Times New Roman"/>
          <w:color w:val="000000" w:themeColor="text1"/>
          <w:sz w:val="28"/>
          <w:szCs w:val="28"/>
          <w:lang w:eastAsia="uk-UA"/>
        </w:rPr>
        <w:t xml:space="preserve">9а </w:t>
      </w:r>
      <w:r w:rsidR="009D5415" w:rsidRPr="00D71A64">
        <w:rPr>
          <w:rFonts w:ascii="Times New Roman" w:hAnsi="Times New Roman" w:cs="Times New Roman"/>
          <w:color w:val="000000" w:themeColor="text1"/>
          <w:sz w:val="28"/>
          <w:szCs w:val="28"/>
          <w:lang w:eastAsia="uk-UA"/>
        </w:rPr>
        <w:t xml:space="preserve">і 9b </w:t>
      </w:r>
      <w:r w:rsidRPr="00D71A64">
        <w:rPr>
          <w:rFonts w:ascii="Times New Roman" w:hAnsi="Times New Roman" w:cs="Times New Roman"/>
          <w:color w:val="000000" w:themeColor="text1"/>
          <w:sz w:val="28"/>
          <w:szCs w:val="28"/>
          <w:lang w:eastAsia="uk-UA"/>
        </w:rPr>
        <w:t>Директиви Ради (ЄС) 2016/1164/ЄС від 12.07.2016 про встановлення правил протидії практикам ухилення від сплати податків, які мають безпосередній вплив на функціонування внутрішнього ринку</w:t>
      </w:r>
      <w:r w:rsidR="005B353E">
        <w:rPr>
          <w:rFonts w:ascii="Times New Roman" w:hAnsi="Times New Roman" w:cs="Times New Roman"/>
          <w:color w:val="000000" w:themeColor="text1"/>
          <w:sz w:val="28"/>
          <w:szCs w:val="28"/>
          <w:lang w:eastAsia="uk-UA"/>
        </w:rPr>
        <w:t>,</w:t>
      </w:r>
      <w:r w:rsidRPr="00D71A64">
        <w:rPr>
          <w:rFonts w:ascii="Times New Roman" w:hAnsi="Times New Roman" w:cs="Times New Roman"/>
          <w:color w:val="000000" w:themeColor="text1"/>
          <w:sz w:val="28"/>
          <w:szCs w:val="28"/>
          <w:lang w:eastAsia="uk-UA"/>
        </w:rPr>
        <w:t xml:space="preserve"> </w:t>
      </w:r>
      <w:r w:rsidR="00D10754" w:rsidRPr="00D71A64">
        <w:rPr>
          <w:rFonts w:ascii="Times New Roman" w:hAnsi="Times New Roman" w:cs="Times New Roman"/>
          <w:color w:val="000000" w:themeColor="text1"/>
          <w:sz w:val="28"/>
          <w:szCs w:val="28"/>
          <w:lang w:eastAsia="uk-UA"/>
        </w:rPr>
        <w:t>із змінами</w:t>
      </w:r>
      <w:r w:rsidR="005B353E">
        <w:rPr>
          <w:rFonts w:ascii="Times New Roman" w:hAnsi="Times New Roman" w:cs="Times New Roman"/>
          <w:color w:val="000000" w:themeColor="text1"/>
          <w:sz w:val="28"/>
          <w:szCs w:val="28"/>
          <w:lang w:eastAsia="uk-UA"/>
        </w:rPr>
        <w:t>,</w:t>
      </w:r>
      <w:r w:rsidR="00D10754" w:rsidRPr="00D71A64">
        <w:rPr>
          <w:rFonts w:ascii="Times New Roman" w:hAnsi="Times New Roman" w:cs="Times New Roman"/>
          <w:color w:val="000000" w:themeColor="text1"/>
          <w:sz w:val="28"/>
          <w:szCs w:val="28"/>
          <w:lang w:eastAsia="uk-UA"/>
        </w:rPr>
        <w:t xml:space="preserve"> внесеними </w:t>
      </w:r>
      <w:r w:rsidR="00D10754" w:rsidRPr="00D71A64">
        <w:rPr>
          <w:rFonts w:ascii="Times New Roman" w:hAnsi="Times New Roman" w:cs="Times New Roman"/>
          <w:sz w:val="28"/>
          <w:szCs w:val="28"/>
        </w:rPr>
        <w:t xml:space="preserve">Директивою </w:t>
      </w:r>
      <w:r w:rsidR="00D10754" w:rsidRPr="00D71A64">
        <w:rPr>
          <w:rFonts w:ascii="Times New Roman" w:hAnsi="Times New Roman" w:cs="Times New Roman"/>
          <w:sz w:val="28"/>
          <w:szCs w:val="28"/>
          <w:lang w:eastAsia="uk-UA"/>
        </w:rPr>
        <w:t xml:space="preserve">Ради (ЄС) 2017/952 від 29 травня 2017 року </w:t>
      </w:r>
      <w:r w:rsidRPr="00D71A64">
        <w:rPr>
          <w:rFonts w:ascii="Times New Roman" w:hAnsi="Times New Roman" w:cs="Times New Roman"/>
          <w:color w:val="000000" w:themeColor="text1"/>
          <w:sz w:val="28"/>
          <w:szCs w:val="28"/>
          <w:lang w:eastAsia="uk-UA"/>
        </w:rPr>
        <w:t>(</w:t>
      </w:r>
      <w:proofErr w:type="spellStart"/>
      <w:r w:rsidRPr="00D71A64">
        <w:rPr>
          <w:rFonts w:ascii="Times New Roman" w:hAnsi="Times New Roman" w:cs="Times New Roman"/>
          <w:color w:val="000000" w:themeColor="text1"/>
          <w:sz w:val="28"/>
          <w:szCs w:val="28"/>
          <w:lang w:eastAsia="uk-UA"/>
        </w:rPr>
        <w:t>Anti-Tax</w:t>
      </w:r>
      <w:proofErr w:type="spellEnd"/>
      <w:r w:rsidRPr="00D71A64">
        <w:rPr>
          <w:rFonts w:ascii="Times New Roman" w:hAnsi="Times New Roman" w:cs="Times New Roman"/>
          <w:color w:val="000000" w:themeColor="text1"/>
          <w:sz w:val="28"/>
          <w:szCs w:val="28"/>
          <w:lang w:eastAsia="uk-UA"/>
        </w:rPr>
        <w:t xml:space="preserve"> </w:t>
      </w:r>
      <w:proofErr w:type="spellStart"/>
      <w:r w:rsidRPr="00D71A64">
        <w:rPr>
          <w:rFonts w:ascii="Times New Roman" w:hAnsi="Times New Roman" w:cs="Times New Roman"/>
          <w:color w:val="000000" w:themeColor="text1"/>
          <w:sz w:val="28"/>
          <w:szCs w:val="28"/>
          <w:lang w:eastAsia="uk-UA"/>
        </w:rPr>
        <w:t>Avoidance</w:t>
      </w:r>
      <w:proofErr w:type="spellEnd"/>
      <w:r w:rsidRPr="00D71A64">
        <w:rPr>
          <w:rFonts w:ascii="Times New Roman" w:hAnsi="Times New Roman" w:cs="Times New Roman"/>
          <w:color w:val="000000" w:themeColor="text1"/>
          <w:sz w:val="28"/>
          <w:szCs w:val="28"/>
          <w:lang w:eastAsia="uk-UA"/>
        </w:rPr>
        <w:t xml:space="preserve"> </w:t>
      </w:r>
      <w:proofErr w:type="spellStart"/>
      <w:r w:rsidRPr="00D71A64">
        <w:rPr>
          <w:rFonts w:ascii="Times New Roman" w:hAnsi="Times New Roman" w:cs="Times New Roman"/>
          <w:color w:val="000000" w:themeColor="text1"/>
          <w:sz w:val="28"/>
          <w:szCs w:val="28"/>
          <w:lang w:eastAsia="uk-UA"/>
        </w:rPr>
        <w:t>Directive</w:t>
      </w:r>
      <w:proofErr w:type="spellEnd"/>
      <w:r w:rsidRPr="00D71A64">
        <w:rPr>
          <w:rFonts w:ascii="Times New Roman" w:hAnsi="Times New Roman" w:cs="Times New Roman"/>
          <w:color w:val="000000" w:themeColor="text1"/>
          <w:sz w:val="28"/>
          <w:szCs w:val="28"/>
          <w:lang w:eastAsia="uk-UA"/>
        </w:rPr>
        <w:t xml:space="preserve"> </w:t>
      </w:r>
      <w:r w:rsidR="00D10754" w:rsidRPr="00D71A64">
        <w:rPr>
          <w:rFonts w:ascii="Times New Roman" w:hAnsi="Times New Roman" w:cs="Times New Roman"/>
          <w:color w:val="000000" w:themeColor="text1"/>
          <w:sz w:val="28"/>
          <w:szCs w:val="28"/>
          <w:lang w:eastAsia="uk-UA"/>
        </w:rPr>
        <w:t>–</w:t>
      </w:r>
      <w:r w:rsidRPr="00D71A64">
        <w:rPr>
          <w:rFonts w:ascii="Times New Roman" w:hAnsi="Times New Roman" w:cs="Times New Roman"/>
          <w:color w:val="000000" w:themeColor="text1"/>
          <w:sz w:val="28"/>
          <w:szCs w:val="28"/>
          <w:lang w:eastAsia="uk-UA"/>
        </w:rPr>
        <w:t>ATAD).</w:t>
      </w:r>
    </w:p>
    <w:p w:rsidR="00DA0B83" w:rsidRPr="00D71A64" w:rsidRDefault="00DA0B83" w:rsidP="00DA0B83">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 xml:space="preserve">Ключові положення </w:t>
      </w:r>
      <w:proofErr w:type="spellStart"/>
      <w:r w:rsidRPr="00D71A64">
        <w:rPr>
          <w:rFonts w:ascii="Times New Roman" w:eastAsia="Times New Roman" w:hAnsi="Times New Roman" w:cs="Times New Roman"/>
          <w:sz w:val="28"/>
          <w:szCs w:val="28"/>
          <w:lang w:eastAsia="uk-UA"/>
        </w:rPr>
        <w:t>законопроєкту</w:t>
      </w:r>
      <w:proofErr w:type="spellEnd"/>
      <w:r w:rsidRPr="00D71A64">
        <w:rPr>
          <w:rFonts w:ascii="Times New Roman" w:eastAsia="Times New Roman" w:hAnsi="Times New Roman" w:cs="Times New Roman"/>
          <w:sz w:val="28"/>
          <w:szCs w:val="28"/>
          <w:lang w:eastAsia="uk-UA"/>
        </w:rPr>
        <w:t>:</w:t>
      </w:r>
    </w:p>
    <w:p w:rsidR="00DA0B83" w:rsidRPr="00D71A64" w:rsidRDefault="00D10754" w:rsidP="00D71A64">
      <w:pPr>
        <w:numPr>
          <w:ilvl w:val="0"/>
          <w:numId w:val="4"/>
        </w:numPr>
        <w:shd w:val="clear" w:color="auto" w:fill="FFFFFF"/>
        <w:tabs>
          <w:tab w:val="left" w:pos="709"/>
          <w:tab w:val="left" w:pos="993"/>
        </w:tabs>
        <w:spacing w:after="0" w:line="240" w:lineRule="auto"/>
        <w:ind w:left="0" w:firstLine="567"/>
        <w:contextualSpacing/>
        <w:jc w:val="both"/>
        <w:rPr>
          <w:rFonts w:ascii="Times New Roman" w:hAnsi="Times New Roman" w:cs="Times New Roman"/>
          <w:sz w:val="28"/>
          <w:szCs w:val="28"/>
          <w:lang w:eastAsia="uk"/>
        </w:rPr>
      </w:pPr>
      <w:r w:rsidRPr="00D71A64">
        <w:rPr>
          <w:rFonts w:ascii="Times New Roman" w:eastAsia="Times New Roman" w:hAnsi="Times New Roman" w:cs="Times New Roman"/>
          <w:bCs/>
          <w:i/>
          <w:sz w:val="28"/>
          <w:szCs w:val="28"/>
          <w:lang w:eastAsia="ru-RU"/>
        </w:rPr>
        <w:t xml:space="preserve">правило </w:t>
      </w:r>
      <w:r w:rsidR="00DA0B83" w:rsidRPr="00D71A64">
        <w:rPr>
          <w:rFonts w:ascii="Times New Roman" w:eastAsia="Times New Roman" w:hAnsi="Times New Roman" w:cs="Times New Roman"/>
          <w:bCs/>
          <w:i/>
          <w:sz w:val="28"/>
          <w:szCs w:val="28"/>
          <w:lang w:eastAsia="ru-RU"/>
        </w:rPr>
        <w:t>обмеження вираховування відсотків</w:t>
      </w:r>
      <w:r w:rsidR="00DA0B83" w:rsidRPr="00D71A64">
        <w:rPr>
          <w:rFonts w:ascii="Times New Roman" w:hAnsi="Times New Roman" w:cs="Times New Roman"/>
          <w:sz w:val="28"/>
          <w:szCs w:val="28"/>
          <w:lang w:eastAsia="uk"/>
        </w:rPr>
        <w:t xml:space="preserve"> (</w:t>
      </w:r>
      <w:r w:rsidR="00DA0B83" w:rsidRPr="00D71A64">
        <w:rPr>
          <w:rFonts w:ascii="Times New Roman" w:hAnsi="Times New Roman" w:cs="Times New Roman"/>
          <w:i/>
          <w:sz w:val="28"/>
          <w:szCs w:val="28"/>
          <w:lang w:eastAsia="uk"/>
        </w:rPr>
        <w:t xml:space="preserve">стаття 4 </w:t>
      </w:r>
      <w:r w:rsidR="00DA0B83" w:rsidRPr="00D71A64">
        <w:rPr>
          <w:rFonts w:ascii="Times New Roman" w:eastAsia="Times New Roman" w:hAnsi="Times New Roman" w:cs="Times New Roman"/>
          <w:bCs/>
          <w:i/>
          <w:sz w:val="28"/>
          <w:szCs w:val="28"/>
          <w:lang w:eastAsia="ru-RU"/>
        </w:rPr>
        <w:t>ATAD</w:t>
      </w:r>
      <w:r w:rsidR="00DA0B83" w:rsidRPr="00D71A64">
        <w:rPr>
          <w:rFonts w:ascii="Times New Roman" w:eastAsia="Times New Roman" w:hAnsi="Times New Roman" w:cs="Times New Roman"/>
          <w:bCs/>
          <w:sz w:val="28"/>
          <w:szCs w:val="28"/>
          <w:lang w:eastAsia="ru-RU"/>
        </w:rPr>
        <w:t>)</w:t>
      </w:r>
      <w:r w:rsidR="00DA0B83" w:rsidRPr="00D71A64">
        <w:rPr>
          <w:rFonts w:ascii="Times New Roman" w:hAnsi="Times New Roman" w:cs="Times New Roman"/>
          <w:sz w:val="28"/>
          <w:szCs w:val="28"/>
          <w:lang w:eastAsia="uk"/>
        </w:rPr>
        <w:t>:</w:t>
      </w:r>
    </w:p>
    <w:p w:rsidR="00DA0B83" w:rsidRPr="00D71A64" w:rsidRDefault="00DA0B83" w:rsidP="00DA0B83">
      <w:pPr>
        <w:numPr>
          <w:ilvl w:val="0"/>
          <w:numId w:val="2"/>
        </w:numPr>
        <w:tabs>
          <w:tab w:val="num" w:pos="786"/>
          <w:tab w:val="left" w:pos="851"/>
        </w:tabs>
        <w:autoSpaceDE w:val="0"/>
        <w:autoSpaceDN w:val="0"/>
        <w:adjustRightInd w:val="0"/>
        <w:spacing w:after="0" w:line="240" w:lineRule="auto"/>
        <w:ind w:left="0" w:firstLine="567"/>
        <w:jc w:val="both"/>
        <w:rPr>
          <w:rFonts w:ascii="Times New Roman" w:hAnsi="Times New Roman" w:cs="Times New Roman"/>
          <w:sz w:val="28"/>
          <w:szCs w:val="28"/>
          <w:lang w:eastAsia="uk"/>
        </w:rPr>
      </w:pPr>
      <w:r w:rsidRPr="00D71A64">
        <w:rPr>
          <w:rFonts w:ascii="Times New Roman" w:hAnsi="Times New Roman" w:cs="Times New Roman"/>
          <w:sz w:val="28"/>
          <w:szCs w:val="28"/>
          <w:lang w:eastAsia="uk"/>
        </w:rPr>
        <w:t>запровадження</w:t>
      </w:r>
      <w:r w:rsidRPr="00D71A64">
        <w:rPr>
          <w:rFonts w:ascii="Times New Roman" w:hAnsi="Times New Roman" w:cs="Times New Roman"/>
          <w:sz w:val="28"/>
          <w:szCs w:val="28"/>
          <w:lang w:eastAsia="uk-UA"/>
        </w:rPr>
        <w:t xml:space="preserve"> нових термінів  (зокрема «</w:t>
      </w:r>
      <w:r w:rsidRPr="00D71A64">
        <w:rPr>
          <w:rFonts w:ascii="Times New Roman" w:hAnsi="Times New Roman" w:cs="Times New Roman"/>
          <w:sz w:val="28"/>
          <w:szCs w:val="28"/>
        </w:rPr>
        <w:t>боргові зобов’язання за запозиченнями», «витрати, пов’язані із залученням  фінансування альтернативними способами», «операції запозичення»);</w:t>
      </w:r>
    </w:p>
    <w:p w:rsidR="00DA0B83" w:rsidRPr="00D71A64" w:rsidRDefault="005B353E" w:rsidP="005B353E">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bookmarkStart w:id="0" w:name="_GoBack"/>
      <w:r>
        <w:rPr>
          <w:rFonts w:ascii="Times New Roman" w:eastAsia="Times New Roman" w:hAnsi="Times New Roman" w:cs="Times New Roman"/>
          <w:sz w:val="28"/>
          <w:szCs w:val="28"/>
          <w:lang w:eastAsia="uk-UA"/>
        </w:rPr>
        <w:t>становленн</w:t>
      </w:r>
      <w:bookmarkEnd w:id="0"/>
      <w:r>
        <w:rPr>
          <w:rFonts w:ascii="Times New Roman" w:eastAsia="Times New Roman" w:hAnsi="Times New Roman" w:cs="Times New Roman"/>
          <w:sz w:val="28"/>
          <w:szCs w:val="28"/>
          <w:lang w:eastAsia="uk-UA"/>
        </w:rPr>
        <w:t xml:space="preserve">я </w:t>
      </w:r>
      <w:r w:rsidR="00DA0B83" w:rsidRPr="00D71A64">
        <w:rPr>
          <w:rFonts w:ascii="Times New Roman" w:eastAsia="Times New Roman" w:hAnsi="Times New Roman" w:cs="Times New Roman"/>
          <w:sz w:val="28"/>
          <w:szCs w:val="28"/>
          <w:lang w:eastAsia="uk-UA"/>
        </w:rPr>
        <w:t>правила обмеження врахування надмірних витрат на запозичення у частині, що перевищує 30 % визначеного показника прибутковості;</w:t>
      </w:r>
    </w:p>
    <w:p w:rsidR="00DA0B83" w:rsidRPr="00D71A64" w:rsidRDefault="00DA0B83" w:rsidP="00DA0B83">
      <w:pPr>
        <w:numPr>
          <w:ilvl w:val="0"/>
          <w:numId w:val="2"/>
        </w:numPr>
        <w:spacing w:after="0" w:line="240" w:lineRule="auto"/>
        <w:ind w:left="0" w:firstLine="567"/>
        <w:contextualSpacing/>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можливість перенесення неврахованої частини надмірних витрат на майбутні податкові періоди.</w:t>
      </w:r>
    </w:p>
    <w:p w:rsidR="00DA0B83" w:rsidRPr="00D71A64" w:rsidRDefault="00D10754" w:rsidP="00DA0B83">
      <w:pPr>
        <w:numPr>
          <w:ilvl w:val="0"/>
          <w:numId w:val="4"/>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lang w:eastAsia="uk-UA"/>
        </w:rPr>
      </w:pPr>
      <w:r w:rsidRPr="00D71A64">
        <w:rPr>
          <w:rFonts w:ascii="Times New Roman" w:hAnsi="Times New Roman" w:cs="Times New Roman"/>
          <w:i/>
          <w:sz w:val="28"/>
          <w:szCs w:val="28"/>
          <w:lang w:eastAsia="uk"/>
        </w:rPr>
        <w:t>правило щодо о</w:t>
      </w:r>
      <w:r w:rsidR="00DA0B83" w:rsidRPr="00D71A64">
        <w:rPr>
          <w:rFonts w:ascii="Times New Roman" w:hAnsi="Times New Roman" w:cs="Times New Roman"/>
          <w:i/>
          <w:sz w:val="28"/>
          <w:szCs w:val="28"/>
        </w:rPr>
        <w:t>податкування приросту капіталу при виведенні активів</w:t>
      </w:r>
      <w:r w:rsidR="00DA0B83" w:rsidRPr="00D71A64">
        <w:rPr>
          <w:rFonts w:ascii="Times New Roman" w:hAnsi="Times New Roman" w:cs="Times New Roman"/>
          <w:sz w:val="28"/>
          <w:szCs w:val="28"/>
          <w:lang w:eastAsia="uk"/>
        </w:rPr>
        <w:t xml:space="preserve"> (</w:t>
      </w:r>
      <w:r w:rsidR="00095D97" w:rsidRPr="00D71A64">
        <w:rPr>
          <w:rFonts w:ascii="Times New Roman" w:hAnsi="Times New Roman" w:cs="Times New Roman"/>
          <w:i/>
          <w:sz w:val="28"/>
          <w:szCs w:val="28"/>
          <w:lang w:eastAsia="uk"/>
        </w:rPr>
        <w:t>с</w:t>
      </w:r>
      <w:r w:rsidR="00DA0B83" w:rsidRPr="00D71A64">
        <w:rPr>
          <w:rFonts w:ascii="Times New Roman" w:hAnsi="Times New Roman" w:cs="Times New Roman"/>
          <w:i/>
          <w:sz w:val="28"/>
          <w:szCs w:val="28"/>
          <w:lang w:eastAsia="uk"/>
        </w:rPr>
        <w:t xml:space="preserve">таття 5 </w:t>
      </w:r>
      <w:r w:rsidR="00DA0B83" w:rsidRPr="00D71A64">
        <w:rPr>
          <w:rFonts w:ascii="Times New Roman" w:hAnsi="Times New Roman" w:cs="Times New Roman"/>
          <w:sz w:val="28"/>
          <w:szCs w:val="28"/>
          <w:lang w:eastAsia="uk"/>
        </w:rPr>
        <w:t>ATAD):</w:t>
      </w:r>
    </w:p>
    <w:p w:rsidR="00DA0B83" w:rsidRPr="00D71A64" w:rsidRDefault="00DA0B83" w:rsidP="00DA0B83">
      <w:pPr>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eastAsia="uk-UA"/>
        </w:rPr>
      </w:pPr>
      <w:r w:rsidRPr="00D71A64">
        <w:rPr>
          <w:rFonts w:ascii="Times New Roman" w:hAnsi="Times New Roman" w:cs="Times New Roman"/>
          <w:sz w:val="28"/>
          <w:szCs w:val="28"/>
          <w:lang w:eastAsia="uk"/>
        </w:rPr>
        <w:t xml:space="preserve"> </w:t>
      </w:r>
      <w:r w:rsidRPr="00D71A64">
        <w:rPr>
          <w:rFonts w:ascii="Times New Roman" w:hAnsi="Times New Roman" w:cs="Times New Roman"/>
          <w:sz w:val="28"/>
          <w:szCs w:val="28"/>
          <w:lang w:eastAsia="uk-UA"/>
        </w:rPr>
        <w:t>доповнення термінології (зокрема: «зміна податкової резиденції»</w:t>
      </w:r>
      <w:r w:rsidRPr="00D71A64">
        <w:rPr>
          <w:rFonts w:ascii="Times New Roman" w:hAnsi="Times New Roman" w:cs="Times New Roman"/>
          <w:bCs/>
          <w:sz w:val="28"/>
          <w:szCs w:val="28"/>
        </w:rPr>
        <w:t xml:space="preserve">, </w:t>
      </w:r>
      <w:r w:rsidRPr="00D71A64">
        <w:rPr>
          <w:rFonts w:ascii="Times New Roman" w:hAnsi="Times New Roman" w:cs="Times New Roman"/>
          <w:sz w:val="28"/>
          <w:szCs w:val="28"/>
          <w:lang w:eastAsia="uk-UA"/>
        </w:rPr>
        <w:t>«постійне представництво резидента за кордоном», «майно постійного представництва нерезидента в Україні», «трансфер майна або діяльності за межі податкової юрисдикції України», «</w:t>
      </w:r>
      <w:r w:rsidRPr="00D71A64">
        <w:rPr>
          <w:rFonts w:ascii="Times New Roman" w:hAnsi="Times New Roman" w:cs="Times New Roman"/>
          <w:bCs/>
          <w:sz w:val="28"/>
          <w:szCs w:val="28"/>
        </w:rPr>
        <w:t xml:space="preserve">трансфер майна або діяльності до податкової </w:t>
      </w:r>
      <w:r w:rsidRPr="00D71A64">
        <w:rPr>
          <w:rFonts w:ascii="Times New Roman" w:hAnsi="Times New Roman" w:cs="Times New Roman"/>
          <w:bCs/>
          <w:sz w:val="28"/>
          <w:szCs w:val="28"/>
        </w:rPr>
        <w:lastRenderedPageBreak/>
        <w:t xml:space="preserve">юрисдикції України»  та </w:t>
      </w:r>
      <w:r w:rsidRPr="00D71A64">
        <w:rPr>
          <w:rFonts w:ascii="Times New Roman" w:hAnsi="Times New Roman" w:cs="Times New Roman"/>
          <w:sz w:val="28"/>
          <w:szCs w:val="28"/>
          <w:lang w:eastAsia="uk-UA"/>
        </w:rPr>
        <w:t xml:space="preserve">уточнення визначення </w:t>
      </w:r>
      <w:proofErr w:type="spellStart"/>
      <w:r w:rsidRPr="00D71A64">
        <w:rPr>
          <w:rFonts w:ascii="Times New Roman" w:hAnsi="Times New Roman" w:cs="Times New Roman"/>
          <w:sz w:val="28"/>
          <w:szCs w:val="28"/>
          <w:lang w:eastAsia="uk-UA"/>
        </w:rPr>
        <w:t>терміна</w:t>
      </w:r>
      <w:proofErr w:type="spellEnd"/>
      <w:r w:rsidRPr="00D71A64">
        <w:rPr>
          <w:rFonts w:ascii="Times New Roman" w:hAnsi="Times New Roman" w:cs="Times New Roman"/>
          <w:sz w:val="28"/>
          <w:szCs w:val="28"/>
          <w:lang w:eastAsia="uk-UA"/>
        </w:rPr>
        <w:t xml:space="preserve"> «резидент» для фізичних  і юридичних осіб);</w:t>
      </w:r>
    </w:p>
    <w:p w:rsidR="00DA0B83" w:rsidRPr="00D71A64" w:rsidRDefault="00DA0B83" w:rsidP="00DA0B83">
      <w:pPr>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eastAsia="uk-UA"/>
        </w:rPr>
      </w:pPr>
      <w:r w:rsidRPr="00D71A64">
        <w:rPr>
          <w:rFonts w:ascii="Times New Roman" w:hAnsi="Times New Roman" w:cs="Times New Roman"/>
          <w:sz w:val="28"/>
          <w:szCs w:val="28"/>
          <w:lang w:eastAsia="uk-UA"/>
        </w:rPr>
        <w:t xml:space="preserve">визначення умов (випадків), внаслідок яких застосовується </w:t>
      </w:r>
      <w:r w:rsidRPr="00D71A64">
        <w:rPr>
          <w:rFonts w:ascii="Times New Roman" w:hAnsi="Times New Roman" w:cs="Times New Roman"/>
          <w:sz w:val="28"/>
          <w:szCs w:val="28"/>
          <w:lang w:eastAsia="uk"/>
        </w:rPr>
        <w:t>о</w:t>
      </w:r>
      <w:r w:rsidRPr="00D71A64">
        <w:rPr>
          <w:rFonts w:ascii="Times New Roman" w:hAnsi="Times New Roman" w:cs="Times New Roman"/>
          <w:sz w:val="28"/>
          <w:szCs w:val="28"/>
        </w:rPr>
        <w:t>податкування приросту капіталу при трансфері активів або зміні податкової резиденції</w:t>
      </w:r>
      <w:r w:rsidR="00D10754" w:rsidRPr="00D71A64">
        <w:rPr>
          <w:rFonts w:ascii="Times New Roman" w:hAnsi="Times New Roman" w:cs="Times New Roman"/>
          <w:sz w:val="28"/>
          <w:szCs w:val="28"/>
        </w:rPr>
        <w:t xml:space="preserve"> юридичних осіб;</w:t>
      </w:r>
    </w:p>
    <w:p w:rsidR="00DA0B83" w:rsidRPr="00D71A64" w:rsidRDefault="00DA0B83" w:rsidP="00DA0B83">
      <w:pPr>
        <w:numPr>
          <w:ilvl w:val="0"/>
          <w:numId w:val="7"/>
        </w:numPr>
        <w:tabs>
          <w:tab w:val="left" w:pos="851"/>
        </w:tabs>
        <w:spacing w:after="0" w:line="240" w:lineRule="auto"/>
        <w:ind w:left="0" w:firstLine="567"/>
        <w:contextualSpacing/>
        <w:jc w:val="both"/>
        <w:rPr>
          <w:rFonts w:ascii="Times New Roman" w:hAnsi="Times New Roman" w:cs="Times New Roman"/>
          <w:sz w:val="28"/>
          <w:szCs w:val="28"/>
          <w:lang w:eastAsia="uk-UA"/>
        </w:rPr>
      </w:pPr>
      <w:r w:rsidRPr="00D71A64">
        <w:rPr>
          <w:rFonts w:ascii="Times New Roman" w:hAnsi="Times New Roman" w:cs="Times New Roman"/>
          <w:sz w:val="28"/>
          <w:szCs w:val="28"/>
        </w:rPr>
        <w:t>встановлення механізму коригування фінансового результату</w:t>
      </w:r>
      <w:r w:rsidR="00D10754" w:rsidRPr="00D71A64">
        <w:rPr>
          <w:rFonts w:ascii="Times New Roman" w:hAnsi="Times New Roman" w:cs="Times New Roman"/>
          <w:sz w:val="28"/>
          <w:szCs w:val="28"/>
        </w:rPr>
        <w:t>;</w:t>
      </w:r>
      <w:r w:rsidRPr="00D71A64">
        <w:rPr>
          <w:rFonts w:ascii="Times New Roman" w:eastAsia="Times New Roman" w:hAnsi="Times New Roman" w:cs="Times New Roman"/>
          <w:bCs/>
          <w:sz w:val="28"/>
          <w:szCs w:val="28"/>
          <w:lang w:eastAsia="ru-RU"/>
        </w:rPr>
        <w:t xml:space="preserve"> </w:t>
      </w:r>
    </w:p>
    <w:p w:rsidR="00DA0B83" w:rsidRPr="00D71A64" w:rsidRDefault="00DA0B83" w:rsidP="00DA0B83">
      <w:pPr>
        <w:numPr>
          <w:ilvl w:val="0"/>
          <w:numId w:val="7"/>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D71A64">
        <w:rPr>
          <w:rFonts w:ascii="Times New Roman" w:hAnsi="Times New Roman" w:cs="Times New Roman"/>
          <w:sz w:val="28"/>
          <w:szCs w:val="28"/>
        </w:rPr>
        <w:t>оновлення підходу до оподаткування компаній з місцем ефективного управління в Україні.</w:t>
      </w:r>
    </w:p>
    <w:p w:rsidR="00DA0B83" w:rsidRPr="00D71A64" w:rsidRDefault="00D10754" w:rsidP="00DA0B83">
      <w:pPr>
        <w:numPr>
          <w:ilvl w:val="0"/>
          <w:numId w:val="4"/>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lang w:eastAsia="uk-UA"/>
        </w:rPr>
      </w:pPr>
      <w:r w:rsidRPr="00D71A64">
        <w:rPr>
          <w:rFonts w:ascii="Times New Roman" w:hAnsi="Times New Roman" w:cs="Times New Roman"/>
          <w:i/>
          <w:sz w:val="28"/>
          <w:szCs w:val="28"/>
          <w:lang w:eastAsia="uk-UA"/>
        </w:rPr>
        <w:t>з</w:t>
      </w:r>
      <w:r w:rsidR="00DA0B83" w:rsidRPr="00D71A64">
        <w:rPr>
          <w:rFonts w:ascii="Times New Roman" w:hAnsi="Times New Roman" w:cs="Times New Roman"/>
          <w:i/>
          <w:sz w:val="28"/>
          <w:szCs w:val="28"/>
          <w:lang w:eastAsia="uk-UA"/>
        </w:rPr>
        <w:t>агальне правило протидії ухиленню від сплати податків</w:t>
      </w:r>
      <w:r w:rsidR="00DA0B83" w:rsidRPr="00D71A64">
        <w:rPr>
          <w:rFonts w:ascii="Times New Roman" w:hAnsi="Times New Roman" w:cs="Times New Roman"/>
          <w:sz w:val="28"/>
          <w:szCs w:val="28"/>
          <w:lang w:eastAsia="uk"/>
        </w:rPr>
        <w:t xml:space="preserve"> (</w:t>
      </w:r>
      <w:r w:rsidR="00095D97" w:rsidRPr="00D71A64">
        <w:rPr>
          <w:rFonts w:ascii="Times New Roman" w:hAnsi="Times New Roman" w:cs="Times New Roman"/>
          <w:i/>
          <w:sz w:val="28"/>
          <w:szCs w:val="28"/>
          <w:lang w:eastAsia="uk"/>
        </w:rPr>
        <w:t>с</w:t>
      </w:r>
      <w:r w:rsidR="00DA0B83" w:rsidRPr="00D71A64">
        <w:rPr>
          <w:rFonts w:ascii="Times New Roman" w:hAnsi="Times New Roman" w:cs="Times New Roman"/>
          <w:i/>
          <w:sz w:val="28"/>
          <w:szCs w:val="28"/>
          <w:lang w:eastAsia="uk"/>
        </w:rPr>
        <w:t>таття 6</w:t>
      </w:r>
      <w:r w:rsidR="00DA0B83" w:rsidRPr="00D71A64">
        <w:rPr>
          <w:rFonts w:ascii="Times New Roman" w:hAnsi="Times New Roman" w:cs="Times New Roman"/>
          <w:sz w:val="28"/>
          <w:szCs w:val="28"/>
          <w:lang w:eastAsia="uk"/>
        </w:rPr>
        <w:t xml:space="preserve"> ATAD):</w:t>
      </w:r>
    </w:p>
    <w:p w:rsidR="00DA0B83" w:rsidRPr="00D71A64" w:rsidRDefault="00DA0B83" w:rsidP="00DA0B83">
      <w:pPr>
        <w:numPr>
          <w:ilvl w:val="0"/>
          <w:numId w:val="6"/>
        </w:numPr>
        <w:spacing w:after="0" w:line="240" w:lineRule="auto"/>
        <w:ind w:left="0" w:firstLine="567"/>
        <w:contextualSpacing/>
        <w:jc w:val="both"/>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 xml:space="preserve">запровадження визначення «податкове зловживання» та пов’язаних </w:t>
      </w:r>
      <w:r w:rsidR="00D10754" w:rsidRPr="00D71A64">
        <w:rPr>
          <w:rFonts w:ascii="Times New Roman" w:eastAsia="Times New Roman" w:hAnsi="Times New Roman" w:cs="Times New Roman"/>
          <w:sz w:val="28"/>
          <w:szCs w:val="28"/>
          <w:lang w:eastAsia="uk-UA"/>
        </w:rPr>
        <w:t xml:space="preserve">з ним </w:t>
      </w:r>
      <w:r w:rsidRPr="00D71A64">
        <w:rPr>
          <w:rFonts w:ascii="Times New Roman" w:eastAsia="Times New Roman" w:hAnsi="Times New Roman" w:cs="Times New Roman"/>
          <w:sz w:val="28"/>
          <w:szCs w:val="28"/>
          <w:lang w:eastAsia="uk-UA"/>
        </w:rPr>
        <w:t>понять;</w:t>
      </w:r>
    </w:p>
    <w:p w:rsidR="00DA0B83" w:rsidRPr="00D71A64" w:rsidRDefault="00DA0B83" w:rsidP="00DA0B83">
      <w:pPr>
        <w:numPr>
          <w:ilvl w:val="0"/>
          <w:numId w:val="6"/>
        </w:numPr>
        <w:spacing w:after="0" w:line="240" w:lineRule="auto"/>
        <w:ind w:left="0" w:firstLine="567"/>
        <w:contextualSpacing/>
        <w:jc w:val="both"/>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уточнення поняття «розумна економічна причина»</w:t>
      </w:r>
      <w:r w:rsidR="00D10754" w:rsidRPr="00D71A64">
        <w:rPr>
          <w:rFonts w:ascii="Times New Roman" w:eastAsia="Times New Roman" w:hAnsi="Times New Roman" w:cs="Times New Roman"/>
          <w:sz w:val="28"/>
          <w:szCs w:val="28"/>
          <w:lang w:eastAsia="uk-UA"/>
        </w:rPr>
        <w:t xml:space="preserve"> </w:t>
      </w:r>
      <w:r w:rsidR="00D10754" w:rsidRPr="00D71A64">
        <w:rPr>
          <w:rFonts w:ascii="Times New Roman" w:hAnsi="Times New Roman" w:cs="Times New Roman"/>
          <w:sz w:val="28"/>
          <w:szCs w:val="28"/>
        </w:rPr>
        <w:t>з урахуванням вимог ATAD;</w:t>
      </w:r>
    </w:p>
    <w:p w:rsidR="00DA0B83" w:rsidRPr="00D71A64" w:rsidRDefault="00DA0B83" w:rsidP="00DA0B83">
      <w:pPr>
        <w:numPr>
          <w:ilvl w:val="0"/>
          <w:numId w:val="6"/>
        </w:numPr>
        <w:spacing w:after="0" w:line="240" w:lineRule="auto"/>
        <w:ind w:left="0" w:firstLine="567"/>
        <w:contextualSpacing/>
        <w:jc w:val="both"/>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 xml:space="preserve">визначення особливостей коригування фінансового результату за операціями, що мають ознаки штучності </w:t>
      </w:r>
      <w:r w:rsidR="00D71A64" w:rsidRPr="00D71A64">
        <w:rPr>
          <w:rFonts w:ascii="Times New Roman" w:eastAsia="Times New Roman" w:hAnsi="Times New Roman" w:cs="Times New Roman"/>
          <w:sz w:val="28"/>
          <w:szCs w:val="28"/>
          <w:lang w:eastAsia="uk-UA"/>
        </w:rPr>
        <w:t>або не відповідають критеріям розумної економічної причини.</w:t>
      </w:r>
    </w:p>
    <w:p w:rsidR="00DA0B83" w:rsidRPr="00D71A64" w:rsidRDefault="00DA0B83" w:rsidP="00DA0B83">
      <w:pPr>
        <w:numPr>
          <w:ilvl w:val="0"/>
          <w:numId w:val="4"/>
        </w:numPr>
        <w:tabs>
          <w:tab w:val="left" w:pos="851"/>
        </w:tabs>
        <w:autoSpaceDE w:val="0"/>
        <w:autoSpaceDN w:val="0"/>
        <w:adjustRightInd w:val="0"/>
        <w:spacing w:after="0" w:line="240" w:lineRule="auto"/>
        <w:ind w:left="0" w:firstLine="567"/>
        <w:contextualSpacing/>
        <w:jc w:val="both"/>
        <w:rPr>
          <w:rFonts w:ascii="Times New Roman" w:hAnsi="Times New Roman" w:cs="Times New Roman"/>
          <w:bCs/>
          <w:sz w:val="28"/>
          <w:szCs w:val="28"/>
        </w:rPr>
      </w:pPr>
      <w:r w:rsidRPr="00D71A64">
        <w:rPr>
          <w:rFonts w:ascii="Times New Roman" w:hAnsi="Times New Roman" w:cs="Times New Roman"/>
          <w:bCs/>
          <w:i/>
          <w:sz w:val="28"/>
          <w:szCs w:val="28"/>
        </w:rPr>
        <w:t>Усунення наслідків гібридних розбіжностей (</w:t>
      </w:r>
      <w:r w:rsidR="00095D97" w:rsidRPr="00D71A64">
        <w:rPr>
          <w:rFonts w:ascii="Times New Roman" w:hAnsi="Times New Roman" w:cs="Times New Roman"/>
          <w:bCs/>
          <w:i/>
          <w:sz w:val="28"/>
          <w:szCs w:val="28"/>
        </w:rPr>
        <w:t>с</w:t>
      </w:r>
      <w:r w:rsidRPr="00D71A64">
        <w:rPr>
          <w:rFonts w:ascii="Times New Roman" w:hAnsi="Times New Roman" w:cs="Times New Roman"/>
          <w:bCs/>
          <w:i/>
          <w:sz w:val="28"/>
          <w:szCs w:val="28"/>
        </w:rPr>
        <w:t>татт</w:t>
      </w:r>
      <w:r w:rsidR="00095D97" w:rsidRPr="00D71A64">
        <w:rPr>
          <w:rFonts w:ascii="Times New Roman" w:hAnsi="Times New Roman" w:cs="Times New Roman"/>
          <w:bCs/>
          <w:i/>
          <w:sz w:val="28"/>
          <w:szCs w:val="28"/>
        </w:rPr>
        <w:t>і</w:t>
      </w:r>
      <w:r w:rsidRPr="00D71A64">
        <w:rPr>
          <w:rFonts w:ascii="Times New Roman" w:hAnsi="Times New Roman" w:cs="Times New Roman"/>
          <w:bCs/>
          <w:i/>
          <w:sz w:val="28"/>
          <w:szCs w:val="28"/>
        </w:rPr>
        <w:t xml:space="preserve"> 9, 9а</w:t>
      </w:r>
      <w:r w:rsidR="00D71A64" w:rsidRPr="00D71A64">
        <w:rPr>
          <w:rFonts w:ascii="Times New Roman" w:hAnsi="Times New Roman" w:cs="Times New Roman"/>
          <w:bCs/>
          <w:i/>
          <w:sz w:val="28"/>
          <w:szCs w:val="28"/>
        </w:rPr>
        <w:t>,</w:t>
      </w:r>
      <w:r w:rsidRPr="00D71A64">
        <w:rPr>
          <w:rFonts w:ascii="Times New Roman" w:hAnsi="Times New Roman" w:cs="Times New Roman"/>
          <w:bCs/>
          <w:i/>
          <w:sz w:val="28"/>
          <w:szCs w:val="28"/>
        </w:rPr>
        <w:t xml:space="preserve"> 9b </w:t>
      </w:r>
      <w:r w:rsidRPr="00D71A64">
        <w:rPr>
          <w:rFonts w:ascii="Times New Roman" w:hAnsi="Times New Roman" w:cs="Times New Roman"/>
          <w:bCs/>
          <w:sz w:val="28"/>
          <w:szCs w:val="28"/>
        </w:rPr>
        <w:t>ATAD):</w:t>
      </w:r>
    </w:p>
    <w:p w:rsidR="00DA0B83" w:rsidRPr="00D71A64" w:rsidRDefault="00DA0B83" w:rsidP="00DA0B83">
      <w:pPr>
        <w:numPr>
          <w:ilvl w:val="0"/>
          <w:numId w:val="5"/>
        </w:numPr>
        <w:spacing w:after="0" w:line="240" w:lineRule="auto"/>
        <w:ind w:left="0" w:firstLine="567"/>
        <w:contextualSpacing/>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запровадження нової статті 39⁴ «Гібридні розбіжності»;</w:t>
      </w:r>
    </w:p>
    <w:p w:rsidR="00DA0B83" w:rsidRPr="00D71A64" w:rsidRDefault="00DA0B83" w:rsidP="00DA0B83">
      <w:pPr>
        <w:numPr>
          <w:ilvl w:val="0"/>
          <w:numId w:val="5"/>
        </w:numPr>
        <w:spacing w:after="0" w:line="240" w:lineRule="auto"/>
        <w:ind w:left="0" w:firstLine="567"/>
        <w:contextualSpacing/>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визначення ключових понять (</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гібридний суб’єкт</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 xml:space="preserve">, </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подвійне врахування витрат</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 xml:space="preserve">, </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невизнання доходу</w:t>
      </w:r>
      <w:r w:rsidR="00D71A64" w:rsidRPr="00D71A64">
        <w:rPr>
          <w:rFonts w:ascii="Times New Roman" w:eastAsia="Times New Roman" w:hAnsi="Times New Roman" w:cs="Times New Roman"/>
          <w:sz w:val="28"/>
          <w:szCs w:val="28"/>
          <w:lang w:eastAsia="uk-UA"/>
        </w:rPr>
        <w:t>»</w:t>
      </w:r>
      <w:r w:rsidRPr="00D71A64">
        <w:rPr>
          <w:rFonts w:ascii="Times New Roman" w:eastAsia="Times New Roman" w:hAnsi="Times New Roman" w:cs="Times New Roman"/>
          <w:sz w:val="28"/>
          <w:szCs w:val="28"/>
          <w:lang w:eastAsia="uk-UA"/>
        </w:rPr>
        <w:t xml:space="preserve"> тощо);</w:t>
      </w:r>
    </w:p>
    <w:p w:rsidR="00DA0B83" w:rsidRPr="00D71A64" w:rsidRDefault="00DA0B83" w:rsidP="00DA0B83">
      <w:pPr>
        <w:numPr>
          <w:ilvl w:val="0"/>
          <w:numId w:val="5"/>
        </w:numPr>
        <w:spacing w:after="0" w:line="240" w:lineRule="auto"/>
        <w:ind w:left="0" w:firstLine="567"/>
        <w:contextualSpacing/>
        <w:rPr>
          <w:rFonts w:ascii="Times New Roman" w:eastAsia="Times New Roman" w:hAnsi="Times New Roman" w:cs="Times New Roman"/>
          <w:sz w:val="28"/>
          <w:szCs w:val="28"/>
          <w:lang w:eastAsia="uk-UA"/>
        </w:rPr>
      </w:pPr>
      <w:r w:rsidRPr="00D71A64">
        <w:rPr>
          <w:rFonts w:ascii="Times New Roman" w:eastAsia="Times New Roman" w:hAnsi="Times New Roman" w:cs="Times New Roman"/>
          <w:sz w:val="28"/>
          <w:szCs w:val="28"/>
          <w:lang w:eastAsia="uk-UA"/>
        </w:rPr>
        <w:t xml:space="preserve">встановлення механізмів нейтралізації подвійного врахування витрат або невизнання доходів, а також врегулювання випадків подвійного податкового </w:t>
      </w:r>
      <w:proofErr w:type="spellStart"/>
      <w:r w:rsidRPr="00D71A64">
        <w:rPr>
          <w:rFonts w:ascii="Times New Roman" w:eastAsia="Times New Roman" w:hAnsi="Times New Roman" w:cs="Times New Roman"/>
          <w:sz w:val="28"/>
          <w:szCs w:val="28"/>
          <w:lang w:eastAsia="uk-UA"/>
        </w:rPr>
        <w:t>резиденства</w:t>
      </w:r>
      <w:proofErr w:type="spellEnd"/>
      <w:r w:rsidRPr="00D71A64">
        <w:rPr>
          <w:rFonts w:ascii="Times New Roman" w:eastAsia="Times New Roman" w:hAnsi="Times New Roman" w:cs="Times New Roman"/>
          <w:sz w:val="28"/>
          <w:szCs w:val="28"/>
          <w:lang w:eastAsia="uk-UA"/>
        </w:rPr>
        <w:t>.</w:t>
      </w:r>
    </w:p>
    <w:p w:rsidR="00D71A64" w:rsidRPr="00D71A64" w:rsidRDefault="00D71A64" w:rsidP="00DA0B83">
      <w:pPr>
        <w:shd w:val="clear" w:color="auto" w:fill="FFFFFF"/>
        <w:spacing w:after="0" w:line="240" w:lineRule="auto"/>
        <w:ind w:firstLine="567"/>
        <w:jc w:val="both"/>
        <w:rPr>
          <w:rFonts w:ascii="Times New Roman" w:hAnsi="Times New Roman" w:cs="Times New Roman"/>
          <w:sz w:val="28"/>
          <w:szCs w:val="28"/>
        </w:rPr>
      </w:pPr>
    </w:p>
    <w:p w:rsidR="003C5039" w:rsidRPr="00D71A64" w:rsidRDefault="003C5039" w:rsidP="00DA0B83">
      <w:pPr>
        <w:shd w:val="clear" w:color="auto" w:fill="FFFFFF"/>
        <w:spacing w:after="0" w:line="240" w:lineRule="auto"/>
        <w:ind w:firstLine="567"/>
        <w:jc w:val="both"/>
        <w:rPr>
          <w:rFonts w:ascii="Times New Roman" w:hAnsi="Times New Roman" w:cs="Times New Roman"/>
          <w:sz w:val="28"/>
          <w:szCs w:val="28"/>
        </w:rPr>
      </w:pPr>
      <w:proofErr w:type="spellStart"/>
      <w:r w:rsidRPr="00D71A64">
        <w:rPr>
          <w:rFonts w:ascii="Times New Roman" w:hAnsi="Times New Roman" w:cs="Times New Roman"/>
          <w:sz w:val="28"/>
          <w:szCs w:val="28"/>
        </w:rPr>
        <w:t>Проєкт</w:t>
      </w:r>
      <w:proofErr w:type="spellEnd"/>
      <w:r w:rsidRPr="00D71A64">
        <w:rPr>
          <w:rFonts w:ascii="Times New Roman" w:hAnsi="Times New Roman" w:cs="Times New Roman"/>
          <w:sz w:val="28"/>
          <w:szCs w:val="28"/>
        </w:rPr>
        <w:t xml:space="preserve"> оприлюднено на офіційній сторінці Міністерства фінансів України в мережі Інтернет </w:t>
      </w:r>
      <w:r w:rsidR="001A558A" w:rsidRPr="00D71A64">
        <w:rPr>
          <w:rFonts w:ascii="TimesNewRomanPSMT" w:hAnsi="TimesNewRomanPSMT" w:cs="TimesNewRomanPSMT"/>
          <w:color w:val="000000"/>
          <w:sz w:val="28"/>
          <w:szCs w:val="28"/>
        </w:rPr>
        <w:t>(</w:t>
      </w:r>
      <w:r w:rsidR="001A558A" w:rsidRPr="00D71A64">
        <w:rPr>
          <w:rFonts w:ascii="TimesNewRomanPSMT" w:hAnsi="TimesNewRomanPSMT" w:cs="TimesNewRomanPSMT"/>
          <w:color w:val="0000FF"/>
          <w:sz w:val="28"/>
          <w:szCs w:val="28"/>
        </w:rPr>
        <w:t>https://mof.gov.ua/</w:t>
      </w:r>
      <w:r w:rsidR="001A558A" w:rsidRPr="00D71A64">
        <w:rPr>
          <w:rFonts w:ascii="TimesNewRomanPSMT" w:hAnsi="TimesNewRomanPSMT" w:cs="TimesNewRomanPSMT"/>
          <w:color w:val="000000"/>
          <w:sz w:val="28"/>
          <w:szCs w:val="28"/>
        </w:rPr>
        <w:t>)</w:t>
      </w:r>
      <w:r w:rsidRPr="00D71A64">
        <w:rPr>
          <w:rFonts w:ascii="Times New Roman" w:hAnsi="Times New Roman" w:cs="Times New Roman"/>
          <w:sz w:val="28"/>
          <w:szCs w:val="28"/>
        </w:rPr>
        <w:t xml:space="preserve"> у рубриці «Законодавство/Проекти нормативно-правових актів/Проекти нормативно-правових актів у 2026 році».</w:t>
      </w:r>
    </w:p>
    <w:p w:rsidR="0042353A" w:rsidRPr="00D71A64" w:rsidRDefault="008A1201" w:rsidP="00DA0B83">
      <w:pPr>
        <w:shd w:val="clear" w:color="auto" w:fill="FFFFFF"/>
        <w:spacing w:after="0" w:line="240" w:lineRule="auto"/>
        <w:ind w:firstLine="567"/>
        <w:jc w:val="both"/>
        <w:rPr>
          <w:rFonts w:ascii="Times New Roman" w:hAnsi="Times New Roman" w:cs="Times New Roman"/>
          <w:sz w:val="28"/>
          <w:szCs w:val="28"/>
        </w:rPr>
      </w:pPr>
      <w:r w:rsidRPr="00D71A64">
        <w:rPr>
          <w:rFonts w:ascii="Times New Roman" w:hAnsi="Times New Roman" w:cs="Times New Roman"/>
          <w:sz w:val="28"/>
          <w:szCs w:val="28"/>
        </w:rPr>
        <w:t xml:space="preserve">Зауваження та пропозиції до </w:t>
      </w:r>
      <w:proofErr w:type="spellStart"/>
      <w:r w:rsidR="00A45B1F" w:rsidRPr="00D71A64">
        <w:rPr>
          <w:rFonts w:ascii="Times New Roman" w:hAnsi="Times New Roman" w:cs="Times New Roman"/>
          <w:sz w:val="28"/>
          <w:szCs w:val="28"/>
        </w:rPr>
        <w:t>законопроєкту</w:t>
      </w:r>
      <w:proofErr w:type="spellEnd"/>
      <w:r w:rsidR="00A45B1F" w:rsidRPr="00D71A64">
        <w:rPr>
          <w:rFonts w:ascii="Times New Roman" w:hAnsi="Times New Roman" w:cs="Times New Roman"/>
          <w:sz w:val="28"/>
          <w:szCs w:val="28"/>
        </w:rPr>
        <w:t xml:space="preserve"> </w:t>
      </w:r>
      <w:r w:rsidR="001A558A" w:rsidRPr="00D71A64">
        <w:rPr>
          <w:rFonts w:ascii="Times New Roman" w:hAnsi="Times New Roman" w:cs="Times New Roman"/>
          <w:sz w:val="28"/>
          <w:szCs w:val="28"/>
        </w:rPr>
        <w:t xml:space="preserve">просимо </w:t>
      </w:r>
      <w:r w:rsidRPr="00D71A64">
        <w:rPr>
          <w:rFonts w:ascii="Times New Roman" w:hAnsi="Times New Roman" w:cs="Times New Roman"/>
          <w:sz w:val="28"/>
          <w:szCs w:val="28"/>
        </w:rPr>
        <w:t xml:space="preserve">надавати </w:t>
      </w:r>
      <w:r w:rsidR="001A558A" w:rsidRPr="00D71A64">
        <w:rPr>
          <w:rFonts w:ascii="Times New Roman" w:hAnsi="Times New Roman" w:cs="Times New Roman"/>
          <w:sz w:val="28"/>
          <w:szCs w:val="28"/>
        </w:rPr>
        <w:t xml:space="preserve">у письмовій та/або електронній формі </w:t>
      </w:r>
      <w:r w:rsidRPr="00D71A64">
        <w:rPr>
          <w:rFonts w:ascii="Times New Roman" w:hAnsi="Times New Roman" w:cs="Times New Roman"/>
          <w:sz w:val="28"/>
          <w:szCs w:val="28"/>
        </w:rPr>
        <w:t xml:space="preserve">за </w:t>
      </w:r>
      <w:proofErr w:type="spellStart"/>
      <w:r w:rsidRPr="00D71A64">
        <w:rPr>
          <w:rFonts w:ascii="Times New Roman" w:hAnsi="Times New Roman" w:cs="Times New Roman"/>
          <w:sz w:val="28"/>
          <w:szCs w:val="28"/>
        </w:rPr>
        <w:t>адресою</w:t>
      </w:r>
      <w:proofErr w:type="spellEnd"/>
      <w:r w:rsidRPr="00D71A64">
        <w:rPr>
          <w:rFonts w:ascii="Times New Roman" w:hAnsi="Times New Roman" w:cs="Times New Roman"/>
          <w:sz w:val="28"/>
          <w:szCs w:val="28"/>
        </w:rPr>
        <w:t>: 04071, м. Київ, вул. Межигірська, 11,</w:t>
      </w:r>
    </w:p>
    <w:p w:rsidR="008A1201" w:rsidRPr="00D71A64" w:rsidRDefault="008A1201" w:rsidP="0042353A">
      <w:pPr>
        <w:shd w:val="clear" w:color="auto" w:fill="FFFFFF"/>
        <w:spacing w:after="0" w:line="240" w:lineRule="auto"/>
        <w:ind w:firstLine="567"/>
        <w:jc w:val="both"/>
        <w:rPr>
          <w:rFonts w:ascii="Times New Roman" w:hAnsi="Times New Roman" w:cs="Times New Roman"/>
          <w:sz w:val="28"/>
          <w:szCs w:val="28"/>
        </w:rPr>
      </w:pPr>
      <w:r w:rsidRPr="00D71A64">
        <w:rPr>
          <w:rFonts w:ascii="Times New Roman" w:hAnsi="Times New Roman" w:cs="Times New Roman"/>
          <w:sz w:val="28"/>
          <w:szCs w:val="28"/>
        </w:rPr>
        <w:t xml:space="preserve"> e-</w:t>
      </w:r>
      <w:proofErr w:type="spellStart"/>
      <w:r w:rsidRPr="00D71A64">
        <w:rPr>
          <w:rFonts w:ascii="Times New Roman" w:hAnsi="Times New Roman" w:cs="Times New Roman"/>
          <w:sz w:val="28"/>
          <w:szCs w:val="28"/>
        </w:rPr>
        <w:t>mail</w:t>
      </w:r>
      <w:proofErr w:type="spellEnd"/>
      <w:r w:rsidRPr="00D71A64">
        <w:rPr>
          <w:rFonts w:ascii="Times New Roman" w:hAnsi="Times New Roman" w:cs="Times New Roman"/>
          <w:sz w:val="28"/>
          <w:szCs w:val="28"/>
        </w:rPr>
        <w:t>:</w:t>
      </w:r>
      <w:r w:rsidR="0042353A" w:rsidRPr="00D71A64">
        <w:rPr>
          <w:rFonts w:ascii="Times New Roman" w:hAnsi="Times New Roman" w:cs="Times New Roman"/>
          <w:sz w:val="28"/>
          <w:szCs w:val="28"/>
        </w:rPr>
        <w:t xml:space="preserve"> </w:t>
      </w:r>
      <w:hyperlink r:id="rId7" w:history="1">
        <w:r w:rsidR="00542D25" w:rsidRPr="00D71A64">
          <w:rPr>
            <w:rFonts w:ascii="Times New Roman" w:hAnsi="Times New Roman" w:cs="Times New Roman"/>
            <w:sz w:val="28"/>
            <w:szCs w:val="28"/>
          </w:rPr>
          <w:t>nhorieva@minfin.gov.ua</w:t>
        </w:r>
      </w:hyperlink>
      <w:r w:rsidR="000E57F4" w:rsidRPr="00D71A64">
        <w:rPr>
          <w:rFonts w:ascii="Times New Roman" w:hAnsi="Times New Roman" w:cs="Times New Roman"/>
          <w:sz w:val="28"/>
          <w:szCs w:val="28"/>
        </w:rPr>
        <w:t>,</w:t>
      </w:r>
      <w:r w:rsidR="00F1175A" w:rsidRPr="00D71A64">
        <w:rPr>
          <w:rFonts w:ascii="Times New Roman" w:hAnsi="Times New Roman" w:cs="Times New Roman"/>
          <w:sz w:val="28"/>
          <w:szCs w:val="28"/>
        </w:rPr>
        <w:t xml:space="preserve"> </w:t>
      </w:r>
      <w:hyperlink r:id="rId8" w:history="1">
        <w:r w:rsidR="000E57F4" w:rsidRPr="00D71A64">
          <w:rPr>
            <w:rFonts w:ascii="Times New Roman" w:hAnsi="Times New Roman" w:cs="Times New Roman"/>
            <w:sz w:val="28"/>
            <w:szCs w:val="28"/>
          </w:rPr>
          <w:t>homut@minfin.gov.ua</w:t>
        </w:r>
      </w:hyperlink>
      <w:r w:rsidR="000E57F4" w:rsidRPr="00D71A64">
        <w:rPr>
          <w:rFonts w:ascii="Times New Roman" w:hAnsi="Times New Roman" w:cs="Times New Roman"/>
          <w:sz w:val="28"/>
          <w:szCs w:val="28"/>
        </w:rPr>
        <w:t xml:space="preserve">, </w:t>
      </w:r>
      <w:hyperlink r:id="rId9" w:history="1">
        <w:r w:rsidR="0042353A" w:rsidRPr="00D71A64">
          <w:rPr>
            <w:rFonts w:ascii="Times New Roman" w:hAnsi="Times New Roman" w:cs="Times New Roman"/>
            <w:sz w:val="28"/>
            <w:szCs w:val="28"/>
          </w:rPr>
          <w:t>tbondarenko@minfin.gov.ua</w:t>
        </w:r>
      </w:hyperlink>
      <w:r w:rsidR="000E57F4" w:rsidRPr="00D71A64">
        <w:rPr>
          <w:rFonts w:ascii="Times New Roman" w:hAnsi="Times New Roman" w:cs="Times New Roman"/>
          <w:sz w:val="28"/>
          <w:szCs w:val="28"/>
        </w:rPr>
        <w:t xml:space="preserve">, </w:t>
      </w:r>
      <w:hyperlink r:id="rId10" w:history="1">
        <w:r w:rsidR="000E57F4" w:rsidRPr="00D71A64">
          <w:rPr>
            <w:rFonts w:ascii="Times New Roman" w:hAnsi="Times New Roman" w:cs="Times New Roman"/>
            <w:sz w:val="28"/>
            <w:szCs w:val="28"/>
          </w:rPr>
          <w:t>markevich@minfin.gov.ua</w:t>
        </w:r>
      </w:hyperlink>
      <w:r w:rsidR="000E57F4" w:rsidRPr="00D71A64">
        <w:rPr>
          <w:rFonts w:ascii="Times New Roman" w:hAnsi="Times New Roman" w:cs="Times New Roman"/>
          <w:sz w:val="28"/>
          <w:szCs w:val="28"/>
        </w:rPr>
        <w:t xml:space="preserve">, </w:t>
      </w:r>
      <w:hyperlink r:id="rId11" w:history="1">
        <w:r w:rsidR="000E57F4" w:rsidRPr="00D71A64">
          <w:rPr>
            <w:rFonts w:ascii="Times New Roman" w:hAnsi="Times New Roman" w:cs="Times New Roman"/>
            <w:sz w:val="28"/>
            <w:szCs w:val="28"/>
          </w:rPr>
          <w:t>schubka@minfin.gov.ua</w:t>
        </w:r>
      </w:hyperlink>
      <w:r w:rsidR="000E57F4" w:rsidRPr="00D71A64">
        <w:rPr>
          <w:rFonts w:ascii="Times New Roman" w:hAnsi="Times New Roman" w:cs="Times New Roman"/>
          <w:sz w:val="28"/>
          <w:szCs w:val="28"/>
        </w:rPr>
        <w:t>.</w:t>
      </w:r>
    </w:p>
    <w:p w:rsidR="008A1201" w:rsidRPr="00D71A64" w:rsidRDefault="008A1201" w:rsidP="008A1201">
      <w:pPr>
        <w:pStyle w:val="a3"/>
        <w:widowControl w:val="0"/>
        <w:spacing w:after="0"/>
        <w:ind w:left="0" w:firstLine="709"/>
        <w:jc w:val="center"/>
        <w:rPr>
          <w:sz w:val="28"/>
          <w:szCs w:val="28"/>
        </w:rPr>
      </w:pPr>
      <w:r w:rsidRPr="00D71A64">
        <w:rPr>
          <w:sz w:val="28"/>
          <w:szCs w:val="28"/>
        </w:rPr>
        <w:t>___________________________</w:t>
      </w:r>
    </w:p>
    <w:p w:rsidR="008A1201" w:rsidRPr="00D71A64" w:rsidRDefault="008A1201" w:rsidP="008A1201"/>
    <w:p w:rsidR="008A1201" w:rsidRPr="00D71A64" w:rsidRDefault="008A1201"/>
    <w:sectPr w:rsidR="008A1201" w:rsidRPr="00D71A64" w:rsidSect="007301B6">
      <w:headerReference w:type="even" r:id="rId12"/>
      <w:headerReference w:type="default" r:id="rId13"/>
      <w:footerReference w:type="even" r:id="rId14"/>
      <w:footerReference w:type="default" r:id="rId15"/>
      <w:headerReference w:type="first" r:id="rId16"/>
      <w:footerReference w:type="first" r:id="rId17"/>
      <w:pgSz w:w="11906" w:h="16838"/>
      <w:pgMar w:top="850" w:right="850"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1B6" w:rsidRDefault="007301B6" w:rsidP="007301B6">
      <w:pPr>
        <w:spacing w:after="0" w:line="240" w:lineRule="auto"/>
      </w:pPr>
      <w:r>
        <w:separator/>
      </w:r>
    </w:p>
  </w:endnote>
  <w:endnote w:type="continuationSeparator" w:id="0">
    <w:p w:rsidR="007301B6" w:rsidRDefault="007301B6" w:rsidP="0073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B6" w:rsidRDefault="007301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B6" w:rsidRDefault="007301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B6" w:rsidRDefault="007301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1B6" w:rsidRDefault="007301B6" w:rsidP="007301B6">
      <w:pPr>
        <w:spacing w:after="0" w:line="240" w:lineRule="auto"/>
      </w:pPr>
      <w:r>
        <w:separator/>
      </w:r>
    </w:p>
  </w:footnote>
  <w:footnote w:type="continuationSeparator" w:id="0">
    <w:p w:rsidR="007301B6" w:rsidRDefault="007301B6" w:rsidP="0073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B6" w:rsidRDefault="007301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29874"/>
      <w:docPartObj>
        <w:docPartGallery w:val="Page Numbers (Top of Page)"/>
        <w:docPartUnique/>
      </w:docPartObj>
    </w:sdtPr>
    <w:sdtEndPr/>
    <w:sdtContent>
      <w:p w:rsidR="007301B6" w:rsidRDefault="007301B6">
        <w:pPr>
          <w:pStyle w:val="a9"/>
          <w:jc w:val="center"/>
        </w:pPr>
        <w:r>
          <w:fldChar w:fldCharType="begin"/>
        </w:r>
        <w:r>
          <w:instrText>PAGE   \* MERGEFORMAT</w:instrText>
        </w:r>
        <w:r>
          <w:fldChar w:fldCharType="separate"/>
        </w:r>
        <w:r>
          <w:t>2</w:t>
        </w:r>
        <w:r>
          <w:fldChar w:fldCharType="end"/>
        </w:r>
      </w:p>
    </w:sdtContent>
  </w:sdt>
  <w:p w:rsidR="007301B6" w:rsidRDefault="007301B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B6" w:rsidRDefault="007301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4486"/>
    <w:multiLevelType w:val="hybridMultilevel"/>
    <w:tmpl w:val="3A1A6B42"/>
    <w:lvl w:ilvl="0" w:tplc="8122550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A183EC6"/>
    <w:multiLevelType w:val="hybridMultilevel"/>
    <w:tmpl w:val="FD182420"/>
    <w:lvl w:ilvl="0" w:tplc="8122550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55532FB"/>
    <w:multiLevelType w:val="hybridMultilevel"/>
    <w:tmpl w:val="F32EDC98"/>
    <w:lvl w:ilvl="0" w:tplc="1690E7C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468445B"/>
    <w:multiLevelType w:val="multilevel"/>
    <w:tmpl w:val="0F3817C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A516A"/>
    <w:multiLevelType w:val="hybridMultilevel"/>
    <w:tmpl w:val="EFB6BE44"/>
    <w:lvl w:ilvl="0" w:tplc="559A910C">
      <w:start w:val="1"/>
      <w:numFmt w:val="decimal"/>
      <w:lvlText w:val="%1)"/>
      <w:lvlJc w:val="left"/>
      <w:pPr>
        <w:ind w:left="720" w:hanging="360"/>
      </w:pPr>
      <w:rPr>
        <w:rFonts w:eastAsia="Times New Roman"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49C66AB"/>
    <w:multiLevelType w:val="hybridMultilevel"/>
    <w:tmpl w:val="FFD89490"/>
    <w:lvl w:ilvl="0" w:tplc="959E35A8">
      <w:start w:val="1"/>
      <w:numFmt w:val="bullet"/>
      <w:lvlText w:val="-"/>
      <w:lvlJc w:val="left"/>
      <w:pPr>
        <w:ind w:left="319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757718F3"/>
    <w:multiLevelType w:val="hybridMultilevel"/>
    <w:tmpl w:val="9D426E12"/>
    <w:lvl w:ilvl="0" w:tplc="8122550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01"/>
    <w:rsid w:val="00095D97"/>
    <w:rsid w:val="000E57F4"/>
    <w:rsid w:val="00147309"/>
    <w:rsid w:val="00171DEA"/>
    <w:rsid w:val="00181E3F"/>
    <w:rsid w:val="001A11CD"/>
    <w:rsid w:val="001A558A"/>
    <w:rsid w:val="001C45F8"/>
    <w:rsid w:val="002352B0"/>
    <w:rsid w:val="002717D3"/>
    <w:rsid w:val="00285546"/>
    <w:rsid w:val="00292A32"/>
    <w:rsid w:val="003C5039"/>
    <w:rsid w:val="0042353A"/>
    <w:rsid w:val="00542D25"/>
    <w:rsid w:val="005B353E"/>
    <w:rsid w:val="005D17AA"/>
    <w:rsid w:val="00647055"/>
    <w:rsid w:val="00696A2A"/>
    <w:rsid w:val="006B1749"/>
    <w:rsid w:val="007301B6"/>
    <w:rsid w:val="00882702"/>
    <w:rsid w:val="008A1201"/>
    <w:rsid w:val="009B6FF9"/>
    <w:rsid w:val="009D5415"/>
    <w:rsid w:val="00A45B1F"/>
    <w:rsid w:val="00C12159"/>
    <w:rsid w:val="00CB1023"/>
    <w:rsid w:val="00D10754"/>
    <w:rsid w:val="00D35475"/>
    <w:rsid w:val="00D71A64"/>
    <w:rsid w:val="00DA0B83"/>
    <w:rsid w:val="00EE1CA9"/>
    <w:rsid w:val="00F1175A"/>
    <w:rsid w:val="00FE3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043F"/>
  <w15:chartTrackingRefBased/>
  <w15:docId w15:val="{92AC00FB-E121-429C-83A2-91C25EAA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2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A120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ий текст з відступом Знак"/>
    <w:basedOn w:val="a0"/>
    <w:link w:val="a3"/>
    <w:uiPriority w:val="99"/>
    <w:rsid w:val="008A1201"/>
    <w:rPr>
      <w:rFonts w:ascii="Times New Roman" w:eastAsia="Times New Roman" w:hAnsi="Times New Roman" w:cs="Times New Roman"/>
      <w:sz w:val="24"/>
      <w:szCs w:val="24"/>
      <w:lang w:eastAsia="ru-RU"/>
    </w:rPr>
  </w:style>
  <w:style w:type="character" w:styleId="a5">
    <w:name w:val="Hyperlink"/>
    <w:basedOn w:val="a0"/>
    <w:uiPriority w:val="99"/>
    <w:unhideWhenUsed/>
    <w:rsid w:val="008A1201"/>
    <w:rPr>
      <w:color w:val="0000FF"/>
      <w:u w:val="single"/>
    </w:rPr>
  </w:style>
  <w:style w:type="paragraph" w:styleId="a6">
    <w:name w:val="Normal (Web)"/>
    <w:aliases w:val="Обычный (Web)"/>
    <w:basedOn w:val="a"/>
    <w:uiPriority w:val="99"/>
    <w:qFormat/>
    <w:rsid w:val="002855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6B1749"/>
    <w:pPr>
      <w:ind w:left="720"/>
      <w:contextualSpacing/>
    </w:pPr>
  </w:style>
  <w:style w:type="character" w:styleId="a8">
    <w:name w:val="Unresolved Mention"/>
    <w:basedOn w:val="a0"/>
    <w:uiPriority w:val="99"/>
    <w:semiHidden/>
    <w:unhideWhenUsed/>
    <w:rsid w:val="000E57F4"/>
    <w:rPr>
      <w:color w:val="605E5C"/>
      <w:shd w:val="clear" w:color="auto" w:fill="E1DFDD"/>
    </w:rPr>
  </w:style>
  <w:style w:type="paragraph" w:styleId="a9">
    <w:name w:val="header"/>
    <w:basedOn w:val="a"/>
    <w:link w:val="aa"/>
    <w:uiPriority w:val="99"/>
    <w:unhideWhenUsed/>
    <w:rsid w:val="007301B6"/>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7301B6"/>
  </w:style>
  <w:style w:type="paragraph" w:styleId="ab">
    <w:name w:val="footer"/>
    <w:basedOn w:val="a"/>
    <w:link w:val="ac"/>
    <w:uiPriority w:val="99"/>
    <w:unhideWhenUsed/>
    <w:rsid w:val="007301B6"/>
    <w:pPr>
      <w:tabs>
        <w:tab w:val="center" w:pos="4819"/>
        <w:tab w:val="right" w:pos="9639"/>
      </w:tabs>
      <w:spacing w:after="0" w:line="240" w:lineRule="auto"/>
    </w:pPr>
  </w:style>
  <w:style w:type="character" w:customStyle="1" w:styleId="ac">
    <w:name w:val="Нижній колонтитул Знак"/>
    <w:basedOn w:val="a0"/>
    <w:link w:val="ab"/>
    <w:uiPriority w:val="99"/>
    <w:rsid w:val="0073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ut@minfin.gov.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orieva@minfin.gov.u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ubka@minfin.gov.u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kevich@minfin.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bondarenko@minfin.gov.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2774</Words>
  <Characters>1582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ГОРЄВА Надія Миколаївна</cp:lastModifiedBy>
  <cp:revision>40</cp:revision>
  <dcterms:created xsi:type="dcterms:W3CDTF">2026-02-18T08:56:00Z</dcterms:created>
  <dcterms:modified xsi:type="dcterms:W3CDTF">2026-02-24T13:20:00Z</dcterms:modified>
</cp:coreProperties>
</file>