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BB" w:rsidRPr="001D58BB" w:rsidRDefault="001D58BB" w:rsidP="001D58BB">
      <w:pPr>
        <w:jc w:val="center"/>
        <w:rPr>
          <w:b/>
          <w:bCs/>
          <w:sz w:val="28"/>
          <w:szCs w:val="28"/>
          <w:lang w:val="uk-UA" w:eastAsia="ru-RU"/>
        </w:rPr>
      </w:pPr>
      <w:r w:rsidRPr="001D58BB">
        <w:rPr>
          <w:b/>
          <w:bCs/>
          <w:sz w:val="28"/>
          <w:szCs w:val="28"/>
          <w:lang w:val="uk-UA" w:eastAsia="ru-RU"/>
        </w:rPr>
        <w:t>ПОРІВНЯЛЬНА ТАБЛИЦЯ</w:t>
      </w:r>
    </w:p>
    <w:p w:rsidR="001D58BB" w:rsidRPr="001D58BB" w:rsidRDefault="001D58BB" w:rsidP="001D58BB">
      <w:pPr>
        <w:keepNext/>
        <w:jc w:val="center"/>
        <w:outlineLvl w:val="1"/>
        <w:rPr>
          <w:b/>
          <w:sz w:val="28"/>
          <w:szCs w:val="28"/>
          <w:lang w:val="uk-UA" w:eastAsia="ru-RU"/>
        </w:rPr>
      </w:pPr>
      <w:r w:rsidRPr="001D58BB">
        <w:rPr>
          <w:b/>
          <w:sz w:val="28"/>
          <w:szCs w:val="28"/>
          <w:lang w:val="uk-UA" w:eastAsia="ru-RU"/>
        </w:rPr>
        <w:t xml:space="preserve">до </w:t>
      </w:r>
      <w:proofErr w:type="spellStart"/>
      <w:r w:rsidRPr="001D58BB">
        <w:rPr>
          <w:b/>
          <w:sz w:val="28"/>
          <w:szCs w:val="28"/>
          <w:lang w:val="uk-UA" w:eastAsia="ru-RU"/>
        </w:rPr>
        <w:t>проєкту</w:t>
      </w:r>
      <w:proofErr w:type="spellEnd"/>
      <w:r w:rsidRPr="001D58BB">
        <w:rPr>
          <w:b/>
          <w:sz w:val="28"/>
          <w:szCs w:val="28"/>
          <w:lang w:val="uk-UA" w:eastAsia="ru-RU"/>
        </w:rPr>
        <w:t xml:space="preserve"> постанови Кабінету Міністрів України</w:t>
      </w:r>
    </w:p>
    <w:p w:rsidR="001D58BB" w:rsidRDefault="001D58BB" w:rsidP="001D58BB">
      <w:pPr>
        <w:keepNext/>
        <w:jc w:val="center"/>
        <w:outlineLvl w:val="1"/>
        <w:rPr>
          <w:b/>
          <w:sz w:val="28"/>
          <w:szCs w:val="28"/>
          <w:lang w:val="uk-UA" w:eastAsia="ru-RU"/>
        </w:rPr>
      </w:pPr>
      <w:r w:rsidRPr="001D58BB">
        <w:rPr>
          <w:b/>
          <w:sz w:val="28"/>
          <w:szCs w:val="28"/>
          <w:lang w:val="uk-UA" w:eastAsia="ru-RU"/>
        </w:rPr>
        <w:t>«</w:t>
      </w:r>
      <w:r w:rsidRPr="001D58BB">
        <w:rPr>
          <w:b/>
          <w:bCs/>
          <w:iCs/>
          <w:sz w:val="28"/>
          <w:szCs w:val="28"/>
          <w:lang w:val="uk-UA" w:eastAsia="ru-RU"/>
        </w:rPr>
        <w:t>Про внесення змін до Положення про Державну податкову службу України</w:t>
      </w:r>
      <w:r w:rsidRPr="001D58BB">
        <w:rPr>
          <w:b/>
          <w:sz w:val="28"/>
          <w:szCs w:val="28"/>
          <w:lang w:val="uk-UA" w:eastAsia="ru-RU"/>
        </w:rPr>
        <w:t>»</w:t>
      </w:r>
    </w:p>
    <w:p w:rsidR="001D58BB" w:rsidRPr="001D58BB" w:rsidRDefault="001D58BB" w:rsidP="001D58BB">
      <w:pPr>
        <w:keepNext/>
        <w:jc w:val="center"/>
        <w:outlineLvl w:val="1"/>
        <w:rPr>
          <w:b/>
          <w:sz w:val="28"/>
          <w:szCs w:val="28"/>
          <w:lang w:val="uk-UA" w:eastAsia="ru-RU"/>
        </w:rPr>
      </w:pPr>
    </w:p>
    <w:tbl>
      <w:tblPr>
        <w:tblStyle w:val="a3"/>
        <w:tblW w:w="13892" w:type="dxa"/>
        <w:tblInd w:w="-34" w:type="dxa"/>
        <w:tblLook w:val="04A0" w:firstRow="1" w:lastRow="0" w:firstColumn="1" w:lastColumn="0" w:noHBand="0" w:noVBand="1"/>
      </w:tblPr>
      <w:tblGrid>
        <w:gridCol w:w="6669"/>
        <w:gridCol w:w="7223"/>
      </w:tblGrid>
      <w:tr w:rsidR="001D58BB" w:rsidRPr="00304FE4" w:rsidTr="00866FBB">
        <w:trPr>
          <w:tblHeader/>
        </w:trPr>
        <w:tc>
          <w:tcPr>
            <w:tcW w:w="6669" w:type="dxa"/>
          </w:tcPr>
          <w:p w:rsidR="001D58BB" w:rsidRPr="00866FBB" w:rsidRDefault="001D58BB" w:rsidP="00293DCE">
            <w:pPr>
              <w:ind w:firstLine="31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66FBB">
              <w:rPr>
                <w:b/>
                <w:bCs/>
                <w:sz w:val="28"/>
                <w:szCs w:val="28"/>
                <w:lang w:val="uk-UA"/>
              </w:rPr>
              <w:t xml:space="preserve">Зміст положення </w:t>
            </w:r>
            <w:proofErr w:type="spellStart"/>
            <w:r w:rsidRPr="00866FBB">
              <w:rPr>
                <w:b/>
                <w:bCs/>
                <w:sz w:val="28"/>
                <w:szCs w:val="28"/>
                <w:lang w:val="uk-UA"/>
              </w:rPr>
              <w:t>акта</w:t>
            </w:r>
            <w:proofErr w:type="spellEnd"/>
            <w:r w:rsidRPr="00866FBB">
              <w:rPr>
                <w:b/>
                <w:bCs/>
                <w:sz w:val="28"/>
                <w:szCs w:val="28"/>
                <w:lang w:val="uk-UA"/>
              </w:rPr>
              <w:t xml:space="preserve"> законодавства</w:t>
            </w:r>
          </w:p>
        </w:tc>
        <w:tc>
          <w:tcPr>
            <w:tcW w:w="7223" w:type="dxa"/>
          </w:tcPr>
          <w:p w:rsidR="001D58BB" w:rsidRPr="00866FBB" w:rsidRDefault="001D58BB" w:rsidP="00293DCE">
            <w:pPr>
              <w:ind w:firstLine="31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66FBB">
              <w:rPr>
                <w:b/>
                <w:bCs/>
                <w:sz w:val="28"/>
                <w:szCs w:val="28"/>
                <w:lang w:val="uk-UA"/>
              </w:rPr>
              <w:t xml:space="preserve">Зміст відповідного положення </w:t>
            </w:r>
            <w:proofErr w:type="spellStart"/>
            <w:r w:rsidRPr="00866FBB">
              <w:rPr>
                <w:b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866FB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66FBB">
              <w:rPr>
                <w:b/>
                <w:bCs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1D58BB" w:rsidRPr="00304FE4" w:rsidTr="00866FBB">
        <w:tc>
          <w:tcPr>
            <w:tcW w:w="6669" w:type="dxa"/>
          </w:tcPr>
          <w:p w:rsidR="001D58BB" w:rsidRPr="00866FBB" w:rsidRDefault="001D58BB" w:rsidP="00293DCE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bookmarkStart w:id="0" w:name="n16"/>
            <w:bookmarkStart w:id="1" w:name="n26"/>
            <w:bookmarkEnd w:id="0"/>
            <w:bookmarkEnd w:id="1"/>
            <w:r w:rsidRPr="00866FBB">
              <w:rPr>
                <w:sz w:val="28"/>
                <w:szCs w:val="28"/>
                <w:lang w:val="uk" w:eastAsia="uk"/>
              </w:rPr>
              <w:t>4. ДПС відповідно до покладених на неї завдань:</w:t>
            </w:r>
          </w:p>
        </w:tc>
        <w:tc>
          <w:tcPr>
            <w:tcW w:w="7223" w:type="dxa"/>
          </w:tcPr>
          <w:p w:rsidR="001D58BB" w:rsidRPr="00866FBB" w:rsidRDefault="00866FBB" w:rsidP="00293DCE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>4. ДПС відповідно до покладених на неї завдань:</w:t>
            </w:r>
          </w:p>
        </w:tc>
      </w:tr>
      <w:tr w:rsidR="00866FBB" w:rsidRPr="00304FE4" w:rsidTr="00866FBB">
        <w:tc>
          <w:tcPr>
            <w:tcW w:w="6669" w:type="dxa"/>
          </w:tcPr>
          <w:p w:rsidR="00866FBB" w:rsidRPr="00866FBB" w:rsidRDefault="00866FBB" w:rsidP="00293DCE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>...</w:t>
            </w:r>
          </w:p>
        </w:tc>
        <w:tc>
          <w:tcPr>
            <w:tcW w:w="7223" w:type="dxa"/>
          </w:tcPr>
          <w:p w:rsidR="00866FBB" w:rsidRPr="00866FBB" w:rsidRDefault="00866FBB" w:rsidP="00293DCE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>...</w:t>
            </w:r>
          </w:p>
        </w:tc>
      </w:tr>
      <w:tr w:rsidR="001D58BB" w:rsidRPr="00304FE4" w:rsidTr="00866FBB">
        <w:tc>
          <w:tcPr>
            <w:tcW w:w="6669" w:type="dxa"/>
          </w:tcPr>
          <w:p w:rsidR="001D58BB" w:rsidRPr="00866FBB" w:rsidRDefault="001D58BB" w:rsidP="00293DCE">
            <w:pPr>
              <w:pStyle w:val="rvps2"/>
              <w:ind w:firstLine="597"/>
              <w:rPr>
                <w:b/>
                <w:strike/>
                <w:sz w:val="28"/>
                <w:szCs w:val="28"/>
                <w:lang w:val="uk" w:eastAsia="uk"/>
              </w:rPr>
            </w:pPr>
            <w:bookmarkStart w:id="2" w:name="n27"/>
            <w:bookmarkStart w:id="3" w:name="n110"/>
            <w:bookmarkEnd w:id="2"/>
            <w:bookmarkEnd w:id="3"/>
            <w:r w:rsidRPr="00866FBB">
              <w:rPr>
                <w:b/>
                <w:strike/>
                <w:sz w:val="28"/>
                <w:szCs w:val="28"/>
                <w:lang w:val="uk" w:eastAsia="uk"/>
              </w:rPr>
              <w:t>84) здійснює внутрішній аудит, спрямований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управління;</w:t>
            </w:r>
          </w:p>
        </w:tc>
        <w:tc>
          <w:tcPr>
            <w:tcW w:w="7223" w:type="dxa"/>
          </w:tcPr>
          <w:p w:rsidR="001D58BB" w:rsidRPr="00866FBB" w:rsidRDefault="003B2EC6" w:rsidP="00293DCE">
            <w:pPr>
              <w:pStyle w:val="rvps2"/>
              <w:ind w:firstLine="597"/>
              <w:rPr>
                <w:b/>
                <w:sz w:val="28"/>
                <w:szCs w:val="28"/>
                <w:lang w:val="uk" w:eastAsia="uk"/>
              </w:rPr>
            </w:pPr>
            <w:r>
              <w:rPr>
                <w:b/>
                <w:sz w:val="28"/>
                <w:szCs w:val="28"/>
                <w:lang w:val="uk-UA" w:eastAsia="uk"/>
              </w:rPr>
              <w:t>виклю</w:t>
            </w:r>
            <w:r w:rsidR="00786D1E">
              <w:rPr>
                <w:b/>
                <w:sz w:val="28"/>
                <w:szCs w:val="28"/>
                <w:lang w:val="uk-UA" w:eastAsia="uk"/>
              </w:rPr>
              <w:t>чено</w:t>
            </w:r>
          </w:p>
        </w:tc>
      </w:tr>
      <w:tr w:rsidR="00535519" w:rsidRPr="00304FE4" w:rsidTr="00866FBB">
        <w:tc>
          <w:tcPr>
            <w:tcW w:w="6669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bookmarkStart w:id="4" w:name="n381"/>
            <w:bookmarkStart w:id="5" w:name="n112"/>
            <w:bookmarkEnd w:id="4"/>
            <w:bookmarkEnd w:id="5"/>
            <w:r w:rsidRPr="00866FBB">
              <w:rPr>
                <w:sz w:val="28"/>
                <w:szCs w:val="28"/>
                <w:lang w:val="uk" w:eastAsia="uk"/>
              </w:rPr>
              <w:t>5. ДПС з метою організації своєї діяльності:</w:t>
            </w:r>
          </w:p>
        </w:tc>
        <w:tc>
          <w:tcPr>
            <w:tcW w:w="7223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>5. ДПС з метою організації своєї діяльності:</w:t>
            </w:r>
          </w:p>
        </w:tc>
      </w:tr>
      <w:tr w:rsidR="00535519" w:rsidRPr="00304FE4" w:rsidTr="00866FBB">
        <w:tc>
          <w:tcPr>
            <w:tcW w:w="6669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>
              <w:rPr>
                <w:sz w:val="28"/>
                <w:szCs w:val="28"/>
                <w:lang w:val="uk" w:eastAsia="uk"/>
              </w:rPr>
              <w:t>...</w:t>
            </w:r>
          </w:p>
        </w:tc>
        <w:tc>
          <w:tcPr>
            <w:tcW w:w="7223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>
              <w:rPr>
                <w:sz w:val="28"/>
                <w:szCs w:val="28"/>
                <w:lang w:val="uk" w:eastAsia="uk"/>
              </w:rPr>
              <w:t>...</w:t>
            </w:r>
          </w:p>
        </w:tc>
      </w:tr>
      <w:tr w:rsidR="00535519" w:rsidRPr="00304FE4" w:rsidTr="00866FBB">
        <w:tc>
          <w:tcPr>
            <w:tcW w:w="6669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bookmarkStart w:id="6" w:name="n113"/>
            <w:bookmarkStart w:id="7" w:name="n390"/>
            <w:bookmarkEnd w:id="6"/>
            <w:bookmarkEnd w:id="7"/>
            <w:r w:rsidRPr="00866FBB">
              <w:rPr>
                <w:sz w:val="28"/>
                <w:szCs w:val="28"/>
                <w:lang w:val="uk" w:eastAsia="uk"/>
              </w:rPr>
              <w:t xml:space="preserve">15) забезпечує </w:t>
            </w:r>
            <w:proofErr w:type="spellStart"/>
            <w:r w:rsidRPr="00866FBB">
              <w:rPr>
                <w:sz w:val="28"/>
                <w:szCs w:val="28"/>
                <w:lang w:val="uk" w:eastAsia="uk"/>
              </w:rPr>
              <w:t>самопредставництво</w:t>
            </w:r>
            <w:proofErr w:type="spellEnd"/>
            <w:r w:rsidRPr="00866FBB">
              <w:rPr>
                <w:sz w:val="28"/>
                <w:szCs w:val="28"/>
                <w:lang w:val="uk" w:eastAsia="uk"/>
              </w:rPr>
              <w:t xml:space="preserve"> ДПС та її територіальних органів у судах через Голову ДПС, а також без окремого доручення Голови ДПС через його заступників та державних службовців самостійних структурних підрозділів апарату ДПС та її територіальних органів відповідно до положень про такі підрозділи, які забезпечують </w:t>
            </w:r>
            <w:proofErr w:type="spellStart"/>
            <w:r w:rsidRPr="00866FBB">
              <w:rPr>
                <w:sz w:val="28"/>
                <w:szCs w:val="28"/>
                <w:lang w:val="uk" w:eastAsia="uk"/>
              </w:rPr>
              <w:t>самопредставництво</w:t>
            </w:r>
            <w:proofErr w:type="spellEnd"/>
            <w:r w:rsidRPr="00866FBB">
              <w:rPr>
                <w:sz w:val="28"/>
                <w:szCs w:val="28"/>
                <w:lang w:val="uk" w:eastAsia="uk"/>
              </w:rPr>
              <w:t xml:space="preserve"> інтересів ДПС та її територіальних органів в судах без окремого доручення Голови ДПС</w:t>
            </w:r>
            <w:r w:rsidRPr="00866FBB">
              <w:rPr>
                <w:b/>
                <w:sz w:val="28"/>
                <w:szCs w:val="28"/>
                <w:lang w:val="uk" w:eastAsia="uk"/>
              </w:rPr>
              <w:t>.</w:t>
            </w:r>
          </w:p>
        </w:tc>
        <w:tc>
          <w:tcPr>
            <w:tcW w:w="7223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 xml:space="preserve">15) забезпечує </w:t>
            </w:r>
            <w:proofErr w:type="spellStart"/>
            <w:r w:rsidRPr="00866FBB">
              <w:rPr>
                <w:sz w:val="28"/>
                <w:szCs w:val="28"/>
                <w:lang w:val="uk" w:eastAsia="uk"/>
              </w:rPr>
              <w:t>самопредставництво</w:t>
            </w:r>
            <w:proofErr w:type="spellEnd"/>
            <w:r w:rsidRPr="00866FBB">
              <w:rPr>
                <w:sz w:val="28"/>
                <w:szCs w:val="28"/>
                <w:lang w:val="uk" w:eastAsia="uk"/>
              </w:rPr>
              <w:t xml:space="preserve"> ДПС та її територіальних органів у судах через Голову ДПС, а також без окремого доручення Голови ДПС через його заступників та державних службовців самостійних структурних підрозділів апарату ДПС та її територіальних органів відповідно до положень про такі підрозділи, які забезпечують </w:t>
            </w:r>
            <w:proofErr w:type="spellStart"/>
            <w:r w:rsidRPr="00866FBB">
              <w:rPr>
                <w:sz w:val="28"/>
                <w:szCs w:val="28"/>
                <w:lang w:val="uk" w:eastAsia="uk"/>
              </w:rPr>
              <w:t>самопредставництво</w:t>
            </w:r>
            <w:proofErr w:type="spellEnd"/>
            <w:r w:rsidRPr="00866FBB">
              <w:rPr>
                <w:sz w:val="28"/>
                <w:szCs w:val="28"/>
                <w:lang w:val="uk" w:eastAsia="uk"/>
              </w:rPr>
              <w:t xml:space="preserve"> інтересів ДПС та її територіальних органів в судах без окремого доручення Голови ДПС</w:t>
            </w:r>
            <w:r w:rsidRPr="00866FBB">
              <w:rPr>
                <w:b/>
                <w:sz w:val="28"/>
                <w:szCs w:val="28"/>
                <w:lang w:val="uk" w:eastAsia="uk"/>
              </w:rPr>
              <w:t>;</w:t>
            </w:r>
          </w:p>
        </w:tc>
      </w:tr>
      <w:tr w:rsidR="00786D1E" w:rsidRPr="00304FE4" w:rsidTr="00866FBB">
        <w:tc>
          <w:tcPr>
            <w:tcW w:w="6669" w:type="dxa"/>
          </w:tcPr>
          <w:p w:rsidR="00786D1E" w:rsidRPr="00786D1E" w:rsidRDefault="00786D1E" w:rsidP="00535519">
            <w:pPr>
              <w:pStyle w:val="rvps2"/>
              <w:ind w:firstLine="597"/>
              <w:rPr>
                <w:b/>
                <w:sz w:val="28"/>
                <w:szCs w:val="28"/>
                <w:lang w:val="uk" w:eastAsia="uk"/>
              </w:rPr>
            </w:pPr>
            <w:r>
              <w:rPr>
                <w:b/>
                <w:sz w:val="28"/>
                <w:szCs w:val="28"/>
                <w:lang w:val="uk" w:eastAsia="uk"/>
              </w:rPr>
              <w:lastRenderedPageBreak/>
              <w:t>п</w:t>
            </w:r>
            <w:r w:rsidRPr="00786D1E">
              <w:rPr>
                <w:b/>
                <w:sz w:val="28"/>
                <w:szCs w:val="28"/>
                <w:lang w:val="uk" w:eastAsia="uk"/>
              </w:rPr>
              <w:t>озиція відсутня </w:t>
            </w:r>
          </w:p>
        </w:tc>
        <w:tc>
          <w:tcPr>
            <w:tcW w:w="7223" w:type="dxa"/>
          </w:tcPr>
          <w:p w:rsidR="00786D1E" w:rsidRPr="00786D1E" w:rsidRDefault="00786D1E" w:rsidP="00535519">
            <w:pPr>
              <w:pStyle w:val="rvps2"/>
              <w:ind w:firstLine="597"/>
              <w:rPr>
                <w:b/>
                <w:sz w:val="28"/>
                <w:szCs w:val="28"/>
                <w:lang w:val="uk" w:eastAsia="uk"/>
              </w:rPr>
            </w:pPr>
            <w:bookmarkStart w:id="8" w:name="_Hlk206600288"/>
            <w:r>
              <w:rPr>
                <w:b/>
                <w:sz w:val="28"/>
                <w:szCs w:val="28"/>
                <w:lang w:val="uk" w:eastAsia="uk"/>
              </w:rPr>
              <w:t>16) </w:t>
            </w:r>
            <w:r w:rsidRPr="00786D1E">
              <w:rPr>
                <w:b/>
                <w:sz w:val="28"/>
                <w:szCs w:val="28"/>
                <w:lang w:val="uk" w:eastAsia="uk"/>
              </w:rPr>
              <w:t xml:space="preserve">забезпечує функціонування внутрішнього контролю та здійснює внутрішній аудит </w:t>
            </w:r>
            <w:r w:rsidR="004B25D7">
              <w:rPr>
                <w:b/>
                <w:sz w:val="28"/>
                <w:szCs w:val="28"/>
                <w:lang w:val="uk" w:eastAsia="uk"/>
              </w:rPr>
              <w:t>у</w:t>
            </w:r>
            <w:r w:rsidRPr="00786D1E">
              <w:rPr>
                <w:b/>
                <w:sz w:val="28"/>
                <w:szCs w:val="28"/>
                <w:lang w:val="uk" w:eastAsia="uk"/>
              </w:rPr>
              <w:t xml:space="preserve"> ДПС, її територіальних органах, на підприємствах, в установах та організаціях, що належать до сфери її управління</w:t>
            </w:r>
            <w:r w:rsidR="0054289B">
              <w:rPr>
                <w:b/>
                <w:sz w:val="28"/>
                <w:szCs w:val="28"/>
                <w:lang w:val="uk" w:eastAsia="uk"/>
              </w:rPr>
              <w:t>;</w:t>
            </w:r>
            <w:bookmarkEnd w:id="8"/>
          </w:p>
        </w:tc>
      </w:tr>
      <w:tr w:rsidR="00535519" w:rsidRPr="00337B70" w:rsidTr="00866FBB">
        <w:tc>
          <w:tcPr>
            <w:tcW w:w="6669" w:type="dxa"/>
          </w:tcPr>
          <w:p w:rsidR="00535519" w:rsidRPr="00866FBB" w:rsidRDefault="00786D1E" w:rsidP="00535519">
            <w:pPr>
              <w:pStyle w:val="rvps2"/>
              <w:ind w:firstLine="597"/>
              <w:rPr>
                <w:b/>
                <w:sz w:val="28"/>
                <w:szCs w:val="28"/>
                <w:lang w:val="uk" w:eastAsia="uk"/>
              </w:rPr>
            </w:pPr>
            <w:r>
              <w:rPr>
                <w:b/>
                <w:sz w:val="28"/>
                <w:szCs w:val="28"/>
                <w:lang w:val="uk" w:eastAsia="uk"/>
              </w:rPr>
              <w:t>п</w:t>
            </w:r>
            <w:r w:rsidR="00535519" w:rsidRPr="00866FBB">
              <w:rPr>
                <w:b/>
                <w:sz w:val="28"/>
                <w:szCs w:val="28"/>
                <w:lang w:val="uk" w:eastAsia="uk"/>
              </w:rPr>
              <w:t>озиція відсутня</w:t>
            </w:r>
          </w:p>
        </w:tc>
        <w:tc>
          <w:tcPr>
            <w:tcW w:w="7223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b/>
                <w:sz w:val="28"/>
                <w:szCs w:val="28"/>
                <w:lang w:val="uk" w:eastAsia="uk"/>
              </w:rPr>
            </w:pPr>
            <w:r w:rsidRPr="00866FBB">
              <w:rPr>
                <w:b/>
                <w:sz w:val="28"/>
                <w:szCs w:val="28"/>
                <w:lang w:val="uk" w:eastAsia="uk"/>
              </w:rPr>
              <w:t>1</w:t>
            </w:r>
            <w:r w:rsidR="00786D1E">
              <w:rPr>
                <w:b/>
                <w:sz w:val="28"/>
                <w:szCs w:val="28"/>
                <w:lang w:val="uk" w:eastAsia="uk"/>
              </w:rPr>
              <w:t>7</w:t>
            </w:r>
            <w:r w:rsidRPr="00866FBB">
              <w:rPr>
                <w:b/>
                <w:sz w:val="28"/>
                <w:szCs w:val="28"/>
                <w:lang w:val="uk" w:eastAsia="uk"/>
              </w:rPr>
              <w:t>) забезпечує цивільний захист у сфері діяльності ДПС.</w:t>
            </w:r>
          </w:p>
        </w:tc>
      </w:tr>
      <w:tr w:rsidR="00934BAA" w:rsidRPr="00337B70" w:rsidTr="00866FBB">
        <w:tc>
          <w:tcPr>
            <w:tcW w:w="6669" w:type="dxa"/>
          </w:tcPr>
          <w:p w:rsidR="00934BAA" w:rsidRPr="00934BAA" w:rsidRDefault="00934BAA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934BAA">
              <w:rPr>
                <w:sz w:val="28"/>
                <w:szCs w:val="28"/>
                <w:lang w:val="uk" w:eastAsia="uk"/>
              </w:rPr>
              <w:t>...</w:t>
            </w:r>
          </w:p>
        </w:tc>
        <w:tc>
          <w:tcPr>
            <w:tcW w:w="7223" w:type="dxa"/>
          </w:tcPr>
          <w:p w:rsidR="00934BAA" w:rsidRPr="00934BAA" w:rsidRDefault="00934BAA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934BAA">
              <w:rPr>
                <w:sz w:val="28"/>
                <w:szCs w:val="28"/>
                <w:lang w:val="uk" w:eastAsia="uk"/>
              </w:rPr>
              <w:t>...</w:t>
            </w:r>
          </w:p>
        </w:tc>
      </w:tr>
      <w:tr w:rsidR="00535519" w:rsidRPr="001D58BB" w:rsidTr="00866FBB">
        <w:tc>
          <w:tcPr>
            <w:tcW w:w="6669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bookmarkStart w:id="9" w:name="n389"/>
            <w:bookmarkStart w:id="10" w:name="n127"/>
            <w:bookmarkStart w:id="11" w:name="n414"/>
            <w:bookmarkStart w:id="12" w:name="n164"/>
            <w:bookmarkEnd w:id="9"/>
            <w:bookmarkEnd w:id="10"/>
            <w:bookmarkEnd w:id="11"/>
            <w:bookmarkEnd w:id="12"/>
            <w:r w:rsidRPr="00866FBB">
              <w:rPr>
                <w:sz w:val="28"/>
                <w:szCs w:val="28"/>
                <w:lang w:val="uk" w:eastAsia="uk"/>
              </w:rPr>
              <w:t>11. Голова ДПС:</w:t>
            </w:r>
          </w:p>
        </w:tc>
        <w:tc>
          <w:tcPr>
            <w:tcW w:w="7223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>11. Голова ДПС:</w:t>
            </w:r>
          </w:p>
        </w:tc>
      </w:tr>
      <w:tr w:rsidR="00535519" w:rsidRPr="001D58BB" w:rsidTr="00866FBB">
        <w:tc>
          <w:tcPr>
            <w:tcW w:w="6669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>...</w:t>
            </w:r>
          </w:p>
        </w:tc>
        <w:tc>
          <w:tcPr>
            <w:tcW w:w="7223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>...</w:t>
            </w:r>
          </w:p>
        </w:tc>
      </w:tr>
      <w:tr w:rsidR="00535519" w:rsidRPr="00304FE4" w:rsidTr="00866FBB">
        <w:tc>
          <w:tcPr>
            <w:tcW w:w="6669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bookmarkStart w:id="13" w:name="n165"/>
            <w:bookmarkStart w:id="14" w:name="n425"/>
            <w:bookmarkStart w:id="15" w:name="n196"/>
            <w:bookmarkEnd w:id="13"/>
            <w:bookmarkEnd w:id="14"/>
            <w:bookmarkEnd w:id="15"/>
            <w:r w:rsidRPr="00866FBB">
              <w:rPr>
                <w:sz w:val="28"/>
                <w:szCs w:val="28"/>
                <w:lang w:val="uk" w:eastAsia="uk"/>
              </w:rPr>
              <w:t xml:space="preserve">32) організовує внутрішній контроль і внутрішній аудит та забезпечує </w:t>
            </w:r>
            <w:bookmarkStart w:id="16" w:name="_Hlk206499474"/>
            <w:r w:rsidRPr="00866FBB">
              <w:rPr>
                <w:b/>
                <w:strike/>
                <w:sz w:val="28"/>
                <w:szCs w:val="28"/>
                <w:lang w:val="uk" w:eastAsia="uk"/>
              </w:rPr>
              <w:t>їх здійснення в апараті ДПС, її територіальних органах, на підприємствах, в установах, організаціях, що належать до сфери управління ДПС</w:t>
            </w:r>
            <w:bookmarkEnd w:id="16"/>
            <w:r w:rsidRPr="00866FBB">
              <w:rPr>
                <w:b/>
                <w:strike/>
                <w:sz w:val="28"/>
                <w:szCs w:val="28"/>
                <w:lang w:val="uk" w:eastAsia="uk"/>
              </w:rPr>
              <w:t>;</w:t>
            </w:r>
          </w:p>
        </w:tc>
        <w:tc>
          <w:tcPr>
            <w:tcW w:w="7223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-UA" w:eastAsia="uk"/>
              </w:rPr>
            </w:pPr>
            <w:bookmarkStart w:id="17" w:name="_Hlk206499671"/>
            <w:r w:rsidRPr="00E07932">
              <w:rPr>
                <w:sz w:val="28"/>
                <w:szCs w:val="28"/>
                <w:lang w:val="uk-UA" w:eastAsia="uk"/>
              </w:rPr>
              <w:t xml:space="preserve">32) </w:t>
            </w:r>
            <w:r w:rsidR="00E07932" w:rsidRPr="00E07932">
              <w:rPr>
                <w:sz w:val="28"/>
                <w:szCs w:val="28"/>
                <w:lang w:val="uk" w:eastAsia="uk"/>
              </w:rPr>
              <w:t xml:space="preserve">організовує внутрішній контроль і внутрішній аудит та забезпечує </w:t>
            </w:r>
            <w:r w:rsidR="00E07932" w:rsidRPr="00E07932">
              <w:rPr>
                <w:b/>
                <w:sz w:val="28"/>
                <w:szCs w:val="28"/>
                <w:lang w:val="uk" w:eastAsia="uk"/>
              </w:rPr>
              <w:t>функціонування внутрішнього контролю і здійснення внутрішнього аудиту в ДПС, її територіальних органах, на підприємствах, в установах та організаціях, що належать до сфери її управління</w:t>
            </w:r>
            <w:r w:rsidRPr="00E07932">
              <w:rPr>
                <w:sz w:val="28"/>
                <w:szCs w:val="28"/>
                <w:lang w:val="uk-UA" w:eastAsia="uk"/>
              </w:rPr>
              <w:t>;</w:t>
            </w:r>
            <w:bookmarkEnd w:id="17"/>
          </w:p>
        </w:tc>
      </w:tr>
      <w:tr w:rsidR="00535519" w:rsidRPr="00304FE4" w:rsidTr="00866FBB">
        <w:tc>
          <w:tcPr>
            <w:tcW w:w="6669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" w:eastAsia="uk"/>
              </w:rPr>
            </w:pPr>
            <w:r w:rsidRPr="00866FBB">
              <w:rPr>
                <w:sz w:val="28"/>
                <w:szCs w:val="28"/>
                <w:lang w:val="uk" w:eastAsia="uk"/>
              </w:rPr>
              <w:t>...</w:t>
            </w:r>
          </w:p>
        </w:tc>
        <w:tc>
          <w:tcPr>
            <w:tcW w:w="7223" w:type="dxa"/>
          </w:tcPr>
          <w:p w:rsidR="00535519" w:rsidRPr="00866FBB" w:rsidRDefault="00535519" w:rsidP="00535519">
            <w:pPr>
              <w:pStyle w:val="rvps2"/>
              <w:ind w:firstLine="597"/>
              <w:rPr>
                <w:sz w:val="28"/>
                <w:szCs w:val="28"/>
                <w:lang w:val="uk-UA" w:eastAsia="uk"/>
              </w:rPr>
            </w:pPr>
            <w:r w:rsidRPr="00866FBB">
              <w:rPr>
                <w:sz w:val="28"/>
                <w:szCs w:val="28"/>
                <w:lang w:val="uk-UA" w:eastAsia="uk"/>
              </w:rPr>
              <w:t>…</w:t>
            </w:r>
          </w:p>
        </w:tc>
      </w:tr>
    </w:tbl>
    <w:p w:rsidR="00D41286" w:rsidRDefault="00D41286" w:rsidP="001D58BB">
      <w:pPr>
        <w:pStyle w:val="rvps2"/>
        <w:spacing w:after="150"/>
        <w:ind w:firstLine="0"/>
        <w:rPr>
          <w:lang w:val="uk" w:eastAsia="uk"/>
        </w:rPr>
      </w:pPr>
      <w:bookmarkStart w:id="18" w:name="n197"/>
      <w:bookmarkStart w:id="19" w:name="n204"/>
      <w:bookmarkEnd w:id="18"/>
      <w:bookmarkEnd w:id="19"/>
    </w:p>
    <w:p w:rsidR="00657F41" w:rsidRPr="00097DF4" w:rsidRDefault="00657F41" w:rsidP="00657F41">
      <w:pPr>
        <w:jc w:val="both"/>
        <w:rPr>
          <w:b/>
          <w:lang w:val="uk-UA"/>
        </w:rPr>
      </w:pPr>
    </w:p>
    <w:p w:rsidR="00657F41" w:rsidRPr="00657F41" w:rsidRDefault="00100E8D" w:rsidP="00657F4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Директор Департаменту податкової політики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  </w:t>
      </w:r>
      <w:bookmarkStart w:id="20" w:name="_GoBack"/>
      <w:bookmarkEnd w:id="20"/>
      <w:r>
        <w:rPr>
          <w:b/>
          <w:sz w:val="28"/>
          <w:lang w:val="uk-UA"/>
        </w:rPr>
        <w:t xml:space="preserve"> Віктор ОВЧАРЕНКО</w:t>
      </w:r>
    </w:p>
    <w:p w:rsidR="00657F41" w:rsidRPr="00657F41" w:rsidRDefault="00657F41" w:rsidP="00657F41">
      <w:pPr>
        <w:jc w:val="both"/>
        <w:rPr>
          <w:b/>
          <w:sz w:val="28"/>
          <w:lang w:val="uk-UA"/>
        </w:rPr>
      </w:pPr>
    </w:p>
    <w:p w:rsidR="00657F41" w:rsidRPr="00657F41" w:rsidRDefault="00657F41" w:rsidP="00657F41">
      <w:pPr>
        <w:jc w:val="both"/>
        <w:rPr>
          <w:sz w:val="28"/>
          <w:lang w:val="uk-UA"/>
        </w:rPr>
      </w:pPr>
      <w:r w:rsidRPr="00657F41">
        <w:rPr>
          <w:sz w:val="28"/>
          <w:lang w:val="uk-UA"/>
        </w:rPr>
        <w:t>«___»____________ 2025 р</w:t>
      </w:r>
      <w:r w:rsidRPr="00657F41">
        <w:rPr>
          <w:rFonts w:eastAsia="SimSun"/>
          <w:sz w:val="28"/>
          <w:lang w:val="uk-UA" w:eastAsia="uk-UA"/>
        </w:rPr>
        <w:t xml:space="preserve">оку </w:t>
      </w:r>
    </w:p>
    <w:p w:rsidR="00657F41" w:rsidRPr="00657F41" w:rsidRDefault="00657F41" w:rsidP="001D58BB">
      <w:pPr>
        <w:pStyle w:val="rvps2"/>
        <w:spacing w:after="150"/>
        <w:ind w:firstLine="0"/>
        <w:rPr>
          <w:sz w:val="28"/>
          <w:lang w:val="uk" w:eastAsia="uk"/>
        </w:rPr>
      </w:pPr>
    </w:p>
    <w:sectPr w:rsidR="00657F41" w:rsidRPr="00657F41" w:rsidSect="00100E8D">
      <w:headerReference w:type="default" r:id="rId7"/>
      <w:pgSz w:w="15840" w:h="12240" w:orient="landscape"/>
      <w:pgMar w:top="1701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0A4" w:rsidRDefault="009630A4" w:rsidP="00C27ECB">
      <w:r>
        <w:separator/>
      </w:r>
    </w:p>
  </w:endnote>
  <w:endnote w:type="continuationSeparator" w:id="0">
    <w:p w:rsidR="009630A4" w:rsidRDefault="009630A4" w:rsidP="00C2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0A4" w:rsidRDefault="009630A4" w:rsidP="00C27ECB">
      <w:r>
        <w:separator/>
      </w:r>
    </w:p>
  </w:footnote>
  <w:footnote w:type="continuationSeparator" w:id="0">
    <w:p w:rsidR="009630A4" w:rsidRDefault="009630A4" w:rsidP="00C2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394585"/>
      <w:docPartObj>
        <w:docPartGallery w:val="Page Numbers (Top of Page)"/>
        <w:docPartUnique/>
      </w:docPartObj>
    </w:sdtPr>
    <w:sdtEndPr/>
    <w:sdtContent>
      <w:p w:rsidR="00C27ECB" w:rsidRDefault="00C27E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E8D" w:rsidRPr="00100E8D">
          <w:rPr>
            <w:noProof/>
            <w:lang w:val="uk-UA"/>
          </w:rPr>
          <w:t>2</w:t>
        </w:r>
        <w:r>
          <w:fldChar w:fldCharType="end"/>
        </w:r>
      </w:p>
    </w:sdtContent>
  </w:sdt>
  <w:p w:rsidR="00C27ECB" w:rsidRDefault="00C27E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E3C6B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24DA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24E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7492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B4B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5E0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F4F4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EC58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62AD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86"/>
    <w:rsid w:val="000979DC"/>
    <w:rsid w:val="000A6534"/>
    <w:rsid w:val="00100E8D"/>
    <w:rsid w:val="00162880"/>
    <w:rsid w:val="001D58BB"/>
    <w:rsid w:val="00293DCE"/>
    <w:rsid w:val="00304FE4"/>
    <w:rsid w:val="00337B70"/>
    <w:rsid w:val="003B2EC6"/>
    <w:rsid w:val="00446415"/>
    <w:rsid w:val="004B25D7"/>
    <w:rsid w:val="00535519"/>
    <w:rsid w:val="0054289B"/>
    <w:rsid w:val="00657F41"/>
    <w:rsid w:val="00661359"/>
    <w:rsid w:val="00786D1E"/>
    <w:rsid w:val="008541A5"/>
    <w:rsid w:val="00866FBB"/>
    <w:rsid w:val="00934BAA"/>
    <w:rsid w:val="009630A4"/>
    <w:rsid w:val="00BF4C15"/>
    <w:rsid w:val="00C27ECB"/>
    <w:rsid w:val="00D41286"/>
    <w:rsid w:val="00D625C4"/>
    <w:rsid w:val="00DD25DE"/>
    <w:rsid w:val="00E07932"/>
    <w:rsid w:val="00EC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3930"/>
  <w15:docId w15:val="{309613ED-6696-4F62-AA11-6B0992AD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17">
    <w:name w:val="a_rvts117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paragraph" w:customStyle="1" w:styleId="stamp">
    <w:name w:val="stamp"/>
    <w:basedOn w:val="a"/>
  </w:style>
  <w:style w:type="table" w:styleId="a3">
    <w:name w:val="Table Grid"/>
    <w:basedOn w:val="a1"/>
    <w:uiPriority w:val="59"/>
    <w:rsid w:val="001D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EC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7EC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27EC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7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положень про Державну податкову службу України та Державну митну службу України | від 06.03.2019 № 227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положень про Державну податкову службу України та Державну митну службу України | від 06.03.2019 № 227</dc:title>
  <dc:creator>ВОЛОЩЕНКО ОЛЕНА АРКАДІЇВНА</dc:creator>
  <cp:lastModifiedBy>ВЕРЕС Оксана Анатоліївна</cp:lastModifiedBy>
  <cp:revision>7</cp:revision>
  <cp:lastPrinted>2025-08-21T07:26:00Z</cp:lastPrinted>
  <dcterms:created xsi:type="dcterms:W3CDTF">2025-08-20T13:20:00Z</dcterms:created>
  <dcterms:modified xsi:type="dcterms:W3CDTF">2025-10-07T11:07:00Z</dcterms:modified>
</cp:coreProperties>
</file>