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A48CF" w14:textId="77777777" w:rsidR="009E1A6A" w:rsidRPr="009E1A6A" w:rsidRDefault="009E1A6A" w:rsidP="009E1A6A">
      <w:pPr>
        <w:spacing w:after="0" w:line="240" w:lineRule="auto"/>
        <w:jc w:val="right"/>
        <w:rPr>
          <w:rFonts w:ascii="Times New Roman" w:hAnsi="Times New Roman" w:cs="Times New Roman"/>
          <w:sz w:val="28"/>
          <w:szCs w:val="28"/>
        </w:rPr>
      </w:pPr>
    </w:p>
    <w:p w14:paraId="5397D1B0" w14:textId="77777777" w:rsidR="000E1891" w:rsidRPr="002F0202" w:rsidRDefault="00B6116E" w:rsidP="00B6116E">
      <w:pPr>
        <w:spacing w:after="0" w:line="240" w:lineRule="auto"/>
        <w:jc w:val="center"/>
        <w:rPr>
          <w:rFonts w:ascii="Times New Roman" w:hAnsi="Times New Roman" w:cs="Times New Roman"/>
          <w:b/>
          <w:sz w:val="28"/>
          <w:szCs w:val="28"/>
        </w:rPr>
      </w:pPr>
      <w:r w:rsidRPr="002F0202">
        <w:rPr>
          <w:rFonts w:ascii="Times New Roman" w:hAnsi="Times New Roman" w:cs="Times New Roman"/>
          <w:b/>
          <w:sz w:val="28"/>
          <w:szCs w:val="28"/>
        </w:rPr>
        <w:t xml:space="preserve">ПОРІВНЯЛЬНА ТАБЛИЦЯ </w:t>
      </w:r>
      <w:r w:rsidR="009E1A6A">
        <w:rPr>
          <w:rFonts w:ascii="Times New Roman" w:hAnsi="Times New Roman" w:cs="Times New Roman"/>
          <w:b/>
          <w:sz w:val="28"/>
          <w:szCs w:val="28"/>
        </w:rPr>
        <w:t xml:space="preserve">                           </w:t>
      </w:r>
    </w:p>
    <w:p w14:paraId="02543864" w14:textId="6F14F331" w:rsidR="00B6116E" w:rsidRPr="002F0202" w:rsidRDefault="00B6116E" w:rsidP="00B6116E">
      <w:pPr>
        <w:spacing w:after="0" w:line="240" w:lineRule="auto"/>
        <w:jc w:val="center"/>
        <w:rPr>
          <w:rFonts w:ascii="Times New Roman" w:hAnsi="Times New Roman" w:cs="Times New Roman"/>
          <w:b/>
          <w:sz w:val="28"/>
          <w:szCs w:val="28"/>
        </w:rPr>
      </w:pPr>
      <w:r w:rsidRPr="002F0202">
        <w:rPr>
          <w:rFonts w:ascii="Times New Roman" w:hAnsi="Times New Roman" w:cs="Times New Roman"/>
          <w:b/>
          <w:sz w:val="28"/>
          <w:szCs w:val="28"/>
        </w:rPr>
        <w:t xml:space="preserve">до </w:t>
      </w:r>
      <w:proofErr w:type="spellStart"/>
      <w:r w:rsidRPr="002F0202">
        <w:rPr>
          <w:rFonts w:ascii="Times New Roman" w:hAnsi="Times New Roman" w:cs="Times New Roman"/>
          <w:b/>
          <w:sz w:val="28"/>
          <w:szCs w:val="28"/>
        </w:rPr>
        <w:t>про</w:t>
      </w:r>
      <w:r w:rsidR="00AD323D">
        <w:rPr>
          <w:rFonts w:ascii="Times New Roman" w:hAnsi="Times New Roman" w:cs="Times New Roman"/>
          <w:b/>
          <w:sz w:val="28"/>
          <w:szCs w:val="28"/>
        </w:rPr>
        <w:t>є</w:t>
      </w:r>
      <w:r w:rsidRPr="002F0202">
        <w:rPr>
          <w:rFonts w:ascii="Times New Roman" w:hAnsi="Times New Roman" w:cs="Times New Roman"/>
          <w:b/>
          <w:sz w:val="28"/>
          <w:szCs w:val="28"/>
        </w:rPr>
        <w:t>кту</w:t>
      </w:r>
      <w:proofErr w:type="spellEnd"/>
      <w:r w:rsidRPr="002F0202">
        <w:rPr>
          <w:rFonts w:ascii="Times New Roman" w:hAnsi="Times New Roman" w:cs="Times New Roman"/>
          <w:b/>
          <w:sz w:val="28"/>
          <w:szCs w:val="28"/>
        </w:rPr>
        <w:t xml:space="preserve"> наказу Міністерства фінансів України </w:t>
      </w:r>
    </w:p>
    <w:p w14:paraId="7403F392" w14:textId="5A8D3E1A" w:rsidR="00B6116E" w:rsidRPr="002F0202" w:rsidRDefault="00B6116E" w:rsidP="000E360E">
      <w:pPr>
        <w:spacing w:after="0" w:line="240" w:lineRule="auto"/>
        <w:ind w:left="1560" w:right="2521"/>
        <w:jc w:val="center"/>
        <w:rPr>
          <w:rFonts w:ascii="Times New Roman" w:hAnsi="Times New Roman" w:cs="Times New Roman"/>
          <w:b/>
          <w:sz w:val="28"/>
          <w:szCs w:val="28"/>
        </w:rPr>
      </w:pPr>
      <w:r w:rsidRPr="002F0202">
        <w:rPr>
          <w:rFonts w:ascii="Times New Roman" w:hAnsi="Times New Roman" w:cs="Times New Roman"/>
          <w:b/>
          <w:sz w:val="28"/>
          <w:szCs w:val="28"/>
        </w:rPr>
        <w:t xml:space="preserve">«Про </w:t>
      </w:r>
      <w:r w:rsidR="000E360E">
        <w:rPr>
          <w:rFonts w:ascii="Times New Roman" w:hAnsi="Times New Roman" w:cs="Times New Roman"/>
          <w:b/>
          <w:sz w:val="28"/>
          <w:szCs w:val="28"/>
        </w:rPr>
        <w:t>затвердження З</w:t>
      </w:r>
      <w:r w:rsidRPr="002F0202">
        <w:rPr>
          <w:rFonts w:ascii="Times New Roman" w:hAnsi="Times New Roman" w:cs="Times New Roman"/>
          <w:b/>
          <w:sz w:val="28"/>
          <w:szCs w:val="28"/>
        </w:rPr>
        <w:t xml:space="preserve">мін до </w:t>
      </w:r>
      <w:r w:rsidR="000E360E" w:rsidRPr="000E360E">
        <w:rPr>
          <w:rFonts w:ascii="Times New Roman" w:hAnsi="Times New Roman" w:cs="Times New Roman"/>
          <w:b/>
          <w:sz w:val="28"/>
          <w:szCs w:val="28"/>
        </w:rPr>
        <w:t>Національного положення (стандарту) бухгалтерського обліку в державному секторі</w:t>
      </w:r>
      <w:r w:rsidR="00C07BAE">
        <w:rPr>
          <w:rFonts w:ascii="Times New Roman" w:hAnsi="Times New Roman" w:cs="Times New Roman"/>
          <w:b/>
          <w:sz w:val="28"/>
          <w:szCs w:val="28"/>
        </w:rPr>
        <w:t xml:space="preserve"> 1</w:t>
      </w:r>
      <w:r w:rsidR="007548DA">
        <w:rPr>
          <w:rFonts w:ascii="Times New Roman" w:hAnsi="Times New Roman" w:cs="Times New Roman"/>
          <w:b/>
          <w:sz w:val="28"/>
          <w:szCs w:val="28"/>
        </w:rPr>
        <w:t>2</w:t>
      </w:r>
      <w:r w:rsidR="002D5919">
        <w:rPr>
          <w:rFonts w:ascii="Times New Roman" w:hAnsi="Times New Roman" w:cs="Times New Roman"/>
          <w:b/>
          <w:sz w:val="28"/>
          <w:szCs w:val="28"/>
        </w:rPr>
        <w:t>9</w:t>
      </w:r>
      <w:r w:rsidR="007548DA">
        <w:rPr>
          <w:rFonts w:ascii="Times New Roman" w:hAnsi="Times New Roman" w:cs="Times New Roman"/>
          <w:b/>
          <w:sz w:val="28"/>
          <w:szCs w:val="28"/>
        </w:rPr>
        <w:t xml:space="preserve"> «</w:t>
      </w:r>
      <w:r w:rsidR="002D5919">
        <w:rPr>
          <w:rFonts w:ascii="Times New Roman" w:hAnsi="Times New Roman" w:cs="Times New Roman"/>
          <w:b/>
          <w:sz w:val="28"/>
          <w:szCs w:val="28"/>
        </w:rPr>
        <w:t>Інвестиційна нерухомість</w:t>
      </w:r>
      <w:r w:rsidR="00C07BAE">
        <w:rPr>
          <w:rFonts w:ascii="Times New Roman" w:hAnsi="Times New Roman" w:cs="Times New Roman"/>
          <w:b/>
          <w:sz w:val="28"/>
          <w:szCs w:val="28"/>
        </w:rPr>
        <w:t>»</w:t>
      </w:r>
    </w:p>
    <w:p w14:paraId="56A41E6D" w14:textId="77777777" w:rsidR="00B6116E" w:rsidRPr="002F0202" w:rsidRDefault="00B6116E" w:rsidP="00B6116E">
      <w:pPr>
        <w:spacing w:after="0" w:line="240" w:lineRule="auto"/>
        <w:jc w:val="center"/>
        <w:rPr>
          <w:rFonts w:ascii="Times New Roman" w:hAnsi="Times New Roman" w:cs="Times New Roman"/>
          <w:b/>
          <w:sz w:val="28"/>
          <w:szCs w:val="28"/>
        </w:rPr>
      </w:pPr>
    </w:p>
    <w:tbl>
      <w:tblPr>
        <w:tblStyle w:val="a3"/>
        <w:tblW w:w="15028" w:type="dxa"/>
        <w:tblInd w:w="-431" w:type="dxa"/>
        <w:tblLook w:val="04A0" w:firstRow="1" w:lastRow="0" w:firstColumn="1" w:lastColumn="0" w:noHBand="0" w:noVBand="1"/>
      </w:tblPr>
      <w:tblGrid>
        <w:gridCol w:w="7089"/>
        <w:gridCol w:w="7939"/>
      </w:tblGrid>
      <w:tr w:rsidR="00126037" w:rsidRPr="00B85C0A" w14:paraId="72D2242B" w14:textId="77777777" w:rsidTr="003D2441">
        <w:trPr>
          <w:trHeight w:val="365"/>
        </w:trPr>
        <w:tc>
          <w:tcPr>
            <w:tcW w:w="7089" w:type="dxa"/>
          </w:tcPr>
          <w:p w14:paraId="71302C36" w14:textId="77777777" w:rsidR="00126037" w:rsidRPr="00B85C0A" w:rsidRDefault="00126037" w:rsidP="00B6116E">
            <w:pPr>
              <w:jc w:val="center"/>
              <w:rPr>
                <w:rFonts w:ascii="Times New Roman" w:hAnsi="Times New Roman" w:cs="Times New Roman"/>
                <w:b/>
              </w:rPr>
            </w:pPr>
            <w:r w:rsidRPr="00B85C0A">
              <w:rPr>
                <w:rFonts w:ascii="Times New Roman" w:hAnsi="Times New Roman" w:cs="Times New Roman"/>
                <w:b/>
              </w:rPr>
              <w:t xml:space="preserve">Зміст положення </w:t>
            </w:r>
            <w:proofErr w:type="spellStart"/>
            <w:r w:rsidRPr="00B85C0A">
              <w:rPr>
                <w:rFonts w:ascii="Times New Roman" w:hAnsi="Times New Roman" w:cs="Times New Roman"/>
                <w:b/>
              </w:rPr>
              <w:t>акта</w:t>
            </w:r>
            <w:proofErr w:type="spellEnd"/>
            <w:r w:rsidRPr="00B85C0A">
              <w:rPr>
                <w:rFonts w:ascii="Times New Roman" w:hAnsi="Times New Roman" w:cs="Times New Roman"/>
                <w:b/>
              </w:rPr>
              <w:t xml:space="preserve"> законодавства</w:t>
            </w:r>
          </w:p>
        </w:tc>
        <w:tc>
          <w:tcPr>
            <w:tcW w:w="7938" w:type="dxa"/>
          </w:tcPr>
          <w:p w14:paraId="601D140B" w14:textId="2FC617CB" w:rsidR="00126037" w:rsidRPr="00B85C0A" w:rsidRDefault="00126037" w:rsidP="00AD323D">
            <w:pPr>
              <w:jc w:val="center"/>
              <w:rPr>
                <w:rFonts w:ascii="Times New Roman" w:hAnsi="Times New Roman" w:cs="Times New Roman"/>
                <w:b/>
              </w:rPr>
            </w:pPr>
            <w:r w:rsidRPr="00B85C0A">
              <w:rPr>
                <w:rFonts w:ascii="Times New Roman" w:hAnsi="Times New Roman" w:cs="Times New Roman"/>
                <w:b/>
              </w:rPr>
              <w:t xml:space="preserve">Зміст відповідного положення </w:t>
            </w:r>
            <w:proofErr w:type="spellStart"/>
            <w:r w:rsidRPr="00B85C0A">
              <w:rPr>
                <w:rFonts w:ascii="Times New Roman" w:hAnsi="Times New Roman" w:cs="Times New Roman"/>
                <w:b/>
              </w:rPr>
              <w:t>про</w:t>
            </w:r>
            <w:r w:rsidR="00AD323D">
              <w:rPr>
                <w:rFonts w:ascii="Times New Roman" w:hAnsi="Times New Roman" w:cs="Times New Roman"/>
                <w:b/>
              </w:rPr>
              <w:t>є</w:t>
            </w:r>
            <w:r w:rsidRPr="00B85C0A">
              <w:rPr>
                <w:rFonts w:ascii="Times New Roman" w:hAnsi="Times New Roman" w:cs="Times New Roman"/>
                <w:b/>
              </w:rPr>
              <w:t>кту</w:t>
            </w:r>
            <w:proofErr w:type="spellEnd"/>
            <w:r w:rsidRPr="00B85C0A">
              <w:rPr>
                <w:rFonts w:ascii="Times New Roman" w:hAnsi="Times New Roman" w:cs="Times New Roman"/>
                <w:b/>
              </w:rPr>
              <w:t xml:space="preserve"> </w:t>
            </w:r>
            <w:proofErr w:type="spellStart"/>
            <w:r w:rsidRPr="00B85C0A">
              <w:rPr>
                <w:rFonts w:ascii="Times New Roman" w:hAnsi="Times New Roman" w:cs="Times New Roman"/>
                <w:b/>
              </w:rPr>
              <w:t>акта</w:t>
            </w:r>
            <w:proofErr w:type="spellEnd"/>
          </w:p>
        </w:tc>
      </w:tr>
      <w:tr w:rsidR="00126037" w:rsidRPr="00B85C0A" w14:paraId="7A05B8C5" w14:textId="77777777" w:rsidTr="003D2441">
        <w:trPr>
          <w:trHeight w:val="365"/>
        </w:trPr>
        <w:tc>
          <w:tcPr>
            <w:tcW w:w="15028" w:type="dxa"/>
            <w:gridSpan w:val="2"/>
          </w:tcPr>
          <w:p w14:paraId="1D99FDE3" w14:textId="247271EA" w:rsidR="00126037" w:rsidRPr="00B85C0A" w:rsidRDefault="00126037" w:rsidP="00126037">
            <w:pPr>
              <w:jc w:val="center"/>
              <w:rPr>
                <w:rFonts w:ascii="Times New Roman" w:hAnsi="Times New Roman" w:cs="Times New Roman"/>
                <w:b/>
              </w:rPr>
            </w:pPr>
            <w:r w:rsidRPr="00B85C0A">
              <w:rPr>
                <w:rFonts w:ascii="Times New Roman" w:hAnsi="Times New Roman" w:cs="Times New Roman"/>
                <w:b/>
              </w:rPr>
              <w:t>Національне положення (стандарт) бухгалтерського обліку в державному секторі 129 «Інвестиційна нерухомість», затверджене наказом Міністерства фінансів України від 24 грудня 2010 року № 1629, зареєстроване в Міністерстві юстиції України 20 січня 2011 року за № 94/18832</w:t>
            </w:r>
          </w:p>
          <w:p w14:paraId="361FA499" w14:textId="77777777" w:rsidR="00126037" w:rsidRPr="00B85C0A" w:rsidRDefault="00126037" w:rsidP="00B6116E">
            <w:pPr>
              <w:jc w:val="center"/>
              <w:rPr>
                <w:rFonts w:ascii="Times New Roman" w:hAnsi="Times New Roman" w:cs="Times New Roman"/>
              </w:rPr>
            </w:pPr>
          </w:p>
        </w:tc>
      </w:tr>
      <w:tr w:rsidR="00126037" w:rsidRPr="00B85C0A" w14:paraId="48791C62" w14:textId="77777777" w:rsidTr="003D2441">
        <w:trPr>
          <w:trHeight w:val="437"/>
        </w:trPr>
        <w:tc>
          <w:tcPr>
            <w:tcW w:w="15028" w:type="dxa"/>
            <w:gridSpan w:val="2"/>
          </w:tcPr>
          <w:p w14:paraId="50C6CA9E" w14:textId="50F0AAA5" w:rsidR="00126037" w:rsidRPr="00B85C0A" w:rsidRDefault="00126037" w:rsidP="00126037">
            <w:pPr>
              <w:ind w:firstLine="284"/>
              <w:jc w:val="center"/>
              <w:rPr>
                <w:rFonts w:ascii="Times New Roman" w:hAnsi="Times New Roman" w:cs="Times New Roman"/>
              </w:rPr>
            </w:pPr>
            <w:r w:rsidRPr="00B85C0A">
              <w:rPr>
                <w:rFonts w:ascii="Times New Roman" w:hAnsi="Times New Roman" w:cs="Times New Roman"/>
                <w:b/>
                <w:color w:val="212529"/>
                <w:shd w:val="clear" w:color="auto" w:fill="FFFFFF"/>
              </w:rPr>
              <w:t>I. Загальні положення</w:t>
            </w:r>
          </w:p>
        </w:tc>
      </w:tr>
      <w:tr w:rsidR="00126037" w:rsidRPr="00B85C0A" w14:paraId="5D12798E" w14:textId="77777777" w:rsidTr="003D2441">
        <w:trPr>
          <w:trHeight w:val="369"/>
        </w:trPr>
        <w:tc>
          <w:tcPr>
            <w:tcW w:w="7089" w:type="dxa"/>
          </w:tcPr>
          <w:p w14:paraId="13C33991" w14:textId="2CF07314" w:rsidR="00126037" w:rsidRPr="00B85C0A" w:rsidRDefault="0019709C" w:rsidP="00126037">
            <w:pPr>
              <w:ind w:firstLine="284"/>
              <w:rPr>
                <w:rFonts w:ascii="Times New Roman" w:hAnsi="Times New Roman" w:cs="Times New Roman"/>
              </w:rPr>
            </w:pPr>
            <w:r w:rsidRPr="00B85C0A">
              <w:rPr>
                <w:rFonts w:ascii="Times New Roman" w:hAnsi="Times New Roman" w:cs="Times New Roman"/>
              </w:rPr>
              <w:t>…………</w:t>
            </w:r>
          </w:p>
        </w:tc>
        <w:tc>
          <w:tcPr>
            <w:tcW w:w="7938" w:type="dxa"/>
          </w:tcPr>
          <w:p w14:paraId="43843D27" w14:textId="35AEE4D0" w:rsidR="00126037" w:rsidRPr="00B85C0A" w:rsidRDefault="0019709C" w:rsidP="00126037">
            <w:pPr>
              <w:ind w:firstLine="284"/>
              <w:rPr>
                <w:rFonts w:ascii="Times New Roman" w:hAnsi="Times New Roman" w:cs="Times New Roman"/>
              </w:rPr>
            </w:pPr>
            <w:r w:rsidRPr="00B85C0A">
              <w:rPr>
                <w:rFonts w:ascii="Times New Roman" w:hAnsi="Times New Roman" w:cs="Times New Roman"/>
              </w:rPr>
              <w:t>…………….</w:t>
            </w:r>
          </w:p>
        </w:tc>
      </w:tr>
      <w:tr w:rsidR="00126037" w:rsidRPr="00B85C0A" w14:paraId="003A8E45" w14:textId="77777777" w:rsidTr="003D2441">
        <w:trPr>
          <w:trHeight w:val="305"/>
        </w:trPr>
        <w:tc>
          <w:tcPr>
            <w:tcW w:w="7089" w:type="dxa"/>
          </w:tcPr>
          <w:p w14:paraId="3223A686" w14:textId="6F571658"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Пункт 3:</w:t>
            </w:r>
          </w:p>
          <w:p w14:paraId="1CB8339B" w14:textId="0CFF3136" w:rsidR="00126037" w:rsidRPr="00B85C0A" w:rsidRDefault="00C31802" w:rsidP="00126037">
            <w:pPr>
              <w:ind w:firstLine="284"/>
              <w:jc w:val="both"/>
              <w:rPr>
                <w:rFonts w:ascii="Times New Roman" w:hAnsi="Times New Roman" w:cs="Times New Roman"/>
              </w:rPr>
            </w:pPr>
            <w:r w:rsidRPr="00B85C0A">
              <w:rPr>
                <w:rFonts w:ascii="Times New Roman" w:hAnsi="Times New Roman" w:cs="Times New Roman"/>
              </w:rPr>
              <w:t xml:space="preserve">3. </w:t>
            </w:r>
            <w:r w:rsidR="00126037" w:rsidRPr="00B85C0A">
              <w:rPr>
                <w:rFonts w:ascii="Times New Roman" w:hAnsi="Times New Roman" w:cs="Times New Roman"/>
              </w:rPr>
              <w:t>Це Національне положення (стандарт) не застосовується до питань, урегульованих Національним положенням (стандартом) бухгалтерського обліку в державному секторі 126 "Оренда", затвердженим наказом Міністерства фінансів  України від 24.12.2010 № 1629, та іншими національними положеннями (стандартами) бухгалтерського обліку в державному секторі, а саме до:</w:t>
            </w:r>
          </w:p>
        </w:tc>
        <w:tc>
          <w:tcPr>
            <w:tcW w:w="7938" w:type="dxa"/>
          </w:tcPr>
          <w:p w14:paraId="61A07B60" w14:textId="42B0D0A1"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Пункт 3:</w:t>
            </w:r>
          </w:p>
          <w:p w14:paraId="64AA094F" w14:textId="35220C40" w:rsidR="00126037" w:rsidRPr="00B85C0A" w:rsidRDefault="00C31802" w:rsidP="00126037">
            <w:pPr>
              <w:ind w:firstLine="284"/>
              <w:jc w:val="both"/>
              <w:rPr>
                <w:rFonts w:ascii="Times New Roman" w:hAnsi="Times New Roman" w:cs="Times New Roman"/>
              </w:rPr>
            </w:pPr>
            <w:r w:rsidRPr="00B85C0A">
              <w:rPr>
                <w:rFonts w:ascii="Times New Roman" w:hAnsi="Times New Roman" w:cs="Times New Roman"/>
              </w:rPr>
              <w:t xml:space="preserve">3. </w:t>
            </w:r>
            <w:r w:rsidR="00126037" w:rsidRPr="00B85C0A">
              <w:rPr>
                <w:rFonts w:ascii="Times New Roman" w:hAnsi="Times New Roman" w:cs="Times New Roman"/>
              </w:rPr>
              <w:t>Це Національне положення (стандарт) не застосовується до питань, урегульованих Національним положенням (стандартом) бухгалтерського обліку в державному секторі 126 "Оренда", затвердженим наказом Міністерства фінансів  України від 24.12.2010 № 1629, та іншими національними положеннями (стандартами) бухгалтерського обліку в державному секторі, а саме до:</w:t>
            </w:r>
          </w:p>
        </w:tc>
      </w:tr>
      <w:tr w:rsidR="00126037" w:rsidRPr="00B85C0A" w14:paraId="0975B437" w14:textId="77777777" w:rsidTr="003D2441">
        <w:trPr>
          <w:trHeight w:val="305"/>
        </w:trPr>
        <w:tc>
          <w:tcPr>
            <w:tcW w:w="7089" w:type="dxa"/>
          </w:tcPr>
          <w:p w14:paraId="6170AEDA"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класифікації оренди на операційну та фінансову;</w:t>
            </w:r>
          </w:p>
        </w:tc>
        <w:tc>
          <w:tcPr>
            <w:tcW w:w="7938" w:type="dxa"/>
          </w:tcPr>
          <w:p w14:paraId="3AF0CD78"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класифікації оренди на операційну та фінансову;</w:t>
            </w:r>
          </w:p>
        </w:tc>
      </w:tr>
      <w:tr w:rsidR="00126037" w:rsidRPr="00B85C0A" w14:paraId="6F9C7028" w14:textId="77777777" w:rsidTr="003D2441">
        <w:trPr>
          <w:trHeight w:val="305"/>
        </w:trPr>
        <w:tc>
          <w:tcPr>
            <w:tcW w:w="7089" w:type="dxa"/>
          </w:tcPr>
          <w:p w14:paraId="038F67AB" w14:textId="1AEABA9D"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визнання доходу від оренди об</w:t>
            </w:r>
            <w:r w:rsidR="00B85C0A" w:rsidRPr="00B85C0A">
              <w:rPr>
                <w:rFonts w:ascii="Times New Roman" w:hAnsi="Times New Roman" w:cs="Times New Roman"/>
              </w:rPr>
              <w:t>’</w:t>
            </w:r>
            <w:r w:rsidRPr="00B85C0A">
              <w:rPr>
                <w:rFonts w:ascii="Times New Roman" w:hAnsi="Times New Roman" w:cs="Times New Roman"/>
              </w:rPr>
              <w:t>єктів інвестиційної нерухомості;</w:t>
            </w:r>
          </w:p>
        </w:tc>
        <w:tc>
          <w:tcPr>
            <w:tcW w:w="7938" w:type="dxa"/>
          </w:tcPr>
          <w:p w14:paraId="2F88BBC0" w14:textId="0E550ECE"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визнання доходу від оренди об</w:t>
            </w:r>
            <w:r w:rsidR="00B85C0A" w:rsidRPr="00B85C0A">
              <w:rPr>
                <w:rFonts w:ascii="Times New Roman" w:hAnsi="Times New Roman" w:cs="Times New Roman"/>
              </w:rPr>
              <w:t>’</w:t>
            </w:r>
            <w:r w:rsidRPr="00B85C0A">
              <w:rPr>
                <w:rFonts w:ascii="Times New Roman" w:hAnsi="Times New Roman" w:cs="Times New Roman"/>
              </w:rPr>
              <w:t>єктів інвестиційної нерухомості;</w:t>
            </w:r>
          </w:p>
        </w:tc>
      </w:tr>
      <w:tr w:rsidR="00126037" w:rsidRPr="00B85C0A" w14:paraId="73FF433F" w14:textId="77777777" w:rsidTr="003D2441">
        <w:trPr>
          <w:trHeight w:val="305"/>
        </w:trPr>
        <w:tc>
          <w:tcPr>
            <w:tcW w:w="7089" w:type="dxa"/>
          </w:tcPr>
          <w:p w14:paraId="5F8794E2"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обліку продажу та операцій з продажу активів з їх подальшою орендою;</w:t>
            </w:r>
          </w:p>
        </w:tc>
        <w:tc>
          <w:tcPr>
            <w:tcW w:w="7938" w:type="dxa"/>
          </w:tcPr>
          <w:p w14:paraId="6F6780BC"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обліку продажу та операцій з продажу активів з їх подальшою орендою;</w:t>
            </w:r>
          </w:p>
        </w:tc>
      </w:tr>
      <w:tr w:rsidR="00126037" w:rsidRPr="00B85C0A" w14:paraId="55DB657F" w14:textId="77777777" w:rsidTr="003D2441">
        <w:trPr>
          <w:trHeight w:val="305"/>
        </w:trPr>
        <w:tc>
          <w:tcPr>
            <w:tcW w:w="7089" w:type="dxa"/>
          </w:tcPr>
          <w:p w14:paraId="22C3BC1A"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розкриття інформації про операційну оренду у фінансовій звітності;</w:t>
            </w:r>
          </w:p>
        </w:tc>
        <w:tc>
          <w:tcPr>
            <w:tcW w:w="7938" w:type="dxa"/>
          </w:tcPr>
          <w:p w14:paraId="4A1400CB"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розкриття інформації про операційну оренду у фінансовій звітності;</w:t>
            </w:r>
          </w:p>
        </w:tc>
      </w:tr>
      <w:tr w:rsidR="00126037" w:rsidRPr="00B85C0A" w14:paraId="6DD3AD07" w14:textId="77777777" w:rsidTr="003D2441">
        <w:trPr>
          <w:trHeight w:val="305"/>
        </w:trPr>
        <w:tc>
          <w:tcPr>
            <w:tcW w:w="7089" w:type="dxa"/>
          </w:tcPr>
          <w:p w14:paraId="5CD19FB6" w14:textId="6FDC350D"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обліку біологічних активів, пов</w:t>
            </w:r>
            <w:r w:rsidR="00B85C0A" w:rsidRPr="00B85C0A">
              <w:rPr>
                <w:rFonts w:ascii="Times New Roman" w:hAnsi="Times New Roman" w:cs="Times New Roman"/>
              </w:rPr>
              <w:t>’</w:t>
            </w:r>
            <w:r w:rsidRPr="00B85C0A">
              <w:rPr>
                <w:rFonts w:ascii="Times New Roman" w:hAnsi="Times New Roman" w:cs="Times New Roman"/>
              </w:rPr>
              <w:t>язаних із сільськогосподарською діяльністю;</w:t>
            </w:r>
          </w:p>
        </w:tc>
        <w:tc>
          <w:tcPr>
            <w:tcW w:w="7938" w:type="dxa"/>
          </w:tcPr>
          <w:p w14:paraId="70E8FC81" w14:textId="173AF7BF"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обліку біологічних активів, пов</w:t>
            </w:r>
            <w:r w:rsidR="00B85C0A" w:rsidRPr="00B85C0A">
              <w:rPr>
                <w:rFonts w:ascii="Times New Roman" w:hAnsi="Times New Roman" w:cs="Times New Roman"/>
              </w:rPr>
              <w:t>’</w:t>
            </w:r>
            <w:r w:rsidRPr="00B85C0A">
              <w:rPr>
                <w:rFonts w:ascii="Times New Roman" w:hAnsi="Times New Roman" w:cs="Times New Roman"/>
              </w:rPr>
              <w:t>язаних із сільськогосподарською діяльністю;</w:t>
            </w:r>
          </w:p>
        </w:tc>
      </w:tr>
      <w:tr w:rsidR="00126037" w:rsidRPr="00B85C0A" w14:paraId="6615C1DC" w14:textId="77777777" w:rsidTr="003D2441">
        <w:trPr>
          <w:trHeight w:val="305"/>
        </w:trPr>
        <w:tc>
          <w:tcPr>
            <w:tcW w:w="7089" w:type="dxa"/>
          </w:tcPr>
          <w:p w14:paraId="6CA1C766"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 xml:space="preserve">обліку прав на розвідування та видобуток корисних копалин та </w:t>
            </w:r>
            <w:r w:rsidRPr="00B85C0A">
              <w:rPr>
                <w:rFonts w:ascii="Times New Roman" w:hAnsi="Times New Roman" w:cs="Times New Roman"/>
              </w:rPr>
              <w:br/>
              <w:t>невідтворюваних ресурсів;</w:t>
            </w:r>
          </w:p>
        </w:tc>
        <w:tc>
          <w:tcPr>
            <w:tcW w:w="7938" w:type="dxa"/>
          </w:tcPr>
          <w:p w14:paraId="156B7697"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 xml:space="preserve">обліку прав на розвідування та видобуток корисних копалин та </w:t>
            </w:r>
            <w:r w:rsidRPr="00B85C0A">
              <w:rPr>
                <w:rFonts w:ascii="Times New Roman" w:hAnsi="Times New Roman" w:cs="Times New Roman"/>
              </w:rPr>
              <w:br/>
              <w:t>невідтворюваних ресурсів;</w:t>
            </w:r>
          </w:p>
        </w:tc>
      </w:tr>
      <w:tr w:rsidR="00126037" w:rsidRPr="00B85C0A" w14:paraId="2E61286F" w14:textId="77777777" w:rsidTr="003D2441">
        <w:trPr>
          <w:trHeight w:val="305"/>
        </w:trPr>
        <w:tc>
          <w:tcPr>
            <w:tcW w:w="7089" w:type="dxa"/>
          </w:tcPr>
          <w:p w14:paraId="6BBB0A7B"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оцінки орендодавцем нерухомості, наданої в оренду за договором фінансової оренди.</w:t>
            </w:r>
          </w:p>
        </w:tc>
        <w:tc>
          <w:tcPr>
            <w:tcW w:w="7938" w:type="dxa"/>
          </w:tcPr>
          <w:p w14:paraId="018E10AA"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оцінки орендодавцем нерухомості, наданої в оренду за договором фінансової оренди.</w:t>
            </w:r>
          </w:p>
        </w:tc>
      </w:tr>
      <w:tr w:rsidR="00126037" w:rsidRPr="00B85C0A" w14:paraId="1E9536A1" w14:textId="77777777" w:rsidTr="003D2441">
        <w:trPr>
          <w:trHeight w:val="305"/>
        </w:trPr>
        <w:tc>
          <w:tcPr>
            <w:tcW w:w="7089" w:type="dxa"/>
          </w:tcPr>
          <w:p w14:paraId="605902E3" w14:textId="77777777" w:rsidR="00126037" w:rsidRPr="00B85C0A" w:rsidRDefault="00126037" w:rsidP="00126037">
            <w:pPr>
              <w:ind w:firstLine="284"/>
              <w:jc w:val="both"/>
              <w:rPr>
                <w:rFonts w:ascii="Times New Roman" w:hAnsi="Times New Roman" w:cs="Times New Roman"/>
              </w:rPr>
            </w:pPr>
          </w:p>
        </w:tc>
        <w:tc>
          <w:tcPr>
            <w:tcW w:w="7938" w:type="dxa"/>
          </w:tcPr>
          <w:p w14:paraId="51D0B321" w14:textId="77777777"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t>розкриття інформації про фінансову оренду та операційну оренду.</w:t>
            </w:r>
          </w:p>
          <w:p w14:paraId="4E74CBB5" w14:textId="6C4C354B" w:rsidR="00C31802" w:rsidRPr="00B85C0A" w:rsidRDefault="00C31802" w:rsidP="00126037">
            <w:pPr>
              <w:ind w:firstLine="284"/>
              <w:jc w:val="both"/>
              <w:rPr>
                <w:rFonts w:ascii="Times New Roman" w:hAnsi="Times New Roman" w:cs="Times New Roman"/>
              </w:rPr>
            </w:pPr>
          </w:p>
        </w:tc>
      </w:tr>
      <w:tr w:rsidR="00126037" w:rsidRPr="00B85C0A" w14:paraId="640BC556" w14:textId="77777777" w:rsidTr="003D2441">
        <w:trPr>
          <w:trHeight w:val="305"/>
        </w:trPr>
        <w:tc>
          <w:tcPr>
            <w:tcW w:w="7089" w:type="dxa"/>
          </w:tcPr>
          <w:p w14:paraId="5D5D8D76"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lastRenderedPageBreak/>
              <w:t>Пункт 4:</w:t>
            </w:r>
          </w:p>
          <w:p w14:paraId="6908D2F0" w14:textId="54ED07EE" w:rsidR="00126037" w:rsidRPr="00B85C0A" w:rsidRDefault="00C31802" w:rsidP="00126037">
            <w:pPr>
              <w:ind w:firstLine="284"/>
              <w:jc w:val="both"/>
              <w:rPr>
                <w:rFonts w:ascii="Times New Roman" w:hAnsi="Times New Roman" w:cs="Times New Roman"/>
              </w:rPr>
            </w:pPr>
            <w:r w:rsidRPr="00B85C0A">
              <w:rPr>
                <w:rFonts w:ascii="Times New Roman" w:hAnsi="Times New Roman" w:cs="Times New Roman"/>
              </w:rPr>
              <w:t xml:space="preserve">4. </w:t>
            </w:r>
            <w:r w:rsidR="00126037" w:rsidRPr="00B85C0A">
              <w:rPr>
                <w:rFonts w:ascii="Times New Roman" w:hAnsi="Times New Roman" w:cs="Times New Roman"/>
              </w:rPr>
              <w:t>Терміни, що використовуються в  національних положеннях (стандартах) бухгалтерського обліку в державному секторі,  мають таке значення:</w:t>
            </w:r>
          </w:p>
        </w:tc>
        <w:tc>
          <w:tcPr>
            <w:tcW w:w="7938" w:type="dxa"/>
          </w:tcPr>
          <w:p w14:paraId="129130AF"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Пункт 4:</w:t>
            </w:r>
          </w:p>
          <w:p w14:paraId="670567D6" w14:textId="51E14A9C" w:rsidR="00126037" w:rsidRPr="00B85C0A" w:rsidRDefault="00C31802" w:rsidP="00126037">
            <w:pPr>
              <w:ind w:firstLine="284"/>
              <w:jc w:val="both"/>
              <w:rPr>
                <w:rFonts w:ascii="Times New Roman" w:hAnsi="Times New Roman" w:cs="Times New Roman"/>
              </w:rPr>
            </w:pPr>
            <w:r w:rsidRPr="00B85C0A">
              <w:rPr>
                <w:rFonts w:ascii="Times New Roman" w:hAnsi="Times New Roman" w:cs="Times New Roman"/>
              </w:rPr>
              <w:t xml:space="preserve">4. </w:t>
            </w:r>
            <w:r w:rsidR="00126037" w:rsidRPr="00B85C0A">
              <w:rPr>
                <w:rFonts w:ascii="Times New Roman" w:hAnsi="Times New Roman" w:cs="Times New Roman"/>
              </w:rPr>
              <w:t>Терміни, що використовуються в  національних положеннях (стандартах) бухгалтерського обліку в державному секторі,  мають таке значення:</w:t>
            </w:r>
          </w:p>
        </w:tc>
      </w:tr>
      <w:tr w:rsidR="00126037" w:rsidRPr="00B85C0A" w14:paraId="0660C4E9" w14:textId="77777777" w:rsidTr="003D2441">
        <w:trPr>
          <w:trHeight w:val="305"/>
        </w:trPr>
        <w:tc>
          <w:tcPr>
            <w:tcW w:w="7089" w:type="dxa"/>
          </w:tcPr>
          <w:p w14:paraId="329E520E" w14:textId="77777777" w:rsidR="00126037" w:rsidRPr="000D4D59" w:rsidRDefault="00126037" w:rsidP="00126037">
            <w:pPr>
              <w:ind w:firstLine="284"/>
              <w:jc w:val="both"/>
              <w:rPr>
                <w:rFonts w:ascii="Times New Roman" w:hAnsi="Times New Roman" w:cs="Times New Roman"/>
              </w:rPr>
            </w:pPr>
            <w:r w:rsidRPr="000D4D59">
              <w:rPr>
                <w:rFonts w:ascii="Times New Roman" w:hAnsi="Times New Roman" w:cs="Times New Roman"/>
              </w:rPr>
              <w:t>балансова вартість активу - вартість активу, за якою він включається до підсумку балансу;</w:t>
            </w:r>
          </w:p>
        </w:tc>
        <w:tc>
          <w:tcPr>
            <w:tcW w:w="7938" w:type="dxa"/>
          </w:tcPr>
          <w:p w14:paraId="7EBEA671" w14:textId="77777777" w:rsidR="00126037" w:rsidRPr="000D4D59" w:rsidRDefault="00126037" w:rsidP="00126037">
            <w:pPr>
              <w:ind w:firstLine="284"/>
              <w:jc w:val="both"/>
              <w:rPr>
                <w:rFonts w:ascii="Times New Roman" w:hAnsi="Times New Roman" w:cs="Times New Roman"/>
              </w:rPr>
            </w:pPr>
            <w:r w:rsidRPr="000D4D59">
              <w:rPr>
                <w:rFonts w:ascii="Times New Roman" w:hAnsi="Times New Roman" w:cs="Times New Roman"/>
              </w:rPr>
              <w:t>балансова вартість активу - вартість активу, за якою він включається до підсумку балансу;</w:t>
            </w:r>
          </w:p>
        </w:tc>
      </w:tr>
      <w:tr w:rsidR="00126037" w:rsidRPr="00B85C0A" w14:paraId="01968AF9" w14:textId="77777777" w:rsidTr="003D2441">
        <w:trPr>
          <w:trHeight w:val="305"/>
        </w:trPr>
        <w:tc>
          <w:tcPr>
            <w:tcW w:w="7089" w:type="dxa"/>
          </w:tcPr>
          <w:p w14:paraId="496ED737" w14:textId="77777777" w:rsidR="00126037" w:rsidRPr="00B85C0A" w:rsidRDefault="00126037" w:rsidP="00126037">
            <w:pPr>
              <w:ind w:firstLine="284"/>
              <w:jc w:val="both"/>
              <w:rPr>
                <w:rFonts w:ascii="Times New Roman" w:hAnsi="Times New Roman" w:cs="Times New Roman"/>
              </w:rPr>
            </w:pPr>
            <w:r w:rsidRPr="000D4D59">
              <w:rPr>
                <w:rFonts w:ascii="Times New Roman" w:hAnsi="Times New Roman" w:cs="Times New Roman"/>
              </w:rPr>
              <w:t>інвестиційна нерухомість -</w:t>
            </w:r>
            <w:r w:rsidRPr="00B85C0A">
              <w:rPr>
                <w:rFonts w:ascii="Times New Roman" w:hAnsi="Times New Roman" w:cs="Times New Roman"/>
              </w:rPr>
              <w:t xml:space="preserve"> </w:t>
            </w:r>
            <w:r w:rsidRPr="00B85C0A">
              <w:rPr>
                <w:rFonts w:ascii="Times New Roman" w:hAnsi="Times New Roman" w:cs="Times New Roman"/>
                <w:strike/>
              </w:rPr>
              <w:t>земельні ділянки, будівлі, споруди, які розташовуються на землі, утримувані з метою отримання орендних платежів та/або збільшення власного капіталу</w:t>
            </w:r>
            <w:r w:rsidRPr="00B85C0A">
              <w:rPr>
                <w:rFonts w:ascii="Times New Roman" w:hAnsi="Times New Roman" w:cs="Times New Roman"/>
              </w:rPr>
              <w:t>;</w:t>
            </w:r>
          </w:p>
        </w:tc>
        <w:tc>
          <w:tcPr>
            <w:tcW w:w="7938" w:type="dxa"/>
          </w:tcPr>
          <w:p w14:paraId="79CD8AC7" w14:textId="4885D365" w:rsidR="00126037" w:rsidRPr="000D4D59" w:rsidRDefault="00126037" w:rsidP="000D4D59">
            <w:pPr>
              <w:ind w:firstLine="315"/>
              <w:jc w:val="both"/>
              <w:rPr>
                <w:rFonts w:ascii="Times New Roman" w:hAnsi="Times New Roman" w:cs="Times New Roman"/>
                <w:b/>
              </w:rPr>
            </w:pPr>
            <w:r w:rsidRPr="000D4D59">
              <w:rPr>
                <w:rFonts w:ascii="Times New Roman" w:hAnsi="Times New Roman" w:cs="Times New Roman"/>
                <w:b/>
              </w:rPr>
              <w:t>інвестиційна нерухомість – це нерухомість (земельна ділянка, споруда, будівля (частина будівлі) або їх поєднання), утримувана власником або орендарем відповідно до договору фінансової оренди з метою отримання орендних платежів та/або збільшення власного капіталу, а не для використання у виробництві та/або постачанні товарів, при наданні послуг та/або для адміністративних цілей, продажу</w:t>
            </w:r>
            <w:r w:rsidR="000D4D59">
              <w:rPr>
                <w:rFonts w:ascii="Times New Roman" w:hAnsi="Times New Roman" w:cs="Times New Roman"/>
                <w:b/>
              </w:rPr>
              <w:t xml:space="preserve"> в процесі звичайної діяльності;</w:t>
            </w:r>
          </w:p>
        </w:tc>
      </w:tr>
      <w:tr w:rsidR="00126037" w:rsidRPr="00B85C0A" w14:paraId="2320196F" w14:textId="77777777" w:rsidTr="003D2441">
        <w:trPr>
          <w:trHeight w:val="305"/>
        </w:trPr>
        <w:tc>
          <w:tcPr>
            <w:tcW w:w="7089" w:type="dxa"/>
          </w:tcPr>
          <w:p w14:paraId="075E2869" w14:textId="4616DE72" w:rsidR="00126037" w:rsidRPr="000D4D59" w:rsidRDefault="00126037" w:rsidP="00126037">
            <w:pPr>
              <w:ind w:firstLine="284"/>
              <w:jc w:val="both"/>
              <w:rPr>
                <w:rFonts w:ascii="Times New Roman" w:hAnsi="Times New Roman" w:cs="Times New Roman"/>
              </w:rPr>
            </w:pPr>
            <w:r w:rsidRPr="000D4D59">
              <w:rPr>
                <w:rFonts w:ascii="Times New Roman" w:hAnsi="Times New Roman" w:cs="Times New Roman"/>
              </w:rPr>
              <w:t xml:space="preserve">операційна нерухомість - </w:t>
            </w:r>
            <w:r w:rsidRPr="000D4D59">
              <w:rPr>
                <w:rFonts w:ascii="Times New Roman" w:hAnsi="Times New Roman" w:cs="Times New Roman"/>
                <w:strike/>
              </w:rPr>
              <w:t>закріплені за суб</w:t>
            </w:r>
            <w:r w:rsidR="00B85C0A" w:rsidRPr="000D4D59">
              <w:rPr>
                <w:rFonts w:ascii="Times New Roman" w:hAnsi="Times New Roman" w:cs="Times New Roman"/>
                <w:strike/>
              </w:rPr>
              <w:t>’</w:t>
            </w:r>
            <w:r w:rsidRPr="000D4D59">
              <w:rPr>
                <w:rFonts w:ascii="Times New Roman" w:hAnsi="Times New Roman" w:cs="Times New Roman"/>
                <w:strike/>
              </w:rPr>
              <w:t>єктом державного сектору або орендовані земельні ділянки, будівлі, споруди, які розташовуються на землі, утримувані з метою використання за призначенням у звичайній діяльності суб</w:t>
            </w:r>
            <w:r w:rsidR="00B85C0A" w:rsidRPr="000D4D59">
              <w:rPr>
                <w:rFonts w:ascii="Times New Roman" w:hAnsi="Times New Roman" w:cs="Times New Roman"/>
                <w:strike/>
              </w:rPr>
              <w:t>’</w:t>
            </w:r>
            <w:r w:rsidRPr="000D4D59">
              <w:rPr>
                <w:rFonts w:ascii="Times New Roman" w:hAnsi="Times New Roman" w:cs="Times New Roman"/>
                <w:strike/>
              </w:rPr>
              <w:t>єкта державного сектору і не приносять доходу у вигляді орендних платежів та/або збільшення власного капіталу</w:t>
            </w:r>
            <w:r w:rsidRPr="000D4D59">
              <w:rPr>
                <w:rFonts w:ascii="Times New Roman" w:hAnsi="Times New Roman" w:cs="Times New Roman"/>
              </w:rPr>
              <w:t>.</w:t>
            </w:r>
          </w:p>
        </w:tc>
        <w:tc>
          <w:tcPr>
            <w:tcW w:w="7938" w:type="dxa"/>
          </w:tcPr>
          <w:p w14:paraId="1A9DFD96" w14:textId="77777777" w:rsidR="00126037" w:rsidRPr="000D4D59" w:rsidRDefault="00126037" w:rsidP="00126037">
            <w:pPr>
              <w:ind w:firstLine="284"/>
              <w:jc w:val="both"/>
              <w:rPr>
                <w:rFonts w:ascii="Times New Roman" w:hAnsi="Times New Roman" w:cs="Times New Roman"/>
                <w:b/>
              </w:rPr>
            </w:pPr>
            <w:r w:rsidRPr="000D4D59">
              <w:rPr>
                <w:rFonts w:ascii="Times New Roman" w:hAnsi="Times New Roman" w:cs="Times New Roman"/>
                <w:b/>
              </w:rPr>
              <w:t>операційна нерухомість - нерухомість (земельна ділянка, споруда, будівля (частина будівлі) або їх поєднання), утримувана власником або орендарем відповідно до договору фінансової оренди з метою використання у виробництві та/або постачанні товарів, при наданні послуг та/або для адміністративних цілей.</w:t>
            </w:r>
          </w:p>
          <w:p w14:paraId="4240EF3B" w14:textId="40F53924" w:rsidR="00B85C0A" w:rsidRPr="000D4D59" w:rsidRDefault="00B85C0A" w:rsidP="00126037">
            <w:pPr>
              <w:ind w:firstLine="284"/>
              <w:jc w:val="both"/>
              <w:rPr>
                <w:rFonts w:ascii="Times New Roman" w:hAnsi="Times New Roman" w:cs="Times New Roman"/>
                <w:b/>
              </w:rPr>
            </w:pPr>
          </w:p>
        </w:tc>
      </w:tr>
      <w:tr w:rsidR="00126037" w:rsidRPr="00B85C0A" w14:paraId="6C7A1F76" w14:textId="77777777" w:rsidTr="003D2441">
        <w:trPr>
          <w:trHeight w:val="305"/>
        </w:trPr>
        <w:tc>
          <w:tcPr>
            <w:tcW w:w="7089" w:type="dxa"/>
          </w:tcPr>
          <w:p w14:paraId="217C8C98" w14:textId="77777777" w:rsidR="00126037" w:rsidRPr="00B85C0A" w:rsidRDefault="00126037" w:rsidP="00126037">
            <w:pPr>
              <w:ind w:firstLine="284"/>
              <w:rPr>
                <w:rFonts w:ascii="Times New Roman" w:hAnsi="Times New Roman" w:cs="Times New Roman"/>
              </w:rPr>
            </w:pPr>
            <w:r w:rsidRPr="00B85C0A">
              <w:rPr>
                <w:rFonts w:ascii="Times New Roman" w:hAnsi="Times New Roman" w:cs="Times New Roman"/>
              </w:rPr>
              <w:t>Пункт 5:</w:t>
            </w:r>
          </w:p>
          <w:p w14:paraId="422A71D2" w14:textId="47E6BED2" w:rsidR="00126037" w:rsidRPr="00B85C0A" w:rsidRDefault="00C31802" w:rsidP="00126037">
            <w:pPr>
              <w:ind w:firstLine="284"/>
              <w:jc w:val="both"/>
              <w:rPr>
                <w:rFonts w:ascii="Times New Roman" w:hAnsi="Times New Roman" w:cs="Times New Roman"/>
              </w:rPr>
            </w:pPr>
            <w:r w:rsidRPr="00B85C0A">
              <w:rPr>
                <w:rFonts w:ascii="Times New Roman" w:hAnsi="Times New Roman" w:cs="Times New Roman"/>
              </w:rPr>
              <w:t xml:space="preserve">5. </w:t>
            </w:r>
            <w:r w:rsidR="00126037" w:rsidRPr="00B85C0A">
              <w:rPr>
                <w:rFonts w:ascii="Times New Roman" w:hAnsi="Times New Roman" w:cs="Times New Roman"/>
              </w:rPr>
              <w:t>З метою бухгалтерського обліку не вважається інвестиційною нерухомістю:</w:t>
            </w:r>
          </w:p>
        </w:tc>
        <w:tc>
          <w:tcPr>
            <w:tcW w:w="7938" w:type="dxa"/>
          </w:tcPr>
          <w:p w14:paraId="715D4D84" w14:textId="77777777" w:rsidR="00126037" w:rsidRPr="00B85C0A" w:rsidRDefault="00126037" w:rsidP="00B85C0A">
            <w:pPr>
              <w:ind w:firstLine="284"/>
              <w:rPr>
                <w:rFonts w:ascii="Times New Roman" w:hAnsi="Times New Roman" w:cs="Times New Roman"/>
              </w:rPr>
            </w:pPr>
            <w:r w:rsidRPr="00B85C0A">
              <w:rPr>
                <w:rFonts w:ascii="Times New Roman" w:hAnsi="Times New Roman" w:cs="Times New Roman"/>
              </w:rPr>
              <w:t>Пункт 5:</w:t>
            </w:r>
          </w:p>
          <w:p w14:paraId="2373C50E" w14:textId="5606F5C2" w:rsidR="00C31802" w:rsidRPr="00B85C0A" w:rsidRDefault="00C31802" w:rsidP="00B85C0A">
            <w:pPr>
              <w:ind w:firstLine="284"/>
              <w:jc w:val="both"/>
              <w:rPr>
                <w:rFonts w:ascii="Times New Roman" w:hAnsi="Times New Roman" w:cs="Times New Roman"/>
              </w:rPr>
            </w:pPr>
            <w:r w:rsidRPr="00B85C0A">
              <w:rPr>
                <w:rFonts w:ascii="Times New Roman" w:hAnsi="Times New Roman" w:cs="Times New Roman"/>
              </w:rPr>
              <w:t xml:space="preserve">5. </w:t>
            </w:r>
            <w:r w:rsidR="00126037" w:rsidRPr="00B85C0A">
              <w:rPr>
                <w:rFonts w:ascii="Times New Roman" w:hAnsi="Times New Roman" w:cs="Times New Roman"/>
              </w:rPr>
              <w:t>З метою бухгалтерського обліку не вважається інвестиційною нерухомістю:</w:t>
            </w:r>
            <w:r w:rsidR="00B85C0A" w:rsidRPr="00B85C0A">
              <w:rPr>
                <w:rFonts w:ascii="Times New Roman" w:hAnsi="Times New Roman" w:cs="Times New Roman"/>
              </w:rPr>
              <w:t xml:space="preserve"> </w:t>
            </w:r>
          </w:p>
        </w:tc>
      </w:tr>
      <w:tr w:rsidR="00126037" w:rsidRPr="00B85C0A" w14:paraId="349A8E0C" w14:textId="77777777" w:rsidTr="003D2441">
        <w:trPr>
          <w:trHeight w:val="305"/>
        </w:trPr>
        <w:tc>
          <w:tcPr>
            <w:tcW w:w="7089" w:type="dxa"/>
          </w:tcPr>
          <w:p w14:paraId="2415F5D1"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5.1. Операційна нерухомість, а також нерухомість, що утримується для використання у майбутньому як операційна нерухомість.</w:t>
            </w:r>
          </w:p>
        </w:tc>
        <w:tc>
          <w:tcPr>
            <w:tcW w:w="7938" w:type="dxa"/>
          </w:tcPr>
          <w:p w14:paraId="798427D1" w14:textId="633F09E9" w:rsidR="00C31802" w:rsidRPr="00B85C0A" w:rsidRDefault="00126037" w:rsidP="001A595B">
            <w:pPr>
              <w:ind w:firstLine="284"/>
              <w:jc w:val="both"/>
              <w:rPr>
                <w:rFonts w:ascii="Times New Roman" w:hAnsi="Times New Roman" w:cs="Times New Roman"/>
              </w:rPr>
            </w:pPr>
            <w:r w:rsidRPr="00B85C0A">
              <w:rPr>
                <w:rFonts w:ascii="Times New Roman" w:hAnsi="Times New Roman" w:cs="Times New Roman"/>
              </w:rPr>
              <w:t xml:space="preserve">5.1. </w:t>
            </w:r>
            <w:r w:rsidR="001A595B">
              <w:rPr>
                <w:rFonts w:ascii="Times New Roman" w:hAnsi="Times New Roman" w:cs="Times New Roman"/>
              </w:rPr>
              <w:t>О</w:t>
            </w:r>
            <w:r w:rsidRPr="00B85C0A">
              <w:rPr>
                <w:rFonts w:ascii="Times New Roman" w:hAnsi="Times New Roman" w:cs="Times New Roman"/>
              </w:rPr>
              <w:t xml:space="preserve">пераційна нерухомість, а також нерухомість, що утримується для використання у майбутньому як операційна нерухомість </w:t>
            </w:r>
            <w:r w:rsidRPr="00B85C0A">
              <w:rPr>
                <w:rFonts w:ascii="Times New Roman" w:eastAsia="Times New Roman" w:hAnsi="Times New Roman" w:cs="Times New Roman"/>
                <w:b/>
                <w:spacing w:val="-1"/>
              </w:rPr>
              <w:t>або для майбутньої забудови та подальшого використання як операційна нерухомість</w:t>
            </w:r>
            <w:r w:rsidR="001A595B">
              <w:rPr>
                <w:rFonts w:ascii="Times New Roman" w:eastAsia="Times New Roman" w:hAnsi="Times New Roman" w:cs="Times New Roman"/>
                <w:b/>
                <w:spacing w:val="-1"/>
              </w:rPr>
              <w:t>.</w:t>
            </w:r>
            <w:r w:rsidR="00B85C0A" w:rsidRPr="00B85C0A">
              <w:rPr>
                <w:rFonts w:ascii="Times New Roman" w:eastAsia="Times New Roman" w:hAnsi="Times New Roman" w:cs="Times New Roman"/>
                <w:b/>
                <w:spacing w:val="-1"/>
              </w:rPr>
              <w:t xml:space="preserve"> </w:t>
            </w:r>
          </w:p>
        </w:tc>
      </w:tr>
      <w:tr w:rsidR="00126037" w:rsidRPr="00B85C0A" w14:paraId="078DC0A3" w14:textId="77777777" w:rsidTr="003D2441">
        <w:trPr>
          <w:trHeight w:val="305"/>
        </w:trPr>
        <w:tc>
          <w:tcPr>
            <w:tcW w:w="7089" w:type="dxa"/>
          </w:tcPr>
          <w:p w14:paraId="2848305D"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5.2. Нерухомість, що утримується з метою продажу за умов звичайної діяльності.</w:t>
            </w:r>
          </w:p>
        </w:tc>
        <w:tc>
          <w:tcPr>
            <w:tcW w:w="7938" w:type="dxa"/>
          </w:tcPr>
          <w:p w14:paraId="747416A1" w14:textId="41EA7C6A" w:rsidR="00C31802" w:rsidRPr="00B85C0A" w:rsidRDefault="00126037" w:rsidP="001A595B">
            <w:pPr>
              <w:ind w:firstLine="284"/>
              <w:jc w:val="both"/>
              <w:rPr>
                <w:rFonts w:ascii="Times New Roman" w:hAnsi="Times New Roman" w:cs="Times New Roman"/>
              </w:rPr>
            </w:pPr>
            <w:r w:rsidRPr="00B85C0A">
              <w:rPr>
                <w:rFonts w:ascii="Times New Roman" w:hAnsi="Times New Roman" w:cs="Times New Roman"/>
              </w:rPr>
              <w:t xml:space="preserve">5.2. </w:t>
            </w:r>
            <w:r w:rsidR="001A595B">
              <w:rPr>
                <w:rFonts w:ascii="Times New Roman" w:hAnsi="Times New Roman" w:cs="Times New Roman"/>
              </w:rPr>
              <w:t>Н</w:t>
            </w:r>
            <w:r w:rsidRPr="00B85C0A">
              <w:rPr>
                <w:rFonts w:ascii="Times New Roman" w:hAnsi="Times New Roman" w:cs="Times New Roman"/>
              </w:rPr>
              <w:t>ерухомість, що утримується з метою продажу за</w:t>
            </w:r>
            <w:r w:rsidR="00B85C0A" w:rsidRPr="00B85C0A">
              <w:rPr>
                <w:rFonts w:ascii="Times New Roman" w:hAnsi="Times New Roman" w:cs="Times New Roman"/>
              </w:rPr>
              <w:t xml:space="preserve"> умов звичайної діяльності</w:t>
            </w:r>
            <w:r w:rsidR="001A595B">
              <w:rPr>
                <w:rFonts w:ascii="Times New Roman" w:hAnsi="Times New Roman" w:cs="Times New Roman"/>
              </w:rPr>
              <w:t>.</w:t>
            </w:r>
          </w:p>
        </w:tc>
      </w:tr>
      <w:tr w:rsidR="00126037" w:rsidRPr="00B85C0A" w14:paraId="2DFF8E9F" w14:textId="77777777" w:rsidTr="003D2441">
        <w:trPr>
          <w:trHeight w:val="305"/>
        </w:trPr>
        <w:tc>
          <w:tcPr>
            <w:tcW w:w="7089" w:type="dxa"/>
          </w:tcPr>
          <w:p w14:paraId="6423ECE7"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 xml:space="preserve">5.3. Нерухомість, що перебуває в процесі будівництва або поліпшення </w:t>
            </w:r>
            <w:r w:rsidRPr="00B85C0A">
              <w:rPr>
                <w:rFonts w:ascii="Times New Roman" w:hAnsi="Times New Roman" w:cs="Times New Roman"/>
                <w:strike/>
              </w:rPr>
              <w:t>з метою використання її у майбутньому як інвестиційної нерухомості</w:t>
            </w:r>
            <w:r w:rsidRPr="00B85C0A">
              <w:rPr>
                <w:rFonts w:ascii="Times New Roman" w:hAnsi="Times New Roman" w:cs="Times New Roman"/>
              </w:rPr>
              <w:t>.</w:t>
            </w:r>
          </w:p>
        </w:tc>
        <w:tc>
          <w:tcPr>
            <w:tcW w:w="7938" w:type="dxa"/>
          </w:tcPr>
          <w:p w14:paraId="42C71106" w14:textId="0CE0B813" w:rsidR="00126037" w:rsidRPr="00B85C0A" w:rsidRDefault="00126037" w:rsidP="001A595B">
            <w:pPr>
              <w:ind w:firstLine="284"/>
              <w:jc w:val="both"/>
              <w:rPr>
                <w:rFonts w:ascii="Times New Roman" w:hAnsi="Times New Roman" w:cs="Times New Roman"/>
                <w:b/>
              </w:rPr>
            </w:pPr>
            <w:r w:rsidRPr="00B85C0A">
              <w:rPr>
                <w:rFonts w:ascii="Times New Roman" w:hAnsi="Times New Roman" w:cs="Times New Roman"/>
              </w:rPr>
              <w:t xml:space="preserve">5.3. </w:t>
            </w:r>
            <w:r w:rsidR="001A595B">
              <w:rPr>
                <w:rFonts w:ascii="Times New Roman" w:hAnsi="Times New Roman" w:cs="Times New Roman"/>
              </w:rPr>
              <w:t>Н</w:t>
            </w:r>
            <w:r w:rsidRPr="00B85C0A">
              <w:rPr>
                <w:rFonts w:ascii="Times New Roman" w:hAnsi="Times New Roman" w:cs="Times New Roman"/>
              </w:rPr>
              <w:t xml:space="preserve">ерухомість, що перебуває в процесі будівництва або поліпшення </w:t>
            </w:r>
            <w:r w:rsidRPr="00B85C0A">
              <w:rPr>
                <w:rFonts w:ascii="Times New Roman" w:hAnsi="Times New Roman" w:cs="Times New Roman"/>
                <w:b/>
              </w:rPr>
              <w:t>з метою продажу за умов звичайної діяльності</w:t>
            </w:r>
            <w:r w:rsidR="001A595B">
              <w:rPr>
                <w:rFonts w:ascii="Times New Roman" w:hAnsi="Times New Roman" w:cs="Times New Roman"/>
                <w:b/>
              </w:rPr>
              <w:t>.</w:t>
            </w:r>
          </w:p>
        </w:tc>
      </w:tr>
      <w:tr w:rsidR="00126037" w:rsidRPr="00B85C0A" w14:paraId="4B5A5498" w14:textId="77777777" w:rsidTr="003D2441">
        <w:trPr>
          <w:trHeight w:val="305"/>
        </w:trPr>
        <w:tc>
          <w:tcPr>
            <w:tcW w:w="7089" w:type="dxa"/>
          </w:tcPr>
          <w:p w14:paraId="400F22B5"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5.4. Нерухомість, що утримується для  надання соціальних послуг, яка також забезпечує надходження грошових коштів.</w:t>
            </w:r>
          </w:p>
        </w:tc>
        <w:tc>
          <w:tcPr>
            <w:tcW w:w="7938" w:type="dxa"/>
          </w:tcPr>
          <w:p w14:paraId="1FB35565" w14:textId="1C3A38F6" w:rsidR="00C31802" w:rsidRPr="00B85C0A" w:rsidRDefault="00126037" w:rsidP="000D4D59">
            <w:pPr>
              <w:ind w:firstLine="284"/>
              <w:jc w:val="both"/>
              <w:rPr>
                <w:rFonts w:ascii="Times New Roman" w:hAnsi="Times New Roman" w:cs="Times New Roman"/>
              </w:rPr>
            </w:pPr>
            <w:r w:rsidRPr="00B85C0A">
              <w:rPr>
                <w:rFonts w:ascii="Times New Roman" w:hAnsi="Times New Roman" w:cs="Times New Roman"/>
              </w:rPr>
              <w:t xml:space="preserve">5.4. </w:t>
            </w:r>
            <w:r w:rsidR="001A595B">
              <w:rPr>
                <w:rFonts w:ascii="Times New Roman" w:hAnsi="Times New Roman" w:cs="Times New Roman"/>
              </w:rPr>
              <w:t>Н</w:t>
            </w:r>
            <w:r w:rsidRPr="00B85C0A">
              <w:rPr>
                <w:rFonts w:ascii="Times New Roman" w:hAnsi="Times New Roman" w:cs="Times New Roman"/>
              </w:rPr>
              <w:t>ерухомість, що утримується для надання соціальних послуг, яка також забезпечує надходження грошових коштів</w:t>
            </w:r>
            <w:r w:rsidR="001A595B">
              <w:rPr>
                <w:rFonts w:ascii="Times New Roman" w:hAnsi="Times New Roman" w:cs="Times New Roman"/>
              </w:rPr>
              <w:t>.</w:t>
            </w:r>
            <w:r w:rsidR="00B85C0A" w:rsidRPr="00B85C0A">
              <w:rPr>
                <w:rFonts w:ascii="Times New Roman" w:hAnsi="Times New Roman" w:cs="Times New Roman"/>
              </w:rPr>
              <w:t xml:space="preserve"> </w:t>
            </w:r>
          </w:p>
        </w:tc>
      </w:tr>
      <w:tr w:rsidR="00126037" w:rsidRPr="00B85C0A" w14:paraId="102BB5CD" w14:textId="77777777" w:rsidTr="003D2441">
        <w:trPr>
          <w:trHeight w:val="305"/>
        </w:trPr>
        <w:tc>
          <w:tcPr>
            <w:tcW w:w="7089" w:type="dxa"/>
          </w:tcPr>
          <w:p w14:paraId="636C226F"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5.5. Нерухомість, що утримується у спеціальних цілях.</w:t>
            </w:r>
          </w:p>
        </w:tc>
        <w:tc>
          <w:tcPr>
            <w:tcW w:w="7938" w:type="dxa"/>
          </w:tcPr>
          <w:p w14:paraId="4671E6A6" w14:textId="30F3AC98" w:rsidR="00C31802" w:rsidRPr="00B85C0A" w:rsidRDefault="00126037" w:rsidP="001A595B">
            <w:pPr>
              <w:ind w:firstLine="284"/>
              <w:jc w:val="both"/>
              <w:rPr>
                <w:rFonts w:ascii="Times New Roman" w:hAnsi="Times New Roman" w:cs="Times New Roman"/>
              </w:rPr>
            </w:pPr>
            <w:r w:rsidRPr="00B85C0A">
              <w:rPr>
                <w:rFonts w:ascii="Times New Roman" w:hAnsi="Times New Roman" w:cs="Times New Roman"/>
              </w:rPr>
              <w:t xml:space="preserve">5.5. </w:t>
            </w:r>
            <w:r w:rsidR="001A595B">
              <w:rPr>
                <w:rFonts w:ascii="Times New Roman" w:hAnsi="Times New Roman" w:cs="Times New Roman"/>
              </w:rPr>
              <w:t>Н</w:t>
            </w:r>
            <w:r w:rsidRPr="00B85C0A">
              <w:rPr>
                <w:rFonts w:ascii="Times New Roman" w:hAnsi="Times New Roman" w:cs="Times New Roman"/>
              </w:rPr>
              <w:t>ерухомість, що утримується у спеціальних цілях</w:t>
            </w:r>
            <w:r w:rsidR="001A595B">
              <w:rPr>
                <w:rFonts w:ascii="Times New Roman" w:hAnsi="Times New Roman" w:cs="Times New Roman"/>
              </w:rPr>
              <w:t>.</w:t>
            </w:r>
          </w:p>
        </w:tc>
      </w:tr>
      <w:tr w:rsidR="00126037" w:rsidRPr="00B85C0A" w14:paraId="34581A75" w14:textId="77777777" w:rsidTr="003D2441">
        <w:trPr>
          <w:trHeight w:val="305"/>
        </w:trPr>
        <w:tc>
          <w:tcPr>
            <w:tcW w:w="7089" w:type="dxa"/>
          </w:tcPr>
          <w:p w14:paraId="77EA2707" w14:textId="20D2872C" w:rsidR="00126037" w:rsidRPr="00B85C0A" w:rsidRDefault="00126037" w:rsidP="0019709C">
            <w:pPr>
              <w:ind w:firstLine="284"/>
              <w:jc w:val="both"/>
              <w:rPr>
                <w:rFonts w:ascii="Times New Roman" w:hAnsi="Times New Roman" w:cs="Times New Roman"/>
                <w:b/>
              </w:rPr>
            </w:pPr>
            <w:r w:rsidRPr="00B85C0A">
              <w:rPr>
                <w:rFonts w:ascii="Times New Roman" w:hAnsi="Times New Roman" w:cs="Times New Roman"/>
                <w:b/>
              </w:rPr>
              <w:t>відсутн</w:t>
            </w:r>
            <w:r w:rsidR="0019709C" w:rsidRPr="00B85C0A">
              <w:rPr>
                <w:rFonts w:ascii="Times New Roman" w:hAnsi="Times New Roman" w:cs="Times New Roman"/>
                <w:b/>
              </w:rPr>
              <w:t>ій</w:t>
            </w:r>
          </w:p>
        </w:tc>
        <w:tc>
          <w:tcPr>
            <w:tcW w:w="7938" w:type="dxa"/>
          </w:tcPr>
          <w:p w14:paraId="20739162" w14:textId="60948667" w:rsidR="00126037" w:rsidRPr="00B85C0A" w:rsidRDefault="00126037" w:rsidP="001A595B">
            <w:pPr>
              <w:ind w:firstLine="284"/>
              <w:jc w:val="both"/>
              <w:rPr>
                <w:rFonts w:ascii="Times New Roman" w:hAnsi="Times New Roman" w:cs="Times New Roman"/>
              </w:rPr>
            </w:pPr>
            <w:r w:rsidRPr="00B85C0A">
              <w:rPr>
                <w:rFonts w:ascii="Times New Roman" w:hAnsi="Times New Roman" w:cs="Times New Roman"/>
                <w:b/>
              </w:rPr>
              <w:t xml:space="preserve">5.6. </w:t>
            </w:r>
            <w:r w:rsidR="001A595B">
              <w:rPr>
                <w:rFonts w:ascii="Times New Roman" w:hAnsi="Times New Roman" w:cs="Times New Roman"/>
                <w:b/>
              </w:rPr>
              <w:t>Н</w:t>
            </w:r>
            <w:r w:rsidRPr="00B85C0A">
              <w:rPr>
                <w:rFonts w:ascii="Times New Roman" w:hAnsi="Times New Roman" w:cs="Times New Roman"/>
                <w:b/>
              </w:rPr>
              <w:t>ерухомість, надана в оренду іншому суб</w:t>
            </w:r>
            <w:r w:rsidR="00B85C0A" w:rsidRPr="00B85C0A">
              <w:rPr>
                <w:rFonts w:ascii="Times New Roman" w:hAnsi="Times New Roman" w:cs="Times New Roman"/>
                <w:b/>
              </w:rPr>
              <w:t>’</w:t>
            </w:r>
            <w:r w:rsidRPr="00B85C0A">
              <w:rPr>
                <w:rFonts w:ascii="Times New Roman" w:hAnsi="Times New Roman" w:cs="Times New Roman"/>
                <w:b/>
              </w:rPr>
              <w:t>єкту господарювання за угодою про фінансову оренду</w:t>
            </w:r>
            <w:r w:rsidR="001A595B">
              <w:rPr>
                <w:rFonts w:ascii="Times New Roman" w:hAnsi="Times New Roman" w:cs="Times New Roman"/>
                <w:b/>
              </w:rPr>
              <w:t>.</w:t>
            </w:r>
          </w:p>
        </w:tc>
      </w:tr>
      <w:tr w:rsidR="00126037" w:rsidRPr="00B85C0A" w14:paraId="3E7A05CD" w14:textId="77777777" w:rsidTr="003D2441">
        <w:trPr>
          <w:trHeight w:val="305"/>
        </w:trPr>
        <w:tc>
          <w:tcPr>
            <w:tcW w:w="7089" w:type="dxa"/>
          </w:tcPr>
          <w:p w14:paraId="32FBB759" w14:textId="648422D3" w:rsidR="00126037" w:rsidRPr="00B85C0A" w:rsidRDefault="00126037" w:rsidP="0019709C">
            <w:pPr>
              <w:ind w:firstLine="284"/>
              <w:jc w:val="both"/>
              <w:rPr>
                <w:rFonts w:ascii="Times New Roman" w:hAnsi="Times New Roman" w:cs="Times New Roman"/>
                <w:b/>
              </w:rPr>
            </w:pPr>
            <w:r w:rsidRPr="00B85C0A">
              <w:rPr>
                <w:rFonts w:ascii="Times New Roman" w:hAnsi="Times New Roman" w:cs="Times New Roman"/>
                <w:b/>
              </w:rPr>
              <w:t>відсутн</w:t>
            </w:r>
            <w:r w:rsidR="0019709C" w:rsidRPr="00B85C0A">
              <w:rPr>
                <w:rFonts w:ascii="Times New Roman" w:hAnsi="Times New Roman" w:cs="Times New Roman"/>
                <w:b/>
              </w:rPr>
              <w:t>ій</w:t>
            </w:r>
          </w:p>
        </w:tc>
        <w:tc>
          <w:tcPr>
            <w:tcW w:w="7938" w:type="dxa"/>
          </w:tcPr>
          <w:p w14:paraId="0074D439" w14:textId="77777777" w:rsidR="00126037" w:rsidRDefault="00126037" w:rsidP="001A595B">
            <w:pPr>
              <w:ind w:firstLine="284"/>
              <w:jc w:val="both"/>
              <w:rPr>
                <w:rFonts w:ascii="Times New Roman" w:hAnsi="Times New Roman" w:cs="Times New Roman"/>
                <w:b/>
              </w:rPr>
            </w:pPr>
            <w:r w:rsidRPr="00B85C0A">
              <w:rPr>
                <w:rFonts w:ascii="Times New Roman" w:hAnsi="Times New Roman" w:cs="Times New Roman"/>
                <w:b/>
              </w:rPr>
              <w:t>5.7</w:t>
            </w:r>
            <w:r w:rsidR="000D4D59">
              <w:rPr>
                <w:rFonts w:ascii="Times New Roman" w:hAnsi="Times New Roman" w:cs="Times New Roman"/>
                <w:b/>
              </w:rPr>
              <w:t>.</w:t>
            </w:r>
            <w:r w:rsidRPr="00B85C0A">
              <w:rPr>
                <w:rFonts w:ascii="Times New Roman" w:hAnsi="Times New Roman" w:cs="Times New Roman"/>
                <w:b/>
              </w:rPr>
              <w:t xml:space="preserve"> </w:t>
            </w:r>
            <w:r w:rsidR="001A595B">
              <w:rPr>
                <w:rFonts w:ascii="Times New Roman" w:hAnsi="Times New Roman" w:cs="Times New Roman"/>
                <w:b/>
              </w:rPr>
              <w:t>О</w:t>
            </w:r>
            <w:r w:rsidRPr="00B85C0A">
              <w:rPr>
                <w:rFonts w:ascii="Times New Roman" w:hAnsi="Times New Roman" w:cs="Times New Roman"/>
                <w:b/>
              </w:rPr>
              <w:t>пераційна нерухомість, стосовно якої очікується вибуття</w:t>
            </w:r>
            <w:r w:rsidR="00B85C0A" w:rsidRPr="00B85C0A">
              <w:rPr>
                <w:rFonts w:ascii="Times New Roman" w:hAnsi="Times New Roman" w:cs="Times New Roman"/>
                <w:b/>
              </w:rPr>
              <w:t>.</w:t>
            </w:r>
          </w:p>
          <w:p w14:paraId="7DB5A330" w14:textId="19AF985D" w:rsidR="000D4D59" w:rsidRPr="00B85C0A" w:rsidRDefault="000D4D59" w:rsidP="001A595B">
            <w:pPr>
              <w:ind w:firstLine="284"/>
              <w:jc w:val="both"/>
              <w:rPr>
                <w:rFonts w:ascii="Times New Roman" w:hAnsi="Times New Roman" w:cs="Times New Roman"/>
                <w:b/>
              </w:rPr>
            </w:pPr>
          </w:p>
        </w:tc>
      </w:tr>
      <w:tr w:rsidR="00126037" w:rsidRPr="00B85C0A" w14:paraId="2FF04EFE" w14:textId="77777777" w:rsidTr="003D2441">
        <w:trPr>
          <w:trHeight w:val="305"/>
        </w:trPr>
        <w:tc>
          <w:tcPr>
            <w:tcW w:w="7089" w:type="dxa"/>
          </w:tcPr>
          <w:p w14:paraId="6A3D5DC4" w14:textId="33265F5C"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lastRenderedPageBreak/>
              <w:t>відсутні</w:t>
            </w:r>
            <w:r w:rsidR="0019709C" w:rsidRPr="00B85C0A">
              <w:rPr>
                <w:rFonts w:ascii="Times New Roman" w:hAnsi="Times New Roman" w:cs="Times New Roman"/>
                <w:b/>
              </w:rPr>
              <w:t>й</w:t>
            </w:r>
          </w:p>
        </w:tc>
        <w:tc>
          <w:tcPr>
            <w:tcW w:w="7938" w:type="dxa"/>
          </w:tcPr>
          <w:p w14:paraId="5AAEFAC7" w14:textId="7345167B" w:rsidR="00126037" w:rsidRPr="00B85C0A" w:rsidRDefault="00126037" w:rsidP="00B85C0A">
            <w:pPr>
              <w:ind w:firstLine="284"/>
              <w:jc w:val="both"/>
              <w:rPr>
                <w:rFonts w:ascii="Times New Roman" w:hAnsi="Times New Roman" w:cs="Times New Roman"/>
                <w:b/>
              </w:rPr>
            </w:pPr>
            <w:r w:rsidRPr="00B85C0A">
              <w:rPr>
                <w:rFonts w:ascii="Times New Roman" w:hAnsi="Times New Roman" w:cs="Times New Roman"/>
                <w:b/>
              </w:rPr>
              <w:t>Приклади інвестиційної нерухомості:</w:t>
            </w:r>
            <w:r w:rsidR="00C31802" w:rsidRPr="00B85C0A">
              <w:rPr>
                <w:rFonts w:ascii="Times New Roman" w:hAnsi="Times New Roman" w:cs="Times New Roman"/>
                <w:b/>
              </w:rPr>
              <w:t xml:space="preserve"> </w:t>
            </w:r>
          </w:p>
        </w:tc>
      </w:tr>
      <w:tr w:rsidR="00126037" w:rsidRPr="00B85C0A" w14:paraId="28181C70" w14:textId="77777777" w:rsidTr="003D2441">
        <w:trPr>
          <w:trHeight w:val="305"/>
        </w:trPr>
        <w:tc>
          <w:tcPr>
            <w:tcW w:w="7089" w:type="dxa"/>
          </w:tcPr>
          <w:p w14:paraId="31132FA1" w14:textId="67622EAF"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t>відсутні</w:t>
            </w:r>
            <w:r w:rsidR="0019709C" w:rsidRPr="00B85C0A">
              <w:rPr>
                <w:rFonts w:ascii="Times New Roman" w:hAnsi="Times New Roman" w:cs="Times New Roman"/>
                <w:b/>
              </w:rPr>
              <w:t>й</w:t>
            </w:r>
          </w:p>
        </w:tc>
        <w:tc>
          <w:tcPr>
            <w:tcW w:w="7938" w:type="dxa"/>
          </w:tcPr>
          <w:p w14:paraId="33F6378F" w14:textId="4F847E99" w:rsidR="00126037" w:rsidRPr="00B85C0A" w:rsidRDefault="00126037" w:rsidP="00B85C0A">
            <w:pPr>
              <w:ind w:firstLine="284"/>
              <w:jc w:val="both"/>
              <w:rPr>
                <w:rFonts w:ascii="Times New Roman" w:hAnsi="Times New Roman" w:cs="Times New Roman"/>
                <w:b/>
              </w:rPr>
            </w:pPr>
            <w:r w:rsidRPr="00B85C0A">
              <w:rPr>
                <w:rFonts w:ascii="Times New Roman" w:hAnsi="Times New Roman" w:cs="Times New Roman"/>
                <w:b/>
              </w:rPr>
              <w:t xml:space="preserve">земельна ділянка, утримувана довгостроково для збільшення власного капіталу, а не </w:t>
            </w:r>
            <w:proofErr w:type="spellStart"/>
            <w:r w:rsidRPr="00B85C0A">
              <w:rPr>
                <w:rFonts w:ascii="Times New Roman" w:hAnsi="Times New Roman" w:cs="Times New Roman"/>
                <w:b/>
              </w:rPr>
              <w:t>короткостроково</w:t>
            </w:r>
            <w:proofErr w:type="spellEnd"/>
            <w:r w:rsidRPr="00B85C0A">
              <w:rPr>
                <w:rFonts w:ascii="Times New Roman" w:hAnsi="Times New Roman" w:cs="Times New Roman"/>
                <w:b/>
              </w:rPr>
              <w:t xml:space="preserve"> для продажу у процесі звичайної діяльності;</w:t>
            </w:r>
            <w:r w:rsidR="00C31802" w:rsidRPr="00B85C0A">
              <w:rPr>
                <w:rFonts w:ascii="Times New Roman" w:hAnsi="Times New Roman" w:cs="Times New Roman"/>
                <w:b/>
              </w:rPr>
              <w:t xml:space="preserve"> </w:t>
            </w:r>
          </w:p>
        </w:tc>
      </w:tr>
      <w:tr w:rsidR="00126037" w:rsidRPr="00B85C0A" w14:paraId="2837050B" w14:textId="77777777" w:rsidTr="003D2441">
        <w:trPr>
          <w:trHeight w:val="305"/>
        </w:trPr>
        <w:tc>
          <w:tcPr>
            <w:tcW w:w="7089" w:type="dxa"/>
          </w:tcPr>
          <w:p w14:paraId="4007B919" w14:textId="7C725B11"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t>відсутні</w:t>
            </w:r>
            <w:r w:rsidR="0019709C" w:rsidRPr="00B85C0A">
              <w:rPr>
                <w:rFonts w:ascii="Times New Roman" w:hAnsi="Times New Roman" w:cs="Times New Roman"/>
                <w:b/>
              </w:rPr>
              <w:t>й</w:t>
            </w:r>
          </w:p>
        </w:tc>
        <w:tc>
          <w:tcPr>
            <w:tcW w:w="7938" w:type="dxa"/>
          </w:tcPr>
          <w:p w14:paraId="0DB12240" w14:textId="42A53525" w:rsidR="00126037" w:rsidRPr="00B85C0A" w:rsidRDefault="00126037" w:rsidP="00B85C0A">
            <w:pPr>
              <w:ind w:firstLine="284"/>
              <w:jc w:val="both"/>
              <w:rPr>
                <w:rFonts w:ascii="Times New Roman" w:hAnsi="Times New Roman" w:cs="Times New Roman"/>
                <w:b/>
              </w:rPr>
            </w:pPr>
            <w:r w:rsidRPr="00B85C0A">
              <w:rPr>
                <w:rFonts w:ascii="Times New Roman" w:hAnsi="Times New Roman" w:cs="Times New Roman"/>
                <w:b/>
              </w:rPr>
              <w:t>земельна ділянка, утримувана для використання в майбутньому, мету використання якої ще не</w:t>
            </w:r>
            <w:r w:rsidR="007C7E40">
              <w:rPr>
                <w:rFonts w:ascii="Times New Roman" w:hAnsi="Times New Roman" w:cs="Times New Roman"/>
                <w:b/>
              </w:rPr>
              <w:t xml:space="preserve"> </w:t>
            </w:r>
            <w:bookmarkStart w:id="0" w:name="_GoBack"/>
            <w:bookmarkEnd w:id="0"/>
            <w:r w:rsidRPr="00B85C0A">
              <w:rPr>
                <w:rFonts w:ascii="Times New Roman" w:hAnsi="Times New Roman" w:cs="Times New Roman"/>
                <w:b/>
              </w:rPr>
              <w:t>визначено. Якщо суб</w:t>
            </w:r>
            <w:r w:rsidR="00B85C0A" w:rsidRPr="00B85C0A">
              <w:rPr>
                <w:rFonts w:ascii="Times New Roman" w:hAnsi="Times New Roman" w:cs="Times New Roman"/>
                <w:b/>
              </w:rPr>
              <w:t>’</w:t>
            </w:r>
            <w:r w:rsidRPr="00B85C0A">
              <w:rPr>
                <w:rFonts w:ascii="Times New Roman" w:hAnsi="Times New Roman" w:cs="Times New Roman"/>
                <w:b/>
              </w:rPr>
              <w:t>єкт державного сектору ще не визначив, чи буде земельна ділянка використовуватися як операційна нерухомість, чи для продажу у короткостроковій перспективі у процесі звичайної діяльності, тоді така земельна ділянка вважається утримуваною для збільшення власного капіталу;</w:t>
            </w:r>
            <w:r w:rsidR="00C31802" w:rsidRPr="00B85C0A">
              <w:rPr>
                <w:rFonts w:ascii="Times New Roman" w:hAnsi="Times New Roman" w:cs="Times New Roman"/>
                <w:b/>
              </w:rPr>
              <w:t xml:space="preserve"> </w:t>
            </w:r>
          </w:p>
        </w:tc>
      </w:tr>
      <w:tr w:rsidR="00126037" w:rsidRPr="00B85C0A" w14:paraId="788E24DE" w14:textId="77777777" w:rsidTr="003D2441">
        <w:trPr>
          <w:trHeight w:val="305"/>
        </w:trPr>
        <w:tc>
          <w:tcPr>
            <w:tcW w:w="7089" w:type="dxa"/>
          </w:tcPr>
          <w:p w14:paraId="61C933B0" w14:textId="28897F52"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t>відсутні</w:t>
            </w:r>
            <w:r w:rsidR="0019709C" w:rsidRPr="00B85C0A">
              <w:rPr>
                <w:rFonts w:ascii="Times New Roman" w:hAnsi="Times New Roman" w:cs="Times New Roman"/>
                <w:b/>
              </w:rPr>
              <w:t>й</w:t>
            </w:r>
          </w:p>
        </w:tc>
        <w:tc>
          <w:tcPr>
            <w:tcW w:w="7938" w:type="dxa"/>
          </w:tcPr>
          <w:p w14:paraId="2A3E1B6E" w14:textId="4F56A43B" w:rsidR="00126037" w:rsidRPr="00B85C0A" w:rsidRDefault="00126037" w:rsidP="00B85C0A">
            <w:pPr>
              <w:ind w:firstLine="284"/>
              <w:jc w:val="both"/>
              <w:rPr>
                <w:rFonts w:ascii="Times New Roman" w:hAnsi="Times New Roman" w:cs="Times New Roman"/>
                <w:b/>
              </w:rPr>
            </w:pPr>
            <w:r w:rsidRPr="00B85C0A">
              <w:rPr>
                <w:rFonts w:ascii="Times New Roman" w:hAnsi="Times New Roman" w:cs="Times New Roman"/>
                <w:b/>
              </w:rPr>
              <w:t>будівля, яка є власністю суб</w:t>
            </w:r>
            <w:r w:rsidR="00B85C0A" w:rsidRPr="00B85C0A">
              <w:rPr>
                <w:rFonts w:ascii="Times New Roman" w:hAnsi="Times New Roman" w:cs="Times New Roman"/>
                <w:b/>
              </w:rPr>
              <w:t>’</w:t>
            </w:r>
            <w:r w:rsidRPr="00B85C0A">
              <w:rPr>
                <w:rFonts w:ascii="Times New Roman" w:hAnsi="Times New Roman" w:cs="Times New Roman"/>
                <w:b/>
              </w:rPr>
              <w:t>єкта державного сектору (або як право користування будівлею, утримуваною суб</w:t>
            </w:r>
            <w:r w:rsidR="00B85C0A" w:rsidRPr="00B85C0A">
              <w:rPr>
                <w:rFonts w:ascii="Times New Roman" w:hAnsi="Times New Roman" w:cs="Times New Roman"/>
                <w:b/>
              </w:rPr>
              <w:t>’</w:t>
            </w:r>
            <w:r w:rsidRPr="00B85C0A">
              <w:rPr>
                <w:rFonts w:ascii="Times New Roman" w:hAnsi="Times New Roman" w:cs="Times New Roman"/>
                <w:b/>
              </w:rPr>
              <w:t>єктом державного сектору) та надана в оренду за одним або кількома договорами про операційну оренду;</w:t>
            </w:r>
            <w:r w:rsidR="00C31802" w:rsidRPr="00B85C0A">
              <w:rPr>
                <w:rFonts w:ascii="Times New Roman" w:hAnsi="Times New Roman" w:cs="Times New Roman"/>
                <w:b/>
              </w:rPr>
              <w:t xml:space="preserve"> </w:t>
            </w:r>
          </w:p>
        </w:tc>
      </w:tr>
      <w:tr w:rsidR="00126037" w:rsidRPr="00B85C0A" w14:paraId="3D925F9B" w14:textId="77777777" w:rsidTr="003D2441">
        <w:trPr>
          <w:trHeight w:val="305"/>
        </w:trPr>
        <w:tc>
          <w:tcPr>
            <w:tcW w:w="7089" w:type="dxa"/>
          </w:tcPr>
          <w:p w14:paraId="00294885" w14:textId="1AEF698E"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t>відсутні</w:t>
            </w:r>
            <w:r w:rsidR="0019709C" w:rsidRPr="00B85C0A">
              <w:rPr>
                <w:rFonts w:ascii="Times New Roman" w:hAnsi="Times New Roman" w:cs="Times New Roman"/>
                <w:b/>
              </w:rPr>
              <w:t>й</w:t>
            </w:r>
          </w:p>
        </w:tc>
        <w:tc>
          <w:tcPr>
            <w:tcW w:w="7938" w:type="dxa"/>
          </w:tcPr>
          <w:p w14:paraId="4ACFD123" w14:textId="6DAF5654" w:rsidR="00126037" w:rsidRPr="00B85C0A" w:rsidRDefault="00126037" w:rsidP="00B85C0A">
            <w:pPr>
              <w:ind w:firstLine="284"/>
              <w:jc w:val="both"/>
              <w:rPr>
                <w:rFonts w:ascii="Times New Roman" w:hAnsi="Times New Roman" w:cs="Times New Roman"/>
                <w:b/>
              </w:rPr>
            </w:pPr>
            <w:r w:rsidRPr="00B85C0A">
              <w:rPr>
                <w:rFonts w:ascii="Times New Roman" w:hAnsi="Times New Roman" w:cs="Times New Roman"/>
                <w:b/>
              </w:rPr>
              <w:t>будівля, яка не зайнята, але утримується для надання в оренду за одним або кількома договорами про операційну оренду</w:t>
            </w:r>
            <w:r w:rsidR="000D4D59">
              <w:rPr>
                <w:rFonts w:ascii="Times New Roman" w:hAnsi="Times New Roman" w:cs="Times New Roman"/>
                <w:b/>
              </w:rPr>
              <w:t>.</w:t>
            </w:r>
          </w:p>
          <w:p w14:paraId="2196F5BF" w14:textId="77777777" w:rsidR="00126037" w:rsidRPr="00B85C0A" w:rsidRDefault="00126037" w:rsidP="00B85C0A">
            <w:pPr>
              <w:ind w:firstLine="284"/>
              <w:jc w:val="both"/>
              <w:rPr>
                <w:rFonts w:ascii="Times New Roman" w:hAnsi="Times New Roman" w:cs="Times New Roman"/>
                <w:b/>
              </w:rPr>
            </w:pPr>
          </w:p>
        </w:tc>
      </w:tr>
      <w:tr w:rsidR="00126037" w:rsidRPr="00B85C0A" w14:paraId="6AC1F1EA" w14:textId="77777777" w:rsidTr="003D2441">
        <w:trPr>
          <w:trHeight w:val="305"/>
        </w:trPr>
        <w:tc>
          <w:tcPr>
            <w:tcW w:w="7089" w:type="dxa"/>
          </w:tcPr>
          <w:p w14:paraId="336A9799"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Пункт 6:</w:t>
            </w:r>
          </w:p>
          <w:p w14:paraId="1B469DB4" w14:textId="647A2A0E" w:rsidR="00126037" w:rsidRPr="00B85C0A" w:rsidRDefault="00C31802" w:rsidP="00126037">
            <w:pPr>
              <w:ind w:firstLine="284"/>
              <w:jc w:val="both"/>
              <w:rPr>
                <w:rFonts w:ascii="Times New Roman" w:hAnsi="Times New Roman" w:cs="Times New Roman"/>
              </w:rPr>
            </w:pPr>
            <w:r w:rsidRPr="00B85C0A">
              <w:rPr>
                <w:rFonts w:ascii="Times New Roman" w:hAnsi="Times New Roman" w:cs="Times New Roman"/>
              </w:rPr>
              <w:t xml:space="preserve">6. </w:t>
            </w:r>
            <w:r w:rsidR="00126037" w:rsidRPr="00B85C0A">
              <w:rPr>
                <w:rFonts w:ascii="Times New Roman" w:hAnsi="Times New Roman" w:cs="Times New Roman"/>
              </w:rPr>
              <w:t xml:space="preserve">Якщо </w:t>
            </w:r>
            <w:r w:rsidR="00126037" w:rsidRPr="00B85C0A">
              <w:rPr>
                <w:rFonts w:ascii="Times New Roman" w:hAnsi="Times New Roman" w:cs="Times New Roman"/>
                <w:strike/>
              </w:rPr>
              <w:t>певний об</w:t>
            </w:r>
            <w:r w:rsidR="00B85C0A" w:rsidRPr="00B85C0A">
              <w:rPr>
                <w:rFonts w:ascii="Times New Roman" w:hAnsi="Times New Roman" w:cs="Times New Roman"/>
                <w:strike/>
              </w:rPr>
              <w:t>’</w:t>
            </w:r>
            <w:r w:rsidR="00126037" w:rsidRPr="00B85C0A">
              <w:rPr>
                <w:rFonts w:ascii="Times New Roman" w:hAnsi="Times New Roman" w:cs="Times New Roman"/>
                <w:strike/>
              </w:rPr>
              <w:t>єкт основних засобів</w:t>
            </w:r>
            <w:r w:rsidR="00126037" w:rsidRPr="00B85C0A">
              <w:rPr>
                <w:rFonts w:ascii="Times New Roman" w:hAnsi="Times New Roman" w:cs="Times New Roman"/>
              </w:rPr>
              <w:t xml:space="preserve"> уключає частину, яка утримується з метою отримання орендної плати та/або для збільшення власного капіталу, та іншу частину, що є операційною нерухомістю, і ці частини можуть бути відчужені окремо (або окремо надані в </w:t>
            </w:r>
            <w:r w:rsidR="00126037" w:rsidRPr="00B85C0A">
              <w:rPr>
                <w:rFonts w:ascii="Times New Roman" w:hAnsi="Times New Roman" w:cs="Times New Roman"/>
              </w:rPr>
              <w:br/>
              <w:t>оренду згідно з договором про фінансову оренду), то ці частини відображаються як окремі інвентарні об</w:t>
            </w:r>
            <w:r w:rsidR="00B85C0A" w:rsidRPr="00B85C0A">
              <w:rPr>
                <w:rFonts w:ascii="Times New Roman" w:hAnsi="Times New Roman" w:cs="Times New Roman"/>
              </w:rPr>
              <w:t>’</w:t>
            </w:r>
            <w:r w:rsidR="00126037" w:rsidRPr="00B85C0A">
              <w:rPr>
                <w:rFonts w:ascii="Times New Roman" w:hAnsi="Times New Roman" w:cs="Times New Roman"/>
              </w:rPr>
              <w:t xml:space="preserve">єкти. Якщо ці частини не можуть бути відчужені окремо, </w:t>
            </w:r>
            <w:r w:rsidR="00126037" w:rsidRPr="00B85C0A">
              <w:rPr>
                <w:rFonts w:ascii="Times New Roman" w:hAnsi="Times New Roman" w:cs="Times New Roman"/>
                <w:strike/>
              </w:rPr>
              <w:t>об</w:t>
            </w:r>
            <w:r w:rsidR="00B85C0A" w:rsidRPr="00B85C0A">
              <w:rPr>
                <w:rFonts w:ascii="Times New Roman" w:hAnsi="Times New Roman" w:cs="Times New Roman"/>
                <w:strike/>
              </w:rPr>
              <w:t>’</w:t>
            </w:r>
            <w:r w:rsidR="00126037" w:rsidRPr="00B85C0A">
              <w:rPr>
                <w:rFonts w:ascii="Times New Roman" w:hAnsi="Times New Roman" w:cs="Times New Roman"/>
                <w:strike/>
              </w:rPr>
              <w:t>єкт основних засобів</w:t>
            </w:r>
            <w:r w:rsidR="00126037" w:rsidRPr="00B85C0A">
              <w:rPr>
                <w:rFonts w:ascii="Times New Roman" w:hAnsi="Times New Roman" w:cs="Times New Roman"/>
              </w:rPr>
              <w:t xml:space="preserve"> визнається інвестиційною нерухомістю за умови її використання переважно з </w:t>
            </w:r>
            <w:r w:rsidR="00126037" w:rsidRPr="00B85C0A">
              <w:rPr>
                <w:rFonts w:ascii="Times New Roman" w:hAnsi="Times New Roman" w:cs="Times New Roman"/>
              </w:rPr>
              <w:br/>
              <w:t>метою отримання орендної плати та/або для збільшення власного капіталу.</w:t>
            </w:r>
          </w:p>
          <w:p w14:paraId="7F1CC30D" w14:textId="1A44EDCF"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 xml:space="preserve">За наявності ознак, за яких </w:t>
            </w:r>
            <w:r w:rsidRPr="00B85C0A">
              <w:rPr>
                <w:rFonts w:ascii="Times New Roman" w:hAnsi="Times New Roman" w:cs="Times New Roman"/>
                <w:strike/>
              </w:rPr>
              <w:t>об</w:t>
            </w:r>
            <w:r w:rsidR="00B85C0A" w:rsidRPr="00B85C0A">
              <w:rPr>
                <w:rFonts w:ascii="Times New Roman" w:hAnsi="Times New Roman" w:cs="Times New Roman"/>
                <w:strike/>
              </w:rPr>
              <w:t>’</w:t>
            </w:r>
            <w:r w:rsidRPr="00B85C0A">
              <w:rPr>
                <w:rFonts w:ascii="Times New Roman" w:hAnsi="Times New Roman" w:cs="Times New Roman"/>
                <w:strike/>
              </w:rPr>
              <w:t>єкт основних засобів</w:t>
            </w:r>
            <w:r w:rsidRPr="00B85C0A">
              <w:rPr>
                <w:rFonts w:ascii="Times New Roman" w:hAnsi="Times New Roman" w:cs="Times New Roman"/>
              </w:rPr>
              <w:t xml:space="preserve"> може бути </w:t>
            </w:r>
            <w:r w:rsidRPr="00B85C0A">
              <w:rPr>
                <w:rFonts w:ascii="Times New Roman" w:hAnsi="Times New Roman" w:cs="Times New Roman"/>
              </w:rPr>
              <w:br/>
            </w:r>
            <w:r w:rsidRPr="00B85C0A">
              <w:rPr>
                <w:rFonts w:ascii="Times New Roman" w:hAnsi="Times New Roman" w:cs="Times New Roman"/>
                <w:strike/>
              </w:rPr>
              <w:t>віднесеним</w:t>
            </w:r>
            <w:r w:rsidRPr="00B85C0A">
              <w:rPr>
                <w:rFonts w:ascii="Times New Roman" w:hAnsi="Times New Roman" w:cs="Times New Roman"/>
              </w:rPr>
              <w:t xml:space="preserve"> і до операційної  нерухомості,  і до інвестиційної нерухомості, суб</w:t>
            </w:r>
            <w:r w:rsidR="00B85C0A" w:rsidRPr="00B85C0A">
              <w:rPr>
                <w:rFonts w:ascii="Times New Roman" w:hAnsi="Times New Roman" w:cs="Times New Roman"/>
              </w:rPr>
              <w:t>’</w:t>
            </w:r>
            <w:r w:rsidRPr="00B85C0A">
              <w:rPr>
                <w:rFonts w:ascii="Times New Roman" w:hAnsi="Times New Roman" w:cs="Times New Roman"/>
              </w:rPr>
              <w:t>єкт державного сектору розробляє критерії щодо їх розмежування.</w:t>
            </w:r>
          </w:p>
        </w:tc>
        <w:tc>
          <w:tcPr>
            <w:tcW w:w="7938" w:type="dxa"/>
          </w:tcPr>
          <w:p w14:paraId="0D73C090"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Пункт 6:</w:t>
            </w:r>
          </w:p>
          <w:p w14:paraId="2CAF0B16" w14:textId="1EA99BF8" w:rsidR="00126037" w:rsidRPr="00B85C0A" w:rsidRDefault="00C31802" w:rsidP="00126037">
            <w:pPr>
              <w:ind w:firstLine="284"/>
              <w:jc w:val="both"/>
              <w:rPr>
                <w:rFonts w:ascii="Times New Roman" w:hAnsi="Times New Roman" w:cs="Times New Roman"/>
              </w:rPr>
            </w:pPr>
            <w:r w:rsidRPr="00B85C0A">
              <w:rPr>
                <w:rFonts w:ascii="Times New Roman" w:hAnsi="Times New Roman" w:cs="Times New Roman"/>
              </w:rPr>
              <w:t xml:space="preserve">6. </w:t>
            </w:r>
            <w:r w:rsidR="00126037" w:rsidRPr="00B85C0A">
              <w:rPr>
                <w:rFonts w:ascii="Times New Roman" w:hAnsi="Times New Roman" w:cs="Times New Roman"/>
              </w:rPr>
              <w:t xml:space="preserve">Якщо </w:t>
            </w:r>
            <w:r w:rsidR="00126037" w:rsidRPr="00B85C0A">
              <w:rPr>
                <w:rFonts w:ascii="Times New Roman" w:hAnsi="Times New Roman" w:cs="Times New Roman"/>
                <w:b/>
              </w:rPr>
              <w:t>певна нерухомість</w:t>
            </w:r>
            <w:r w:rsidR="00126037" w:rsidRPr="00B85C0A">
              <w:rPr>
                <w:rFonts w:ascii="Times New Roman" w:hAnsi="Times New Roman" w:cs="Times New Roman"/>
              </w:rPr>
              <w:t xml:space="preserve"> уключає частину, яка утримується з метою отримання орендної плати та/або для збільшення власного капіталу, та іншу частину, що є операційною нерухомістю, і ці частини можуть бути відчужені окремо (або окремо надані в оренду згідно з договором про фінансову оренду), то ці частини відображаються як окремі інвентарні об</w:t>
            </w:r>
            <w:r w:rsidR="00B85C0A" w:rsidRPr="00B85C0A">
              <w:rPr>
                <w:rFonts w:ascii="Times New Roman" w:hAnsi="Times New Roman" w:cs="Times New Roman"/>
              </w:rPr>
              <w:t>’</w:t>
            </w:r>
            <w:r w:rsidR="00126037" w:rsidRPr="00B85C0A">
              <w:rPr>
                <w:rFonts w:ascii="Times New Roman" w:hAnsi="Times New Roman" w:cs="Times New Roman"/>
              </w:rPr>
              <w:t xml:space="preserve">єкти. Якщо ці частини не можуть бути відчужені окремо, </w:t>
            </w:r>
            <w:r w:rsidR="00126037" w:rsidRPr="00B85C0A">
              <w:rPr>
                <w:rFonts w:ascii="Times New Roman" w:hAnsi="Times New Roman" w:cs="Times New Roman"/>
                <w:b/>
              </w:rPr>
              <w:t>нерухомість</w:t>
            </w:r>
            <w:r w:rsidR="00126037" w:rsidRPr="00B85C0A">
              <w:rPr>
                <w:rFonts w:ascii="Times New Roman" w:hAnsi="Times New Roman" w:cs="Times New Roman"/>
              </w:rPr>
              <w:t xml:space="preserve"> визнається інвестиційною нерухомістю за умови її використання переважно з</w:t>
            </w:r>
            <w:r w:rsidR="00B85C0A" w:rsidRPr="00B85C0A">
              <w:rPr>
                <w:rFonts w:ascii="Times New Roman" w:hAnsi="Times New Roman" w:cs="Times New Roman"/>
              </w:rPr>
              <w:t xml:space="preserve"> </w:t>
            </w:r>
            <w:r w:rsidR="00126037" w:rsidRPr="00B85C0A">
              <w:rPr>
                <w:rFonts w:ascii="Times New Roman" w:hAnsi="Times New Roman" w:cs="Times New Roman"/>
              </w:rPr>
              <w:t>метою отримання орендної плати та/або для збільшення власного капіталу.</w:t>
            </w:r>
          </w:p>
          <w:p w14:paraId="52491C5D" w14:textId="342CBC09"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 xml:space="preserve">За наявності ознак, за яких </w:t>
            </w:r>
            <w:r w:rsidRPr="00B85C0A">
              <w:rPr>
                <w:rFonts w:ascii="Times New Roman" w:hAnsi="Times New Roman" w:cs="Times New Roman"/>
                <w:b/>
              </w:rPr>
              <w:t>нерухомість</w:t>
            </w:r>
            <w:r w:rsidRPr="00B85C0A">
              <w:rPr>
                <w:rFonts w:ascii="Times New Roman" w:hAnsi="Times New Roman" w:cs="Times New Roman"/>
              </w:rPr>
              <w:t xml:space="preserve"> може бути </w:t>
            </w:r>
            <w:r w:rsidRPr="00B85C0A">
              <w:rPr>
                <w:rFonts w:ascii="Times New Roman" w:hAnsi="Times New Roman" w:cs="Times New Roman"/>
                <w:b/>
              </w:rPr>
              <w:t>віднесена</w:t>
            </w:r>
            <w:r w:rsidRPr="00B85C0A">
              <w:rPr>
                <w:rFonts w:ascii="Times New Roman" w:hAnsi="Times New Roman" w:cs="Times New Roman"/>
              </w:rPr>
              <w:t xml:space="preserve"> і до операційної  нерухомості, і до інвестиційної нерухомості, суб</w:t>
            </w:r>
            <w:r w:rsidR="00B85C0A" w:rsidRPr="00B85C0A">
              <w:rPr>
                <w:rFonts w:ascii="Times New Roman" w:hAnsi="Times New Roman" w:cs="Times New Roman"/>
              </w:rPr>
              <w:t>’</w:t>
            </w:r>
            <w:r w:rsidRPr="00B85C0A">
              <w:rPr>
                <w:rFonts w:ascii="Times New Roman" w:hAnsi="Times New Roman" w:cs="Times New Roman"/>
              </w:rPr>
              <w:t>єкт державного сектору розробляє критерії щодо їх розмежування.</w:t>
            </w:r>
          </w:p>
          <w:p w14:paraId="59D1FFAA" w14:textId="77777777" w:rsidR="00126037" w:rsidRPr="00B85C0A" w:rsidRDefault="00126037" w:rsidP="00126037">
            <w:pPr>
              <w:ind w:firstLine="284"/>
              <w:jc w:val="both"/>
              <w:rPr>
                <w:rFonts w:ascii="Times New Roman" w:hAnsi="Times New Roman" w:cs="Times New Roman"/>
              </w:rPr>
            </w:pPr>
          </w:p>
        </w:tc>
      </w:tr>
      <w:tr w:rsidR="00126037" w:rsidRPr="00B85C0A" w14:paraId="216FD38E" w14:textId="77777777" w:rsidTr="003D2441">
        <w:trPr>
          <w:trHeight w:val="305"/>
        </w:trPr>
        <w:tc>
          <w:tcPr>
            <w:tcW w:w="7089" w:type="dxa"/>
          </w:tcPr>
          <w:p w14:paraId="43C2D7A2" w14:textId="3E0940C5" w:rsidR="00126037" w:rsidRPr="00B85C0A" w:rsidRDefault="0019709C" w:rsidP="0019709C">
            <w:pPr>
              <w:ind w:firstLine="284"/>
              <w:jc w:val="both"/>
              <w:rPr>
                <w:rFonts w:ascii="Times New Roman" w:hAnsi="Times New Roman" w:cs="Times New Roman"/>
              </w:rPr>
            </w:pPr>
            <w:r w:rsidRPr="00B85C0A">
              <w:rPr>
                <w:rFonts w:ascii="Times New Roman" w:hAnsi="Times New Roman" w:cs="Times New Roman"/>
              </w:rPr>
              <w:t>……………..</w:t>
            </w:r>
          </w:p>
        </w:tc>
        <w:tc>
          <w:tcPr>
            <w:tcW w:w="7938" w:type="dxa"/>
          </w:tcPr>
          <w:p w14:paraId="2CE942D3" w14:textId="77777777" w:rsidR="00126037" w:rsidRDefault="0019709C" w:rsidP="0019709C">
            <w:pPr>
              <w:ind w:firstLine="284"/>
              <w:jc w:val="both"/>
              <w:rPr>
                <w:rFonts w:ascii="Times New Roman" w:hAnsi="Times New Roman" w:cs="Times New Roman"/>
              </w:rPr>
            </w:pPr>
            <w:r w:rsidRPr="00B85C0A">
              <w:rPr>
                <w:rFonts w:ascii="Times New Roman" w:hAnsi="Times New Roman" w:cs="Times New Roman"/>
              </w:rPr>
              <w:t>…………………</w:t>
            </w:r>
          </w:p>
          <w:p w14:paraId="43A101F5" w14:textId="77777777" w:rsidR="000D4D59" w:rsidRDefault="000D4D59" w:rsidP="0019709C">
            <w:pPr>
              <w:ind w:firstLine="284"/>
              <w:jc w:val="both"/>
              <w:rPr>
                <w:rFonts w:ascii="Times New Roman" w:hAnsi="Times New Roman" w:cs="Times New Roman"/>
              </w:rPr>
            </w:pPr>
          </w:p>
          <w:p w14:paraId="1C4D7407" w14:textId="77777777" w:rsidR="000D4D59" w:rsidRDefault="000D4D59" w:rsidP="0019709C">
            <w:pPr>
              <w:ind w:firstLine="284"/>
              <w:jc w:val="both"/>
              <w:rPr>
                <w:rFonts w:ascii="Times New Roman" w:hAnsi="Times New Roman" w:cs="Times New Roman"/>
              </w:rPr>
            </w:pPr>
          </w:p>
          <w:p w14:paraId="50932E8F" w14:textId="77777777" w:rsidR="000D4D59" w:rsidRDefault="000D4D59" w:rsidP="0019709C">
            <w:pPr>
              <w:ind w:firstLine="284"/>
              <w:jc w:val="both"/>
              <w:rPr>
                <w:rFonts w:ascii="Times New Roman" w:hAnsi="Times New Roman" w:cs="Times New Roman"/>
              </w:rPr>
            </w:pPr>
          </w:p>
          <w:p w14:paraId="1122A6C4" w14:textId="77777777" w:rsidR="000D4D59" w:rsidRDefault="000D4D59" w:rsidP="0019709C">
            <w:pPr>
              <w:ind w:firstLine="284"/>
              <w:jc w:val="both"/>
              <w:rPr>
                <w:rFonts w:ascii="Times New Roman" w:hAnsi="Times New Roman" w:cs="Times New Roman"/>
              </w:rPr>
            </w:pPr>
          </w:p>
          <w:p w14:paraId="31F20098" w14:textId="6B6B5ED9" w:rsidR="000D4D59" w:rsidRPr="00B85C0A" w:rsidRDefault="000D4D59" w:rsidP="0019709C">
            <w:pPr>
              <w:ind w:firstLine="284"/>
              <w:jc w:val="both"/>
              <w:rPr>
                <w:rFonts w:ascii="Times New Roman" w:hAnsi="Times New Roman" w:cs="Times New Roman"/>
              </w:rPr>
            </w:pPr>
          </w:p>
        </w:tc>
      </w:tr>
      <w:tr w:rsidR="00126037" w:rsidRPr="00B85C0A" w14:paraId="46887D7F" w14:textId="77777777" w:rsidTr="003D2441">
        <w:trPr>
          <w:trHeight w:val="305"/>
        </w:trPr>
        <w:tc>
          <w:tcPr>
            <w:tcW w:w="15028" w:type="dxa"/>
            <w:gridSpan w:val="2"/>
          </w:tcPr>
          <w:p w14:paraId="1AA0A247" w14:textId="57EC8415" w:rsidR="00126037" w:rsidRPr="00B85C0A" w:rsidRDefault="00126037" w:rsidP="00126037">
            <w:pPr>
              <w:ind w:firstLine="284"/>
              <w:jc w:val="center"/>
              <w:rPr>
                <w:rFonts w:ascii="Times New Roman" w:hAnsi="Times New Roman" w:cs="Times New Roman"/>
              </w:rPr>
            </w:pPr>
            <w:r w:rsidRPr="00B85C0A">
              <w:rPr>
                <w:rFonts w:ascii="Times New Roman" w:hAnsi="Times New Roman" w:cs="Times New Roman"/>
                <w:b/>
              </w:rPr>
              <w:lastRenderedPageBreak/>
              <w:t>II. Визнання та оцінка інвестиційної нерухомості</w:t>
            </w:r>
          </w:p>
        </w:tc>
      </w:tr>
      <w:tr w:rsidR="00126037" w:rsidRPr="00B85C0A" w14:paraId="2623D0AA" w14:textId="77777777" w:rsidTr="003D2441">
        <w:trPr>
          <w:trHeight w:val="305"/>
        </w:trPr>
        <w:tc>
          <w:tcPr>
            <w:tcW w:w="7089" w:type="dxa"/>
          </w:tcPr>
          <w:p w14:paraId="7B676C38" w14:textId="393288DA" w:rsidR="00126037" w:rsidRPr="00B85C0A" w:rsidRDefault="00960480" w:rsidP="00126037">
            <w:pPr>
              <w:ind w:firstLine="284"/>
              <w:jc w:val="both"/>
              <w:rPr>
                <w:rFonts w:ascii="Times New Roman" w:hAnsi="Times New Roman" w:cs="Times New Roman"/>
              </w:rPr>
            </w:pPr>
            <w:r w:rsidRPr="00B85C0A">
              <w:rPr>
                <w:rFonts w:ascii="Times New Roman" w:hAnsi="Times New Roman" w:cs="Times New Roman"/>
              </w:rPr>
              <w:t>……………</w:t>
            </w:r>
          </w:p>
        </w:tc>
        <w:tc>
          <w:tcPr>
            <w:tcW w:w="7938" w:type="dxa"/>
          </w:tcPr>
          <w:p w14:paraId="0521805C" w14:textId="0D171B65" w:rsidR="006549B2" w:rsidRDefault="00960480" w:rsidP="00126037">
            <w:pPr>
              <w:ind w:firstLine="284"/>
              <w:jc w:val="both"/>
              <w:rPr>
                <w:rFonts w:ascii="Times New Roman" w:hAnsi="Times New Roman" w:cs="Times New Roman"/>
              </w:rPr>
            </w:pPr>
            <w:r w:rsidRPr="00B85C0A">
              <w:rPr>
                <w:rFonts w:ascii="Times New Roman" w:hAnsi="Times New Roman" w:cs="Times New Roman"/>
              </w:rPr>
              <w:t>…………………….</w:t>
            </w:r>
          </w:p>
          <w:p w14:paraId="727B037F" w14:textId="6A6022BC" w:rsidR="006549B2" w:rsidRPr="00B85C0A" w:rsidRDefault="006549B2" w:rsidP="00126037">
            <w:pPr>
              <w:ind w:firstLine="284"/>
              <w:jc w:val="both"/>
              <w:rPr>
                <w:rFonts w:ascii="Times New Roman" w:hAnsi="Times New Roman" w:cs="Times New Roman"/>
              </w:rPr>
            </w:pPr>
          </w:p>
        </w:tc>
      </w:tr>
      <w:tr w:rsidR="00126037" w:rsidRPr="00B85C0A" w14:paraId="66D6A08E" w14:textId="77777777" w:rsidTr="003D2441">
        <w:trPr>
          <w:trHeight w:val="305"/>
        </w:trPr>
        <w:tc>
          <w:tcPr>
            <w:tcW w:w="7089" w:type="dxa"/>
          </w:tcPr>
          <w:p w14:paraId="08C185A7"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 xml:space="preserve">Пункт 5: </w:t>
            </w:r>
          </w:p>
          <w:p w14:paraId="0331144A" w14:textId="36EED47A" w:rsidR="00126037" w:rsidRPr="00B85C0A" w:rsidRDefault="00C31802" w:rsidP="00960480">
            <w:pPr>
              <w:ind w:firstLine="284"/>
              <w:jc w:val="both"/>
              <w:rPr>
                <w:rFonts w:ascii="Times New Roman" w:hAnsi="Times New Roman" w:cs="Times New Roman"/>
              </w:rPr>
            </w:pPr>
            <w:r w:rsidRPr="00B85C0A">
              <w:rPr>
                <w:rFonts w:ascii="Times New Roman" w:hAnsi="Times New Roman" w:cs="Times New Roman"/>
              </w:rPr>
              <w:t xml:space="preserve">5. </w:t>
            </w:r>
            <w:r w:rsidR="00126037" w:rsidRPr="00B85C0A">
              <w:rPr>
                <w:rFonts w:ascii="Times New Roman" w:hAnsi="Times New Roman" w:cs="Times New Roman"/>
              </w:rPr>
              <w:t xml:space="preserve">Якщо придбання інвестиційної нерухомості здійснюється на умовах відстрочки  платежу, то її первісною вартістю визнається ціна відповідно до договору. </w:t>
            </w:r>
            <w:r w:rsidR="00126037" w:rsidRPr="00B85C0A">
              <w:rPr>
                <w:rFonts w:ascii="Times New Roman" w:hAnsi="Times New Roman" w:cs="Times New Roman"/>
                <w:strike/>
              </w:rPr>
              <w:t>Винагорода постачальнику на  суму різниці</w:t>
            </w:r>
            <w:r w:rsidR="00126037" w:rsidRPr="00B85C0A">
              <w:rPr>
                <w:rFonts w:ascii="Times New Roman" w:hAnsi="Times New Roman" w:cs="Times New Roman"/>
              </w:rPr>
              <w:t xml:space="preserve"> між договірною ціною та загальною сумою платежів </w:t>
            </w:r>
            <w:r w:rsidR="00126037" w:rsidRPr="00B85C0A">
              <w:rPr>
                <w:rFonts w:ascii="Times New Roman" w:hAnsi="Times New Roman" w:cs="Times New Roman"/>
                <w:strike/>
              </w:rPr>
              <w:t>на його</w:t>
            </w:r>
            <w:r w:rsidR="00960480" w:rsidRPr="00B85C0A">
              <w:rPr>
                <w:rFonts w:ascii="Times New Roman" w:hAnsi="Times New Roman" w:cs="Times New Roman"/>
                <w:strike/>
              </w:rPr>
              <w:t xml:space="preserve"> </w:t>
            </w:r>
            <w:r w:rsidR="00126037" w:rsidRPr="00B85C0A">
              <w:rPr>
                <w:rFonts w:ascii="Times New Roman" w:hAnsi="Times New Roman" w:cs="Times New Roman"/>
                <w:strike/>
              </w:rPr>
              <w:t>користь визнається витратами звітного періоду</w:t>
            </w:r>
            <w:r w:rsidR="00126037" w:rsidRPr="00B85C0A">
              <w:rPr>
                <w:rFonts w:ascii="Times New Roman" w:hAnsi="Times New Roman" w:cs="Times New Roman"/>
              </w:rPr>
              <w:t>.</w:t>
            </w:r>
          </w:p>
        </w:tc>
        <w:tc>
          <w:tcPr>
            <w:tcW w:w="7938" w:type="dxa"/>
          </w:tcPr>
          <w:p w14:paraId="0CE40C57"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 xml:space="preserve">Пункт 5: </w:t>
            </w:r>
          </w:p>
          <w:p w14:paraId="23BA1497" w14:textId="029D4C8D" w:rsidR="00126037" w:rsidRPr="00B85C0A" w:rsidRDefault="00126037" w:rsidP="00960480">
            <w:pPr>
              <w:ind w:firstLine="284"/>
              <w:jc w:val="both"/>
              <w:rPr>
                <w:rFonts w:ascii="Times New Roman" w:hAnsi="Times New Roman" w:cs="Times New Roman"/>
              </w:rPr>
            </w:pPr>
            <w:r w:rsidRPr="00B85C0A">
              <w:rPr>
                <w:rFonts w:ascii="Times New Roman" w:hAnsi="Times New Roman" w:cs="Times New Roman"/>
              </w:rPr>
              <w:t xml:space="preserve">5. Якщо придбання інвестиційної нерухомості здійснюється на умовах відстрочки  платежу, то її первісною вартістю визнається ціна відповідно до договору. </w:t>
            </w:r>
            <w:r w:rsidRPr="00B85C0A">
              <w:rPr>
                <w:rFonts w:ascii="Times New Roman" w:eastAsia="Times New Roman" w:hAnsi="Times New Roman" w:cs="Times New Roman"/>
                <w:b/>
                <w:spacing w:val="-1"/>
              </w:rPr>
              <w:t>Р</w:t>
            </w:r>
            <w:r w:rsidRPr="00B85C0A">
              <w:rPr>
                <w:rFonts w:ascii="Times New Roman" w:hAnsi="Times New Roman" w:cs="Times New Roman"/>
                <w:b/>
              </w:rPr>
              <w:t>ізниця</w:t>
            </w:r>
            <w:r w:rsidRPr="00B85C0A">
              <w:rPr>
                <w:rFonts w:ascii="Times New Roman" w:hAnsi="Times New Roman" w:cs="Times New Roman"/>
              </w:rPr>
              <w:t xml:space="preserve"> між договірною ціною та загальною сумою платежів </w:t>
            </w:r>
            <w:r w:rsidRPr="00B85C0A">
              <w:rPr>
                <w:rFonts w:ascii="Times New Roman" w:hAnsi="Times New Roman" w:cs="Times New Roman"/>
                <w:b/>
              </w:rPr>
              <w:t>визнається фінансовими витратами</w:t>
            </w:r>
            <w:r w:rsidRPr="00B85C0A">
              <w:rPr>
                <w:rFonts w:ascii="Times New Roman" w:hAnsi="Times New Roman" w:cs="Times New Roman"/>
              </w:rPr>
              <w:t xml:space="preserve"> </w:t>
            </w:r>
            <w:r w:rsidRPr="00B85C0A">
              <w:rPr>
                <w:rFonts w:ascii="Times New Roman" w:hAnsi="Times New Roman" w:cs="Times New Roman"/>
                <w:b/>
              </w:rPr>
              <w:t>за період надання кредиту</w:t>
            </w:r>
            <w:r w:rsidRPr="00B85C0A">
              <w:rPr>
                <w:rFonts w:ascii="Times New Roman" w:hAnsi="Times New Roman" w:cs="Times New Roman"/>
              </w:rPr>
              <w:t>.</w:t>
            </w:r>
          </w:p>
        </w:tc>
      </w:tr>
      <w:tr w:rsidR="00126037" w:rsidRPr="00B85C0A" w14:paraId="3585D1CF" w14:textId="77777777" w:rsidTr="003D2441">
        <w:trPr>
          <w:trHeight w:val="305"/>
        </w:trPr>
        <w:tc>
          <w:tcPr>
            <w:tcW w:w="7089" w:type="dxa"/>
          </w:tcPr>
          <w:p w14:paraId="1EBE4E37" w14:textId="23E59628" w:rsidR="00126037" w:rsidRPr="00B85C0A" w:rsidRDefault="00700250" w:rsidP="00126037">
            <w:pPr>
              <w:ind w:firstLine="284"/>
              <w:jc w:val="both"/>
              <w:rPr>
                <w:rFonts w:ascii="Times New Roman" w:hAnsi="Times New Roman" w:cs="Times New Roman"/>
              </w:rPr>
            </w:pPr>
            <w:r w:rsidRPr="00B85C0A">
              <w:rPr>
                <w:rFonts w:ascii="Times New Roman" w:hAnsi="Times New Roman" w:cs="Times New Roman"/>
              </w:rPr>
              <w:t>…………….</w:t>
            </w:r>
          </w:p>
        </w:tc>
        <w:tc>
          <w:tcPr>
            <w:tcW w:w="7938" w:type="dxa"/>
          </w:tcPr>
          <w:p w14:paraId="62FF9F7C" w14:textId="1B4D906E" w:rsidR="00C31802" w:rsidRPr="00B85C0A" w:rsidRDefault="00700250" w:rsidP="00B85C0A">
            <w:pPr>
              <w:ind w:firstLine="284"/>
              <w:jc w:val="both"/>
              <w:rPr>
                <w:rFonts w:ascii="Times New Roman" w:hAnsi="Times New Roman" w:cs="Times New Roman"/>
              </w:rPr>
            </w:pPr>
            <w:r w:rsidRPr="00B85C0A">
              <w:rPr>
                <w:rFonts w:ascii="Times New Roman" w:hAnsi="Times New Roman" w:cs="Times New Roman"/>
              </w:rPr>
              <w:t>……………..</w:t>
            </w:r>
            <w:r w:rsidR="00B85C0A" w:rsidRPr="00B85C0A">
              <w:rPr>
                <w:rFonts w:ascii="Times New Roman" w:hAnsi="Times New Roman" w:cs="Times New Roman"/>
              </w:rPr>
              <w:t xml:space="preserve"> </w:t>
            </w:r>
          </w:p>
        </w:tc>
      </w:tr>
      <w:tr w:rsidR="00126037" w:rsidRPr="00B85C0A" w14:paraId="6395A3DF" w14:textId="77777777" w:rsidTr="003D2441">
        <w:trPr>
          <w:trHeight w:val="305"/>
        </w:trPr>
        <w:tc>
          <w:tcPr>
            <w:tcW w:w="7089" w:type="dxa"/>
          </w:tcPr>
          <w:p w14:paraId="1870FFA0" w14:textId="77777777" w:rsidR="00700250" w:rsidRPr="00B85C0A" w:rsidRDefault="00700250" w:rsidP="00700250">
            <w:pPr>
              <w:ind w:firstLine="284"/>
              <w:jc w:val="both"/>
              <w:rPr>
                <w:rFonts w:ascii="Times New Roman" w:hAnsi="Times New Roman" w:cs="Times New Roman"/>
              </w:rPr>
            </w:pPr>
            <w:r w:rsidRPr="00B85C0A">
              <w:rPr>
                <w:rFonts w:ascii="Times New Roman" w:hAnsi="Times New Roman" w:cs="Times New Roman"/>
              </w:rPr>
              <w:t>Пункт 8:</w:t>
            </w:r>
          </w:p>
          <w:p w14:paraId="7F25D4F6" w14:textId="27A70605" w:rsidR="00126037" w:rsidRPr="00B85C0A" w:rsidRDefault="00C31802" w:rsidP="00700250">
            <w:pPr>
              <w:ind w:firstLine="284"/>
              <w:jc w:val="both"/>
              <w:rPr>
                <w:rFonts w:ascii="Times New Roman" w:hAnsi="Times New Roman" w:cs="Times New Roman"/>
                <w:strike/>
              </w:rPr>
            </w:pPr>
            <w:r w:rsidRPr="00B85C0A">
              <w:rPr>
                <w:rFonts w:ascii="Times New Roman" w:hAnsi="Times New Roman" w:cs="Times New Roman"/>
                <w:strike/>
              </w:rPr>
              <w:t xml:space="preserve">8. </w:t>
            </w:r>
            <w:r w:rsidR="00700250" w:rsidRPr="00B85C0A">
              <w:rPr>
                <w:rFonts w:ascii="Times New Roman" w:hAnsi="Times New Roman" w:cs="Times New Roman"/>
                <w:strike/>
              </w:rPr>
              <w:t xml:space="preserve">Інвестиційна нерухомість, що обліковується за первісною вартістю, зменшеною на суму нарахованої амортизації з урахуванням </w:t>
            </w:r>
            <w:r w:rsidR="00700250" w:rsidRPr="00B85C0A">
              <w:rPr>
                <w:rFonts w:ascii="Times New Roman" w:hAnsi="Times New Roman" w:cs="Times New Roman"/>
                <w:strike/>
              </w:rPr>
              <w:br/>
              <w:t>втрат від зменшення корисності та вигід від її відновлення, переоцінці не підлягає.</w:t>
            </w:r>
          </w:p>
        </w:tc>
        <w:tc>
          <w:tcPr>
            <w:tcW w:w="7938" w:type="dxa"/>
          </w:tcPr>
          <w:p w14:paraId="6967EA1C" w14:textId="77777777"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t>Пункт 8:</w:t>
            </w:r>
          </w:p>
          <w:p w14:paraId="528D210B" w14:textId="2DD7DA60" w:rsidR="00126037" w:rsidRPr="00B85C0A" w:rsidRDefault="00C31802" w:rsidP="00126037">
            <w:pPr>
              <w:ind w:firstLine="284"/>
              <w:jc w:val="both"/>
              <w:rPr>
                <w:rFonts w:ascii="Times New Roman" w:hAnsi="Times New Roman" w:cs="Times New Roman"/>
              </w:rPr>
            </w:pPr>
            <w:r w:rsidRPr="00B85C0A">
              <w:rPr>
                <w:rFonts w:ascii="Times New Roman" w:hAnsi="Times New Roman" w:cs="Times New Roman"/>
                <w:b/>
              </w:rPr>
              <w:t xml:space="preserve">8. </w:t>
            </w:r>
            <w:r w:rsidR="00126037" w:rsidRPr="00B85C0A">
              <w:rPr>
                <w:rFonts w:ascii="Times New Roman" w:hAnsi="Times New Roman" w:cs="Times New Roman"/>
                <w:b/>
              </w:rPr>
              <w:t>Первісною вартістю об</w:t>
            </w:r>
            <w:r w:rsidR="00B85C0A" w:rsidRPr="00B85C0A">
              <w:rPr>
                <w:rFonts w:ascii="Times New Roman" w:hAnsi="Times New Roman" w:cs="Times New Roman"/>
                <w:b/>
              </w:rPr>
              <w:t>’</w:t>
            </w:r>
            <w:r w:rsidR="00126037" w:rsidRPr="00B85C0A">
              <w:rPr>
                <w:rFonts w:ascii="Times New Roman" w:hAnsi="Times New Roman" w:cs="Times New Roman"/>
                <w:b/>
              </w:rPr>
              <w:t>єкта інвестиційної нерухомості, отриманого у результаті обміну на інший актив згідно з законодавством, є його справедлива вартість на дату оприбуткування. Якщо справедливу вартість отриманого або переданого активу визначити неможливо, то первісною вартістю отриманого об</w:t>
            </w:r>
            <w:r w:rsidR="00B85C0A" w:rsidRPr="00B85C0A">
              <w:rPr>
                <w:rFonts w:ascii="Times New Roman" w:hAnsi="Times New Roman" w:cs="Times New Roman"/>
                <w:b/>
              </w:rPr>
              <w:t>’</w:t>
            </w:r>
            <w:r w:rsidR="00126037" w:rsidRPr="00B85C0A">
              <w:rPr>
                <w:rFonts w:ascii="Times New Roman" w:hAnsi="Times New Roman" w:cs="Times New Roman"/>
                <w:b/>
              </w:rPr>
              <w:t>єкта інвестиційної нерухомості є первісна (переоцінена) вартість переданого активу з урахуванням суми нарахованої амортизації.</w:t>
            </w:r>
          </w:p>
        </w:tc>
      </w:tr>
      <w:tr w:rsidR="00126037" w:rsidRPr="00B85C0A" w14:paraId="7BD182D4" w14:textId="77777777" w:rsidTr="003D2441">
        <w:trPr>
          <w:trHeight w:val="357"/>
        </w:trPr>
        <w:tc>
          <w:tcPr>
            <w:tcW w:w="7089" w:type="dxa"/>
          </w:tcPr>
          <w:p w14:paraId="21217DC6" w14:textId="026E9FCD" w:rsidR="00B85C0A" w:rsidRPr="00B85C0A" w:rsidRDefault="00700250" w:rsidP="00B85C0A">
            <w:pPr>
              <w:ind w:firstLine="284"/>
              <w:jc w:val="both"/>
              <w:rPr>
                <w:rFonts w:ascii="Times New Roman" w:hAnsi="Times New Roman" w:cs="Times New Roman"/>
              </w:rPr>
            </w:pPr>
            <w:r w:rsidRPr="00B85C0A">
              <w:rPr>
                <w:rFonts w:ascii="Times New Roman" w:hAnsi="Times New Roman" w:cs="Times New Roman"/>
              </w:rPr>
              <w:t>……………..</w:t>
            </w:r>
          </w:p>
        </w:tc>
        <w:tc>
          <w:tcPr>
            <w:tcW w:w="7938" w:type="dxa"/>
          </w:tcPr>
          <w:p w14:paraId="44CCFCD5" w14:textId="2F27F6DE" w:rsidR="00126037" w:rsidRPr="00B85C0A" w:rsidRDefault="00700250" w:rsidP="00126037">
            <w:pPr>
              <w:ind w:firstLine="284"/>
              <w:jc w:val="both"/>
              <w:rPr>
                <w:rFonts w:ascii="Times New Roman" w:hAnsi="Times New Roman" w:cs="Times New Roman"/>
              </w:rPr>
            </w:pPr>
            <w:r w:rsidRPr="00B85C0A">
              <w:rPr>
                <w:rFonts w:ascii="Times New Roman" w:hAnsi="Times New Roman" w:cs="Times New Roman"/>
              </w:rPr>
              <w:t>…………………</w:t>
            </w:r>
          </w:p>
        </w:tc>
      </w:tr>
      <w:tr w:rsidR="00126037" w:rsidRPr="00B85C0A" w14:paraId="68E3015D" w14:textId="77777777" w:rsidTr="003D2441">
        <w:trPr>
          <w:trHeight w:val="305"/>
        </w:trPr>
        <w:tc>
          <w:tcPr>
            <w:tcW w:w="7089" w:type="dxa"/>
          </w:tcPr>
          <w:p w14:paraId="19C993BB"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Пункт 10:</w:t>
            </w:r>
          </w:p>
          <w:p w14:paraId="65353EE7" w14:textId="7C05BAD1" w:rsidR="00126037" w:rsidRPr="00B85C0A" w:rsidRDefault="00C31802" w:rsidP="00126037">
            <w:pPr>
              <w:ind w:firstLine="284"/>
              <w:jc w:val="both"/>
              <w:rPr>
                <w:rFonts w:ascii="Times New Roman" w:hAnsi="Times New Roman" w:cs="Times New Roman"/>
              </w:rPr>
            </w:pPr>
            <w:r w:rsidRPr="00B85C0A">
              <w:rPr>
                <w:rFonts w:ascii="Times New Roman" w:hAnsi="Times New Roman" w:cs="Times New Roman"/>
              </w:rPr>
              <w:t xml:space="preserve">10. </w:t>
            </w:r>
            <w:r w:rsidR="00126037" w:rsidRPr="00B85C0A">
              <w:rPr>
                <w:rFonts w:ascii="Times New Roman" w:hAnsi="Times New Roman" w:cs="Times New Roman"/>
              </w:rPr>
              <w:t>Суб</w:t>
            </w:r>
            <w:r w:rsidR="00B85C0A" w:rsidRPr="00B85C0A">
              <w:rPr>
                <w:rFonts w:ascii="Times New Roman" w:hAnsi="Times New Roman" w:cs="Times New Roman"/>
              </w:rPr>
              <w:t>’</w:t>
            </w:r>
            <w:r w:rsidR="00126037" w:rsidRPr="00B85C0A">
              <w:rPr>
                <w:rFonts w:ascii="Times New Roman" w:hAnsi="Times New Roman" w:cs="Times New Roman"/>
              </w:rPr>
              <w:t xml:space="preserve">єкт державного сектору на дату балансу відображає у фінансовій звітності інвестиційну нерухомість за первісною вартістю, зменшеною на суму нарахованої амортизації з урахуванням </w:t>
            </w:r>
            <w:r w:rsidR="00126037" w:rsidRPr="00B85C0A">
              <w:rPr>
                <w:rFonts w:ascii="Times New Roman" w:hAnsi="Times New Roman" w:cs="Times New Roman"/>
              </w:rPr>
              <w:br/>
              <w:t xml:space="preserve">втрат від зменшення корисності та вигід від її відновлення, що визнаються відповідними національними положеннями (стандартами) бухгалтерського обліку в державному секторі. </w:t>
            </w:r>
          </w:p>
        </w:tc>
        <w:tc>
          <w:tcPr>
            <w:tcW w:w="7938" w:type="dxa"/>
          </w:tcPr>
          <w:p w14:paraId="46BB192E"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Пункт 10:</w:t>
            </w:r>
          </w:p>
          <w:p w14:paraId="12C1DDD1" w14:textId="6FC6B0B2" w:rsidR="00126037" w:rsidRPr="00B85C0A" w:rsidRDefault="00C31802" w:rsidP="00C31802">
            <w:pPr>
              <w:spacing w:line="243" w:lineRule="auto"/>
              <w:ind w:right="29" w:firstLine="316"/>
              <w:jc w:val="both"/>
              <w:rPr>
                <w:rFonts w:ascii="Times New Roman" w:hAnsi="Times New Roman" w:cs="Times New Roman"/>
              </w:rPr>
            </w:pPr>
            <w:r w:rsidRPr="00B85C0A">
              <w:rPr>
                <w:rFonts w:ascii="Times New Roman" w:hAnsi="Times New Roman" w:cs="Times New Roman"/>
              </w:rPr>
              <w:t xml:space="preserve">10. </w:t>
            </w:r>
            <w:r w:rsidR="00126037" w:rsidRPr="00B85C0A">
              <w:rPr>
                <w:rFonts w:ascii="Times New Roman" w:hAnsi="Times New Roman" w:cs="Times New Roman"/>
              </w:rPr>
              <w:t>Суб</w:t>
            </w:r>
            <w:r w:rsidR="00B85C0A" w:rsidRPr="00B85C0A">
              <w:rPr>
                <w:rFonts w:ascii="Times New Roman" w:hAnsi="Times New Roman" w:cs="Times New Roman"/>
              </w:rPr>
              <w:t>’</w:t>
            </w:r>
            <w:r w:rsidR="00126037" w:rsidRPr="00B85C0A">
              <w:rPr>
                <w:rFonts w:ascii="Times New Roman" w:hAnsi="Times New Roman" w:cs="Times New Roman"/>
              </w:rPr>
              <w:t xml:space="preserve">єкт державного сектору на дату балансу відображає у фінансовій звітності інвестиційну нерухомість </w:t>
            </w:r>
            <w:r w:rsidR="00126037" w:rsidRPr="00B85C0A">
              <w:rPr>
                <w:rFonts w:ascii="Times New Roman" w:hAnsi="Times New Roman" w:cs="Times New Roman"/>
                <w:b/>
              </w:rPr>
              <w:t>за справедливою вартістю, якщо її можна достовірно визначити, або</w:t>
            </w:r>
            <w:r w:rsidR="00126037" w:rsidRPr="00B85C0A">
              <w:rPr>
                <w:rFonts w:ascii="Times New Roman" w:hAnsi="Times New Roman" w:cs="Times New Roman"/>
              </w:rPr>
              <w:t xml:space="preserve"> за первісною вартістю, зменшеною на суму нарахованої амортизації з урахуванням втрат від зменшення корисності та вигід від її відновлення, що визнаються відповідними національними положеннями (стандартами) бухгалтерського обліку в державному секторі.</w:t>
            </w:r>
          </w:p>
          <w:p w14:paraId="215CC47B" w14:textId="1BDC9E42" w:rsidR="00126037" w:rsidRPr="00B85C0A" w:rsidRDefault="00126037" w:rsidP="00C31802">
            <w:pPr>
              <w:ind w:firstLine="316"/>
              <w:jc w:val="both"/>
              <w:rPr>
                <w:rFonts w:ascii="Times New Roman" w:hAnsi="Times New Roman" w:cs="Times New Roman"/>
              </w:rPr>
            </w:pPr>
            <w:r w:rsidRPr="00B85C0A">
              <w:rPr>
                <w:rFonts w:ascii="Times New Roman" w:hAnsi="Times New Roman" w:cs="Times New Roman"/>
                <w:b/>
              </w:rPr>
              <w:t>Обраний підхід застосовується до оцінки всіх подібних об</w:t>
            </w:r>
            <w:r w:rsidR="00B85C0A" w:rsidRPr="00B85C0A">
              <w:rPr>
                <w:rFonts w:ascii="Times New Roman" w:hAnsi="Times New Roman" w:cs="Times New Roman"/>
                <w:b/>
              </w:rPr>
              <w:t>’</w:t>
            </w:r>
            <w:r w:rsidRPr="00B85C0A">
              <w:rPr>
                <w:rFonts w:ascii="Times New Roman" w:hAnsi="Times New Roman" w:cs="Times New Roman"/>
                <w:b/>
              </w:rPr>
              <w:t>єктів інвестиційної нерухомості</w:t>
            </w:r>
            <w:r w:rsidRPr="00B85C0A">
              <w:rPr>
                <w:rFonts w:ascii="Times New Roman" w:hAnsi="Times New Roman" w:cs="Times New Roman"/>
              </w:rPr>
              <w:t>.</w:t>
            </w:r>
          </w:p>
          <w:p w14:paraId="3267682E" w14:textId="4B33E81F" w:rsidR="00C31802" w:rsidRPr="00B85C0A" w:rsidRDefault="00C31802" w:rsidP="00C31802">
            <w:pPr>
              <w:ind w:firstLine="316"/>
              <w:jc w:val="both"/>
              <w:rPr>
                <w:rFonts w:ascii="Times New Roman" w:hAnsi="Times New Roman" w:cs="Times New Roman"/>
              </w:rPr>
            </w:pPr>
          </w:p>
        </w:tc>
      </w:tr>
      <w:tr w:rsidR="00126037" w:rsidRPr="00B85C0A" w14:paraId="6B248895" w14:textId="77777777" w:rsidTr="003D2441">
        <w:trPr>
          <w:trHeight w:val="305"/>
        </w:trPr>
        <w:tc>
          <w:tcPr>
            <w:tcW w:w="7089" w:type="dxa"/>
          </w:tcPr>
          <w:p w14:paraId="67B828B8" w14:textId="60B8A3AA" w:rsidR="00126037" w:rsidRPr="00B85C0A" w:rsidRDefault="00126037" w:rsidP="00700250">
            <w:pPr>
              <w:ind w:firstLine="284"/>
              <w:jc w:val="both"/>
              <w:rPr>
                <w:rFonts w:ascii="Times New Roman" w:hAnsi="Times New Roman" w:cs="Times New Roman"/>
                <w:b/>
              </w:rPr>
            </w:pPr>
            <w:r w:rsidRPr="00B85C0A">
              <w:rPr>
                <w:rFonts w:ascii="Times New Roman" w:hAnsi="Times New Roman" w:cs="Times New Roman"/>
                <w:b/>
              </w:rPr>
              <w:t>відсутн</w:t>
            </w:r>
            <w:r w:rsidR="00700250" w:rsidRPr="00B85C0A">
              <w:rPr>
                <w:rFonts w:ascii="Times New Roman" w:hAnsi="Times New Roman" w:cs="Times New Roman"/>
                <w:b/>
              </w:rPr>
              <w:t>ій</w:t>
            </w:r>
          </w:p>
        </w:tc>
        <w:tc>
          <w:tcPr>
            <w:tcW w:w="7938" w:type="dxa"/>
          </w:tcPr>
          <w:p w14:paraId="60A0BDF2" w14:textId="631C8B0D"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t>Пункт 11:</w:t>
            </w:r>
          </w:p>
          <w:p w14:paraId="1EFF162E" w14:textId="6A047166" w:rsidR="006549B2" w:rsidRPr="00B85C0A" w:rsidRDefault="00C31802" w:rsidP="000D4D59">
            <w:pPr>
              <w:ind w:firstLine="284"/>
              <w:jc w:val="both"/>
              <w:rPr>
                <w:rFonts w:ascii="Times New Roman" w:hAnsi="Times New Roman" w:cs="Times New Roman"/>
                <w:b/>
              </w:rPr>
            </w:pPr>
            <w:r w:rsidRPr="00B85C0A">
              <w:rPr>
                <w:rFonts w:ascii="Times New Roman" w:hAnsi="Times New Roman" w:cs="Times New Roman"/>
                <w:b/>
              </w:rPr>
              <w:t xml:space="preserve">11. </w:t>
            </w:r>
            <w:r w:rsidR="00126037" w:rsidRPr="00B85C0A">
              <w:rPr>
                <w:rFonts w:ascii="Times New Roman" w:hAnsi="Times New Roman" w:cs="Times New Roman"/>
                <w:b/>
              </w:rPr>
              <w:t>Оцінка інвестиційної нерухомості за справедливою вартістю повинна застосовуватися до дати вибуття, переведення інвестиційної нерухомості до операційної нерухомості та такої, що утримується для продажу, навіть якщо стає не можливим достовірно визначити  її справедливу вартість на дату балансу.</w:t>
            </w:r>
          </w:p>
        </w:tc>
      </w:tr>
      <w:tr w:rsidR="00126037" w:rsidRPr="00B85C0A" w14:paraId="3A131922" w14:textId="77777777" w:rsidTr="003D2441">
        <w:trPr>
          <w:trHeight w:val="305"/>
        </w:trPr>
        <w:tc>
          <w:tcPr>
            <w:tcW w:w="7089" w:type="dxa"/>
          </w:tcPr>
          <w:p w14:paraId="7398B210" w14:textId="6C4A0ADF" w:rsidR="00126037" w:rsidRPr="00B85C0A" w:rsidRDefault="00700250" w:rsidP="00126037">
            <w:pPr>
              <w:ind w:firstLine="284"/>
              <w:jc w:val="both"/>
              <w:rPr>
                <w:rFonts w:ascii="Times New Roman" w:hAnsi="Times New Roman" w:cs="Times New Roman"/>
                <w:b/>
              </w:rPr>
            </w:pPr>
            <w:r w:rsidRPr="00B85C0A">
              <w:rPr>
                <w:rFonts w:ascii="Times New Roman" w:hAnsi="Times New Roman" w:cs="Times New Roman"/>
                <w:b/>
              </w:rPr>
              <w:lastRenderedPageBreak/>
              <w:t>відсутній</w:t>
            </w:r>
          </w:p>
        </w:tc>
        <w:tc>
          <w:tcPr>
            <w:tcW w:w="7938" w:type="dxa"/>
          </w:tcPr>
          <w:p w14:paraId="77AC510D" w14:textId="7FA3669A"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t>Пункт 12:</w:t>
            </w:r>
          </w:p>
          <w:p w14:paraId="0A95DCE4" w14:textId="77777777" w:rsidR="00126037" w:rsidRPr="00B85C0A" w:rsidRDefault="00C31802" w:rsidP="00126037">
            <w:pPr>
              <w:ind w:firstLine="284"/>
              <w:jc w:val="both"/>
              <w:rPr>
                <w:rFonts w:ascii="Times New Roman" w:hAnsi="Times New Roman" w:cs="Times New Roman"/>
                <w:b/>
              </w:rPr>
            </w:pPr>
            <w:r w:rsidRPr="00B85C0A">
              <w:rPr>
                <w:rFonts w:ascii="Times New Roman" w:hAnsi="Times New Roman" w:cs="Times New Roman"/>
                <w:b/>
              </w:rPr>
              <w:t xml:space="preserve">12. </w:t>
            </w:r>
            <w:r w:rsidR="00126037" w:rsidRPr="00B85C0A">
              <w:rPr>
                <w:rFonts w:ascii="Times New Roman" w:hAnsi="Times New Roman" w:cs="Times New Roman"/>
                <w:b/>
              </w:rPr>
              <w:t>Інвестиційна нерухомість, що обліковується за первісною вартістю, зменшеною на суму нарахованої амортизації з урахуванням втрат від зменшення корисності та вигід від її відновлення, переоцінці не підлягає.</w:t>
            </w:r>
          </w:p>
          <w:p w14:paraId="43F40C6B" w14:textId="2DCF73AF" w:rsidR="00C31802" w:rsidRPr="00B85C0A" w:rsidRDefault="00C31802" w:rsidP="00126037">
            <w:pPr>
              <w:ind w:firstLine="284"/>
              <w:jc w:val="both"/>
              <w:rPr>
                <w:rFonts w:ascii="Times New Roman" w:hAnsi="Times New Roman" w:cs="Times New Roman"/>
                <w:b/>
                <w:color w:val="212529"/>
                <w:shd w:val="clear" w:color="auto" w:fill="FFFFFF"/>
              </w:rPr>
            </w:pPr>
          </w:p>
        </w:tc>
      </w:tr>
      <w:tr w:rsidR="00126037" w:rsidRPr="00B85C0A" w14:paraId="786A353A" w14:textId="77777777" w:rsidTr="003D2441">
        <w:trPr>
          <w:trHeight w:val="305"/>
        </w:trPr>
        <w:tc>
          <w:tcPr>
            <w:tcW w:w="7089" w:type="dxa"/>
          </w:tcPr>
          <w:p w14:paraId="09B80BD7" w14:textId="5510FD64" w:rsidR="00126037" w:rsidRPr="00B85C0A" w:rsidRDefault="00126037" w:rsidP="00700250">
            <w:pPr>
              <w:ind w:firstLine="284"/>
              <w:jc w:val="both"/>
              <w:rPr>
                <w:rFonts w:ascii="Times New Roman" w:hAnsi="Times New Roman" w:cs="Times New Roman"/>
                <w:b/>
              </w:rPr>
            </w:pPr>
            <w:r w:rsidRPr="00B85C0A">
              <w:rPr>
                <w:rFonts w:ascii="Times New Roman" w:hAnsi="Times New Roman" w:cs="Times New Roman"/>
                <w:b/>
              </w:rPr>
              <w:t>відсутн</w:t>
            </w:r>
            <w:r w:rsidR="00700250" w:rsidRPr="00B85C0A">
              <w:rPr>
                <w:rFonts w:ascii="Times New Roman" w:hAnsi="Times New Roman" w:cs="Times New Roman"/>
                <w:b/>
              </w:rPr>
              <w:t>ій</w:t>
            </w:r>
          </w:p>
        </w:tc>
        <w:tc>
          <w:tcPr>
            <w:tcW w:w="7938" w:type="dxa"/>
          </w:tcPr>
          <w:p w14:paraId="74AAEC74" w14:textId="77777777" w:rsidR="00126037" w:rsidRPr="00B85C0A" w:rsidRDefault="00126037" w:rsidP="00126037">
            <w:pPr>
              <w:ind w:firstLine="284"/>
              <w:jc w:val="both"/>
              <w:rPr>
                <w:rFonts w:ascii="Times New Roman" w:hAnsi="Times New Roman" w:cs="Times New Roman"/>
                <w:b/>
                <w:spacing w:val="-1"/>
              </w:rPr>
            </w:pPr>
            <w:r w:rsidRPr="00B85C0A">
              <w:rPr>
                <w:rFonts w:ascii="Times New Roman" w:hAnsi="Times New Roman" w:cs="Times New Roman"/>
                <w:b/>
              </w:rPr>
              <w:t xml:space="preserve">Пункт </w:t>
            </w:r>
            <w:r w:rsidRPr="00B85C0A">
              <w:rPr>
                <w:rFonts w:ascii="Times New Roman" w:hAnsi="Times New Roman" w:cs="Times New Roman"/>
                <w:b/>
                <w:spacing w:val="-1"/>
              </w:rPr>
              <w:t xml:space="preserve">13. </w:t>
            </w:r>
          </w:p>
          <w:p w14:paraId="354FB024" w14:textId="77777777" w:rsidR="00C31802" w:rsidRDefault="00C31802" w:rsidP="00B85C0A">
            <w:pPr>
              <w:ind w:firstLine="322"/>
              <w:jc w:val="both"/>
              <w:rPr>
                <w:rFonts w:ascii="Times New Roman" w:eastAsia="Times New Roman" w:hAnsi="Times New Roman" w:cs="Times New Roman"/>
                <w:b/>
              </w:rPr>
            </w:pPr>
            <w:r w:rsidRPr="00B85C0A">
              <w:rPr>
                <w:rFonts w:ascii="Times New Roman" w:eastAsia="Times New Roman" w:hAnsi="Times New Roman" w:cs="Times New Roman"/>
                <w:b/>
              </w:rPr>
              <w:t xml:space="preserve">13. </w:t>
            </w:r>
            <w:r w:rsidR="00126037" w:rsidRPr="00B85C0A">
              <w:rPr>
                <w:rFonts w:ascii="Times New Roman" w:eastAsia="Times New Roman" w:hAnsi="Times New Roman" w:cs="Times New Roman"/>
                <w:b/>
              </w:rPr>
              <w:t>Оцінка інвестиційної нерухомості за справедливою вартістю ґрунтується на цінах активного ринку на подібну нерухомість і в подібному стані у тій самій місцевості за подібних умов договорів оренди без вирахування витрат, пов</w:t>
            </w:r>
            <w:r w:rsidR="00B85C0A" w:rsidRPr="00B85C0A">
              <w:rPr>
                <w:rFonts w:ascii="Times New Roman" w:eastAsia="Times New Roman" w:hAnsi="Times New Roman" w:cs="Times New Roman"/>
                <w:b/>
              </w:rPr>
              <w:t>’</w:t>
            </w:r>
            <w:r w:rsidR="00126037" w:rsidRPr="00B85C0A">
              <w:rPr>
                <w:rFonts w:ascii="Times New Roman" w:eastAsia="Times New Roman" w:hAnsi="Times New Roman" w:cs="Times New Roman"/>
                <w:b/>
              </w:rPr>
              <w:t xml:space="preserve">язаних з </w:t>
            </w:r>
            <w:proofErr w:type="spellStart"/>
            <w:r w:rsidR="00126037" w:rsidRPr="00B85C0A">
              <w:rPr>
                <w:rFonts w:ascii="Times New Roman" w:eastAsia="Times New Roman" w:hAnsi="Times New Roman" w:cs="Times New Roman"/>
                <w:b/>
              </w:rPr>
              <w:t>продажем</w:t>
            </w:r>
            <w:proofErr w:type="spellEnd"/>
            <w:r w:rsidR="00126037" w:rsidRPr="00B85C0A">
              <w:rPr>
                <w:rFonts w:ascii="Times New Roman" w:eastAsia="Times New Roman" w:hAnsi="Times New Roman" w:cs="Times New Roman"/>
                <w:b/>
              </w:rPr>
              <w:t xml:space="preserve"> або іншим вибуттям, та не враховує майбутніх витрат на поліпшення або збільшення корисності нерухомості і відповідні майбутні вигоди від цих майбутніх витрат.</w:t>
            </w:r>
            <w:r w:rsidR="00B85C0A" w:rsidRPr="00B85C0A">
              <w:rPr>
                <w:rFonts w:ascii="Times New Roman" w:eastAsia="Times New Roman" w:hAnsi="Times New Roman" w:cs="Times New Roman"/>
                <w:b/>
              </w:rPr>
              <w:t xml:space="preserve"> </w:t>
            </w:r>
          </w:p>
          <w:p w14:paraId="52421434" w14:textId="2B855662" w:rsidR="00B85C0A" w:rsidRPr="00B85C0A" w:rsidRDefault="00B85C0A" w:rsidP="00B85C0A">
            <w:pPr>
              <w:ind w:firstLine="322"/>
              <w:jc w:val="both"/>
              <w:rPr>
                <w:rFonts w:ascii="Times New Roman" w:hAnsi="Times New Roman" w:cs="Times New Roman"/>
                <w:b/>
              </w:rPr>
            </w:pPr>
          </w:p>
        </w:tc>
      </w:tr>
      <w:tr w:rsidR="00126037" w:rsidRPr="00B85C0A" w14:paraId="3DB1B60A" w14:textId="77777777" w:rsidTr="003D2441">
        <w:trPr>
          <w:trHeight w:val="305"/>
        </w:trPr>
        <w:tc>
          <w:tcPr>
            <w:tcW w:w="7089" w:type="dxa"/>
          </w:tcPr>
          <w:p w14:paraId="1D88FC51" w14:textId="01CBBCBC" w:rsidR="00126037" w:rsidRPr="00B85C0A" w:rsidRDefault="00126037" w:rsidP="00700250">
            <w:pPr>
              <w:ind w:firstLine="284"/>
              <w:jc w:val="both"/>
              <w:rPr>
                <w:rFonts w:ascii="Times New Roman" w:hAnsi="Times New Roman" w:cs="Times New Roman"/>
                <w:b/>
              </w:rPr>
            </w:pPr>
            <w:r w:rsidRPr="00B85C0A">
              <w:rPr>
                <w:rFonts w:ascii="Times New Roman" w:hAnsi="Times New Roman" w:cs="Times New Roman"/>
                <w:b/>
              </w:rPr>
              <w:t>відсутн</w:t>
            </w:r>
            <w:r w:rsidR="00700250" w:rsidRPr="00B85C0A">
              <w:rPr>
                <w:rFonts w:ascii="Times New Roman" w:hAnsi="Times New Roman" w:cs="Times New Roman"/>
                <w:b/>
              </w:rPr>
              <w:t>ій</w:t>
            </w:r>
          </w:p>
        </w:tc>
        <w:tc>
          <w:tcPr>
            <w:tcW w:w="7938" w:type="dxa"/>
          </w:tcPr>
          <w:p w14:paraId="2B4467D9" w14:textId="1B2566F8" w:rsidR="00126037" w:rsidRPr="00B85C0A" w:rsidRDefault="00126037" w:rsidP="00700250">
            <w:pPr>
              <w:ind w:firstLine="321"/>
              <w:jc w:val="both"/>
              <w:rPr>
                <w:rFonts w:ascii="Times New Roman" w:hAnsi="Times New Roman" w:cs="Times New Roman"/>
                <w:b/>
                <w:spacing w:val="-1"/>
              </w:rPr>
            </w:pPr>
            <w:r w:rsidRPr="00B85C0A">
              <w:rPr>
                <w:rFonts w:ascii="Times New Roman" w:hAnsi="Times New Roman" w:cs="Times New Roman"/>
                <w:b/>
                <w:spacing w:val="-1"/>
              </w:rPr>
              <w:t>Пункт 14:</w:t>
            </w:r>
          </w:p>
          <w:p w14:paraId="7A50C10D" w14:textId="0F7B01DF" w:rsidR="00126037" w:rsidRPr="00B85C0A" w:rsidRDefault="00C31802" w:rsidP="00700250">
            <w:pPr>
              <w:ind w:firstLine="321"/>
              <w:jc w:val="both"/>
              <w:rPr>
                <w:rFonts w:ascii="Times New Roman" w:hAnsi="Times New Roman" w:cs="Times New Roman"/>
                <w:b/>
                <w:spacing w:val="-1"/>
              </w:rPr>
            </w:pPr>
            <w:r w:rsidRPr="00B85C0A">
              <w:rPr>
                <w:rFonts w:ascii="Times New Roman" w:hAnsi="Times New Roman" w:cs="Times New Roman"/>
                <w:b/>
                <w:spacing w:val="-1"/>
              </w:rPr>
              <w:t xml:space="preserve">14. </w:t>
            </w:r>
            <w:r w:rsidR="00126037" w:rsidRPr="00B85C0A">
              <w:rPr>
                <w:rFonts w:ascii="Times New Roman" w:hAnsi="Times New Roman" w:cs="Times New Roman"/>
                <w:b/>
                <w:spacing w:val="-1"/>
              </w:rPr>
              <w:t>За відсутності активного ринку визначення справедливої вартості інвестиційної нерухомості здійснюється за:</w:t>
            </w:r>
          </w:p>
          <w:p w14:paraId="4DD94F92" w14:textId="77777777" w:rsidR="00126037" w:rsidRPr="00B85C0A" w:rsidRDefault="00126037" w:rsidP="00700250">
            <w:pPr>
              <w:ind w:firstLine="321"/>
              <w:jc w:val="both"/>
              <w:rPr>
                <w:rFonts w:ascii="Times New Roman" w:hAnsi="Times New Roman" w:cs="Times New Roman"/>
                <w:b/>
                <w:spacing w:val="-1"/>
              </w:rPr>
            </w:pPr>
            <w:r w:rsidRPr="00B85C0A">
              <w:rPr>
                <w:rFonts w:ascii="Times New Roman" w:hAnsi="Times New Roman" w:cs="Times New Roman"/>
                <w:b/>
                <w:spacing w:val="-1"/>
              </w:rPr>
              <w:t>поточними цінами на активному ринку на нерухомість різного характеру, стану, місця розташування (або залежно від різних договорів оренди та інших контрактів, скоригованих для відображення цих різниць);</w:t>
            </w:r>
          </w:p>
          <w:p w14:paraId="1CF2D294" w14:textId="2A02B7CA" w:rsidR="00126037" w:rsidRPr="00B85C0A" w:rsidRDefault="00126037" w:rsidP="00700250">
            <w:pPr>
              <w:ind w:firstLine="321"/>
              <w:jc w:val="both"/>
              <w:rPr>
                <w:rFonts w:ascii="Times New Roman" w:hAnsi="Times New Roman" w:cs="Times New Roman"/>
                <w:b/>
                <w:spacing w:val="-1"/>
              </w:rPr>
            </w:pPr>
            <w:r w:rsidRPr="00B85C0A">
              <w:rPr>
                <w:rFonts w:ascii="Times New Roman" w:hAnsi="Times New Roman" w:cs="Times New Roman"/>
                <w:b/>
                <w:spacing w:val="-1"/>
              </w:rPr>
              <w:t>останньою ціною на подібні об</w:t>
            </w:r>
            <w:r w:rsidR="00B85C0A" w:rsidRPr="00B85C0A">
              <w:rPr>
                <w:rFonts w:ascii="Times New Roman" w:hAnsi="Times New Roman" w:cs="Times New Roman"/>
                <w:b/>
                <w:spacing w:val="-1"/>
              </w:rPr>
              <w:t>’</w:t>
            </w:r>
            <w:r w:rsidRPr="00B85C0A">
              <w:rPr>
                <w:rFonts w:ascii="Times New Roman" w:hAnsi="Times New Roman" w:cs="Times New Roman"/>
                <w:b/>
                <w:spacing w:val="-1"/>
              </w:rPr>
              <w:t>єкти нерухомості на менш активному ринку, разом з коригуванням, щоб відобразити будь-які зміни економічних умов з дати операцій, що здійснювалися за тими цінами;</w:t>
            </w:r>
          </w:p>
          <w:p w14:paraId="4C5208AE" w14:textId="77777777" w:rsidR="00126037" w:rsidRPr="00B85C0A" w:rsidRDefault="00126037" w:rsidP="00700250">
            <w:pPr>
              <w:ind w:firstLine="321"/>
              <w:jc w:val="both"/>
              <w:rPr>
                <w:rFonts w:ascii="Times New Roman" w:hAnsi="Times New Roman" w:cs="Times New Roman"/>
                <w:b/>
                <w:spacing w:val="-1"/>
              </w:rPr>
            </w:pPr>
            <w:r w:rsidRPr="00B85C0A">
              <w:rPr>
                <w:rFonts w:ascii="Times New Roman" w:hAnsi="Times New Roman" w:cs="Times New Roman"/>
                <w:b/>
                <w:spacing w:val="-1"/>
              </w:rPr>
              <w:t>прогнозами дисконтованих грошових потоків, які базуються на достовірних попередніх оцінках майбутніх грошових потоків, які підтверджуються умовами будь-якого існуючого договору оренди та інших контрактів і зовнішнім свідченням (таким, як поточні ринкові орендні платежі за подібну нерухомість, в тому самому місці розташування і яка перебуває в тому самому стані), із застосуванням ставок дисконту, що відображають поточні ринкові оцінки невизначеності щодо суми і часу грошових потоків.</w:t>
            </w:r>
          </w:p>
          <w:p w14:paraId="543CFFA6" w14:textId="0EFAF33C" w:rsidR="00C31802" w:rsidRPr="00B85C0A" w:rsidRDefault="00C31802" w:rsidP="00700250">
            <w:pPr>
              <w:ind w:firstLine="321"/>
              <w:jc w:val="both"/>
              <w:rPr>
                <w:rFonts w:ascii="Times New Roman" w:hAnsi="Times New Roman" w:cs="Times New Roman"/>
                <w:b/>
                <w:spacing w:val="-1"/>
              </w:rPr>
            </w:pPr>
          </w:p>
        </w:tc>
      </w:tr>
      <w:tr w:rsidR="00126037" w:rsidRPr="00B85C0A" w14:paraId="569B4EA5" w14:textId="77777777" w:rsidTr="003D2441">
        <w:trPr>
          <w:trHeight w:val="305"/>
        </w:trPr>
        <w:tc>
          <w:tcPr>
            <w:tcW w:w="7089" w:type="dxa"/>
          </w:tcPr>
          <w:p w14:paraId="65A17D17" w14:textId="612899B0" w:rsidR="00126037" w:rsidRPr="00B85C0A" w:rsidRDefault="00126037" w:rsidP="00700250">
            <w:pPr>
              <w:ind w:firstLine="284"/>
              <w:jc w:val="both"/>
              <w:rPr>
                <w:rFonts w:ascii="Times New Roman" w:hAnsi="Times New Roman" w:cs="Times New Roman"/>
                <w:b/>
              </w:rPr>
            </w:pPr>
            <w:r w:rsidRPr="00B85C0A">
              <w:rPr>
                <w:rFonts w:ascii="Times New Roman" w:hAnsi="Times New Roman" w:cs="Times New Roman"/>
                <w:b/>
              </w:rPr>
              <w:t>відсутн</w:t>
            </w:r>
            <w:r w:rsidR="00700250" w:rsidRPr="00B85C0A">
              <w:rPr>
                <w:rFonts w:ascii="Times New Roman" w:hAnsi="Times New Roman" w:cs="Times New Roman"/>
                <w:b/>
              </w:rPr>
              <w:t>ій</w:t>
            </w:r>
          </w:p>
        </w:tc>
        <w:tc>
          <w:tcPr>
            <w:tcW w:w="7938" w:type="dxa"/>
          </w:tcPr>
          <w:p w14:paraId="7F48C4ED" w14:textId="77777777"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t xml:space="preserve">Пункт 15: </w:t>
            </w:r>
          </w:p>
          <w:p w14:paraId="507CDD0A" w14:textId="3EAAFB34" w:rsidR="00126037" w:rsidRDefault="00C31802" w:rsidP="00B85C0A">
            <w:pPr>
              <w:ind w:firstLine="316"/>
              <w:jc w:val="both"/>
              <w:rPr>
                <w:rFonts w:ascii="Times New Roman" w:hAnsi="Times New Roman" w:cs="Times New Roman"/>
                <w:b/>
              </w:rPr>
            </w:pPr>
            <w:r w:rsidRPr="00B85C0A">
              <w:rPr>
                <w:rFonts w:ascii="Times New Roman" w:hAnsi="Times New Roman" w:cs="Times New Roman"/>
                <w:b/>
              </w:rPr>
              <w:t xml:space="preserve">15. </w:t>
            </w:r>
            <w:r w:rsidR="00126037" w:rsidRPr="00B85C0A">
              <w:rPr>
                <w:rFonts w:ascii="Times New Roman" w:hAnsi="Times New Roman" w:cs="Times New Roman"/>
                <w:b/>
              </w:rPr>
              <w:t xml:space="preserve">Якщо справедливу вартість інвестиційної нерухомості достовірно визначити неможливо, то нерухомість обліковується відповідно до Національного положення (стандарту) бухгалтерського обліку в державному </w:t>
            </w:r>
            <w:r w:rsidR="00126037" w:rsidRPr="00B85C0A">
              <w:rPr>
                <w:rFonts w:ascii="Times New Roman" w:hAnsi="Times New Roman" w:cs="Times New Roman"/>
                <w:b/>
              </w:rPr>
              <w:lastRenderedPageBreak/>
              <w:t>секторі 121 «Основні засоби», затвердженого наказом Міністерства фінансів України від 12 жовтня 2010 року</w:t>
            </w:r>
            <w:r w:rsidR="00B85C0A">
              <w:rPr>
                <w:rFonts w:ascii="Times New Roman" w:hAnsi="Times New Roman" w:cs="Times New Roman"/>
                <w:b/>
              </w:rPr>
              <w:t xml:space="preserve"> </w:t>
            </w:r>
            <w:r w:rsidR="00126037" w:rsidRPr="00B85C0A">
              <w:rPr>
                <w:rFonts w:ascii="Times New Roman" w:hAnsi="Times New Roman" w:cs="Times New Roman"/>
                <w:b/>
              </w:rPr>
              <w:t>№ 1202, зареєстрованого в Міністерстві юстиції України 01 листопада 2010 року за № 1017/18312».</w:t>
            </w:r>
          </w:p>
          <w:p w14:paraId="13C1982D" w14:textId="77609D3B" w:rsidR="00B85C0A" w:rsidRPr="00B85C0A" w:rsidRDefault="00B85C0A" w:rsidP="00126037">
            <w:pPr>
              <w:jc w:val="both"/>
              <w:rPr>
                <w:rFonts w:ascii="Times New Roman" w:hAnsi="Times New Roman" w:cs="Times New Roman"/>
                <w:b/>
                <w:spacing w:val="-1"/>
              </w:rPr>
            </w:pPr>
          </w:p>
        </w:tc>
      </w:tr>
      <w:tr w:rsidR="00126037" w:rsidRPr="00B85C0A" w14:paraId="55A1CE34" w14:textId="77777777" w:rsidTr="003D2441">
        <w:trPr>
          <w:trHeight w:val="305"/>
        </w:trPr>
        <w:tc>
          <w:tcPr>
            <w:tcW w:w="7089" w:type="dxa"/>
          </w:tcPr>
          <w:p w14:paraId="1F24FA91" w14:textId="59FAB608" w:rsidR="00126037" w:rsidRPr="00B85C0A" w:rsidRDefault="00126037" w:rsidP="00700250">
            <w:pPr>
              <w:ind w:firstLine="284"/>
              <w:jc w:val="both"/>
              <w:rPr>
                <w:rFonts w:ascii="Times New Roman" w:hAnsi="Times New Roman" w:cs="Times New Roman"/>
                <w:b/>
              </w:rPr>
            </w:pPr>
            <w:r w:rsidRPr="00B85C0A">
              <w:rPr>
                <w:rFonts w:ascii="Times New Roman" w:hAnsi="Times New Roman" w:cs="Times New Roman"/>
                <w:b/>
              </w:rPr>
              <w:lastRenderedPageBreak/>
              <w:t>відсутн</w:t>
            </w:r>
            <w:r w:rsidR="00700250" w:rsidRPr="00B85C0A">
              <w:rPr>
                <w:rFonts w:ascii="Times New Roman" w:hAnsi="Times New Roman" w:cs="Times New Roman"/>
                <w:b/>
              </w:rPr>
              <w:t>ій</w:t>
            </w:r>
          </w:p>
        </w:tc>
        <w:tc>
          <w:tcPr>
            <w:tcW w:w="7938" w:type="dxa"/>
          </w:tcPr>
          <w:p w14:paraId="68AD525B" w14:textId="77777777" w:rsidR="00126037" w:rsidRPr="00B85C0A" w:rsidRDefault="00126037" w:rsidP="00126037">
            <w:pPr>
              <w:ind w:firstLine="284"/>
              <w:jc w:val="both"/>
              <w:rPr>
                <w:rFonts w:ascii="Times New Roman" w:hAnsi="Times New Roman" w:cs="Times New Roman"/>
                <w:b/>
              </w:rPr>
            </w:pPr>
            <w:r w:rsidRPr="00B85C0A">
              <w:rPr>
                <w:rFonts w:ascii="Times New Roman" w:hAnsi="Times New Roman" w:cs="Times New Roman"/>
                <w:b/>
              </w:rPr>
              <w:t>Пункт 16</w:t>
            </w:r>
          </w:p>
          <w:p w14:paraId="28B84807" w14:textId="77777777" w:rsidR="00126037" w:rsidRPr="00B85C0A" w:rsidRDefault="00C31802" w:rsidP="00126037">
            <w:pPr>
              <w:ind w:firstLine="284"/>
              <w:jc w:val="both"/>
              <w:rPr>
                <w:rFonts w:ascii="Times New Roman" w:hAnsi="Times New Roman" w:cs="Times New Roman"/>
                <w:b/>
              </w:rPr>
            </w:pPr>
            <w:r w:rsidRPr="00B85C0A">
              <w:rPr>
                <w:rFonts w:ascii="Times New Roman" w:hAnsi="Times New Roman" w:cs="Times New Roman"/>
                <w:b/>
              </w:rPr>
              <w:t xml:space="preserve">16. </w:t>
            </w:r>
            <w:r w:rsidR="00126037" w:rsidRPr="00B85C0A">
              <w:rPr>
                <w:rFonts w:ascii="Times New Roman" w:hAnsi="Times New Roman" w:cs="Times New Roman"/>
                <w:b/>
              </w:rPr>
              <w:t>Сума збільшення або зменшення справедливої вартості інвестиційної нерухомості на дату балансу відображається у складі доходів або витрат звітного періоду.</w:t>
            </w:r>
          </w:p>
          <w:p w14:paraId="5C3D6A6A" w14:textId="7F71623F" w:rsidR="00C31802" w:rsidRPr="00B85C0A" w:rsidRDefault="00C31802" w:rsidP="00C31802">
            <w:pPr>
              <w:ind w:firstLine="284"/>
              <w:jc w:val="both"/>
              <w:rPr>
                <w:rFonts w:ascii="Times New Roman" w:hAnsi="Times New Roman" w:cs="Times New Roman"/>
                <w:b/>
              </w:rPr>
            </w:pPr>
          </w:p>
        </w:tc>
      </w:tr>
      <w:tr w:rsidR="00126037" w:rsidRPr="00B85C0A" w14:paraId="4EE043BA" w14:textId="77777777" w:rsidTr="003D2441">
        <w:trPr>
          <w:trHeight w:val="305"/>
        </w:trPr>
        <w:tc>
          <w:tcPr>
            <w:tcW w:w="15028" w:type="dxa"/>
            <w:gridSpan w:val="2"/>
          </w:tcPr>
          <w:p w14:paraId="12422704" w14:textId="121836E7" w:rsidR="00126037" w:rsidRPr="00B85C0A" w:rsidRDefault="00126037" w:rsidP="00126037">
            <w:pPr>
              <w:spacing w:before="120" w:line="243" w:lineRule="auto"/>
              <w:ind w:left="36" w:right="-9"/>
              <w:jc w:val="center"/>
              <w:rPr>
                <w:rFonts w:ascii="Times New Roman" w:hAnsi="Times New Roman" w:cs="Times New Roman"/>
                <w:b/>
              </w:rPr>
            </w:pPr>
            <w:r w:rsidRPr="00B85C0A">
              <w:rPr>
                <w:rFonts w:ascii="Times New Roman" w:hAnsi="Times New Roman" w:cs="Times New Roman"/>
                <w:b/>
              </w:rPr>
              <w:t xml:space="preserve">IІІ. Переведення нерухомості до інвестиційної нерухомості або виведення її зі складу інвестиційної нерухомості </w:t>
            </w:r>
          </w:p>
          <w:p w14:paraId="49A169A2" w14:textId="77777777" w:rsidR="00126037" w:rsidRPr="00B85C0A" w:rsidRDefault="00126037" w:rsidP="00126037">
            <w:pPr>
              <w:ind w:firstLine="284"/>
              <w:jc w:val="both"/>
              <w:rPr>
                <w:rFonts w:ascii="Times New Roman" w:hAnsi="Times New Roman" w:cs="Times New Roman"/>
                <w:b/>
              </w:rPr>
            </w:pPr>
          </w:p>
        </w:tc>
      </w:tr>
      <w:tr w:rsidR="00126037" w:rsidRPr="00B85C0A" w14:paraId="2080BF2A" w14:textId="77777777" w:rsidTr="003D2441">
        <w:trPr>
          <w:trHeight w:val="305"/>
        </w:trPr>
        <w:tc>
          <w:tcPr>
            <w:tcW w:w="7089" w:type="dxa"/>
          </w:tcPr>
          <w:p w14:paraId="17DE25D4"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Пункт 1:</w:t>
            </w:r>
          </w:p>
          <w:p w14:paraId="405DE765" w14:textId="59CFE1DB" w:rsidR="00126037" w:rsidRPr="00B85C0A" w:rsidRDefault="00C31802" w:rsidP="00126037">
            <w:pPr>
              <w:ind w:firstLine="284"/>
              <w:jc w:val="both"/>
              <w:rPr>
                <w:rFonts w:ascii="Times New Roman" w:hAnsi="Times New Roman" w:cs="Times New Roman"/>
              </w:rPr>
            </w:pPr>
            <w:r w:rsidRPr="00B85C0A">
              <w:rPr>
                <w:rFonts w:ascii="Times New Roman" w:hAnsi="Times New Roman" w:cs="Times New Roman"/>
              </w:rPr>
              <w:t xml:space="preserve">1. </w:t>
            </w:r>
            <w:r w:rsidR="00126037" w:rsidRPr="00B85C0A">
              <w:rPr>
                <w:rFonts w:ascii="Times New Roman" w:hAnsi="Times New Roman" w:cs="Times New Roman"/>
              </w:rPr>
              <w:t>Переведення нерухомості до інвестиційної нерухомості або виведення її зі складу інвестиційної нерухомості здійснюється лише в разі зміни характеру використання нерухомості, що засвідчується:</w:t>
            </w:r>
          </w:p>
        </w:tc>
        <w:tc>
          <w:tcPr>
            <w:tcW w:w="7938" w:type="dxa"/>
          </w:tcPr>
          <w:p w14:paraId="6D82DC10"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Пункт 1:</w:t>
            </w:r>
          </w:p>
          <w:p w14:paraId="504151DD" w14:textId="160EBC5E" w:rsidR="00C31802" w:rsidRPr="00B85C0A" w:rsidRDefault="00C31802" w:rsidP="00B85C0A">
            <w:pPr>
              <w:ind w:firstLine="284"/>
              <w:jc w:val="both"/>
              <w:rPr>
                <w:rFonts w:ascii="Times New Roman" w:hAnsi="Times New Roman" w:cs="Times New Roman"/>
              </w:rPr>
            </w:pPr>
            <w:r w:rsidRPr="00B85C0A">
              <w:rPr>
                <w:rFonts w:ascii="Times New Roman" w:hAnsi="Times New Roman" w:cs="Times New Roman"/>
              </w:rPr>
              <w:t xml:space="preserve">1. </w:t>
            </w:r>
            <w:r w:rsidR="00126037" w:rsidRPr="00B85C0A">
              <w:rPr>
                <w:rFonts w:ascii="Times New Roman" w:hAnsi="Times New Roman" w:cs="Times New Roman"/>
              </w:rPr>
              <w:t>Переведення нерухомості до інвестиційної нерухомості або виведення її зі складу інвестиційної нерухомості здійснюється лише в разі зміни характеру використання нерухомості, що засвідчується:</w:t>
            </w:r>
            <w:r w:rsidR="00B85C0A" w:rsidRPr="00B85C0A">
              <w:rPr>
                <w:rFonts w:ascii="Times New Roman" w:hAnsi="Times New Roman" w:cs="Times New Roman"/>
              </w:rPr>
              <w:t xml:space="preserve"> </w:t>
            </w:r>
          </w:p>
        </w:tc>
      </w:tr>
      <w:tr w:rsidR="00126037" w:rsidRPr="00B85C0A" w14:paraId="24AD71A3" w14:textId="77777777" w:rsidTr="003D2441">
        <w:trPr>
          <w:trHeight w:val="305"/>
        </w:trPr>
        <w:tc>
          <w:tcPr>
            <w:tcW w:w="7089" w:type="dxa"/>
          </w:tcPr>
          <w:p w14:paraId="06328182" w14:textId="7777777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1) початком використання її як операційної нерухомості;</w:t>
            </w:r>
          </w:p>
        </w:tc>
        <w:tc>
          <w:tcPr>
            <w:tcW w:w="7938" w:type="dxa"/>
          </w:tcPr>
          <w:p w14:paraId="5A9F0422" w14:textId="6614F432" w:rsidR="00C31802" w:rsidRPr="00B85C0A" w:rsidRDefault="00126037" w:rsidP="00B85C0A">
            <w:pPr>
              <w:ind w:firstLine="284"/>
              <w:jc w:val="both"/>
              <w:rPr>
                <w:rFonts w:ascii="Times New Roman" w:hAnsi="Times New Roman" w:cs="Times New Roman"/>
              </w:rPr>
            </w:pPr>
            <w:r w:rsidRPr="00B85C0A">
              <w:rPr>
                <w:rFonts w:ascii="Times New Roman" w:hAnsi="Times New Roman" w:cs="Times New Roman"/>
              </w:rPr>
              <w:t>1) початком використання її як операційної нерухомості</w:t>
            </w:r>
            <w:r w:rsidRPr="00B85C0A">
              <w:rPr>
                <w:rFonts w:ascii="Times New Roman" w:hAnsi="Times New Roman" w:cs="Times New Roman"/>
                <w:b/>
              </w:rPr>
              <w:t xml:space="preserve"> з переведенням об</w:t>
            </w:r>
            <w:r w:rsidR="00B85C0A" w:rsidRPr="00B85C0A">
              <w:rPr>
                <w:rFonts w:ascii="Times New Roman" w:hAnsi="Times New Roman" w:cs="Times New Roman"/>
                <w:b/>
              </w:rPr>
              <w:t>’</w:t>
            </w:r>
            <w:r w:rsidRPr="00B85C0A">
              <w:rPr>
                <w:rFonts w:ascii="Times New Roman" w:hAnsi="Times New Roman" w:cs="Times New Roman"/>
                <w:b/>
              </w:rPr>
              <w:t>єкта з інвестиційної нерухомості до операційної</w:t>
            </w:r>
            <w:r w:rsidRPr="00B85C0A">
              <w:rPr>
                <w:rFonts w:ascii="Times New Roman" w:hAnsi="Times New Roman" w:cs="Times New Roman"/>
              </w:rPr>
              <w:t xml:space="preserve"> </w:t>
            </w:r>
            <w:r w:rsidRPr="00B85C0A">
              <w:rPr>
                <w:rFonts w:ascii="Times New Roman" w:hAnsi="Times New Roman" w:cs="Times New Roman"/>
                <w:b/>
              </w:rPr>
              <w:t>нерухомості</w:t>
            </w:r>
            <w:r w:rsidRPr="00B85C0A">
              <w:rPr>
                <w:rFonts w:ascii="Times New Roman" w:hAnsi="Times New Roman" w:cs="Times New Roman"/>
              </w:rPr>
              <w:t>;</w:t>
            </w:r>
            <w:r w:rsidR="00B85C0A" w:rsidRPr="00B85C0A">
              <w:rPr>
                <w:rFonts w:ascii="Times New Roman" w:hAnsi="Times New Roman" w:cs="Times New Roman"/>
              </w:rPr>
              <w:t xml:space="preserve"> </w:t>
            </w:r>
          </w:p>
        </w:tc>
      </w:tr>
      <w:tr w:rsidR="00126037" w:rsidRPr="00B85C0A" w14:paraId="6E6975EF" w14:textId="77777777" w:rsidTr="003D2441">
        <w:trPr>
          <w:trHeight w:val="305"/>
        </w:trPr>
        <w:tc>
          <w:tcPr>
            <w:tcW w:w="7089" w:type="dxa"/>
          </w:tcPr>
          <w:p w14:paraId="2CED5062" w14:textId="25D2AD97" w:rsidR="00126037" w:rsidRPr="00B85C0A" w:rsidRDefault="00126037" w:rsidP="00126037">
            <w:pPr>
              <w:ind w:firstLine="284"/>
              <w:jc w:val="both"/>
              <w:rPr>
                <w:rFonts w:ascii="Times New Roman" w:hAnsi="Times New Roman" w:cs="Times New Roman"/>
              </w:rPr>
            </w:pPr>
            <w:r w:rsidRPr="00B85C0A">
              <w:rPr>
                <w:rFonts w:ascii="Times New Roman" w:hAnsi="Times New Roman" w:cs="Times New Roman"/>
              </w:rPr>
              <w:t>2) початком підготовки її до продажу з переведенням об</w:t>
            </w:r>
            <w:r w:rsidR="00B85C0A" w:rsidRPr="00B85C0A">
              <w:rPr>
                <w:rFonts w:ascii="Times New Roman" w:hAnsi="Times New Roman" w:cs="Times New Roman"/>
              </w:rPr>
              <w:t>’</w:t>
            </w:r>
            <w:r w:rsidRPr="00B85C0A">
              <w:rPr>
                <w:rFonts w:ascii="Times New Roman" w:hAnsi="Times New Roman" w:cs="Times New Roman"/>
              </w:rPr>
              <w:t>єкта з інвестиційної нерухомості до складу запасів;</w:t>
            </w:r>
          </w:p>
        </w:tc>
        <w:tc>
          <w:tcPr>
            <w:tcW w:w="7938" w:type="dxa"/>
          </w:tcPr>
          <w:p w14:paraId="27319519" w14:textId="08EDD4FD" w:rsidR="00C31802" w:rsidRPr="00B85C0A" w:rsidRDefault="00126037" w:rsidP="00B85C0A">
            <w:pPr>
              <w:ind w:firstLine="284"/>
              <w:jc w:val="both"/>
              <w:rPr>
                <w:rFonts w:ascii="Times New Roman" w:hAnsi="Times New Roman" w:cs="Times New Roman"/>
              </w:rPr>
            </w:pPr>
            <w:r w:rsidRPr="00B85C0A">
              <w:rPr>
                <w:rFonts w:ascii="Times New Roman" w:hAnsi="Times New Roman" w:cs="Times New Roman"/>
              </w:rPr>
              <w:t>2) початком підготовки її до продажу з переведенням об</w:t>
            </w:r>
            <w:r w:rsidR="00B85C0A" w:rsidRPr="00B85C0A">
              <w:rPr>
                <w:rFonts w:ascii="Times New Roman" w:hAnsi="Times New Roman" w:cs="Times New Roman"/>
              </w:rPr>
              <w:t>’</w:t>
            </w:r>
            <w:r w:rsidRPr="00B85C0A">
              <w:rPr>
                <w:rFonts w:ascii="Times New Roman" w:hAnsi="Times New Roman" w:cs="Times New Roman"/>
              </w:rPr>
              <w:t>єкта з інвестиційної нерухомості до складу запасів;</w:t>
            </w:r>
            <w:r w:rsidR="00B85C0A" w:rsidRPr="00B85C0A">
              <w:rPr>
                <w:rFonts w:ascii="Times New Roman" w:hAnsi="Times New Roman" w:cs="Times New Roman"/>
              </w:rPr>
              <w:t xml:space="preserve"> </w:t>
            </w:r>
          </w:p>
        </w:tc>
      </w:tr>
      <w:tr w:rsidR="00126037" w:rsidRPr="00B85C0A" w14:paraId="09E51F1B" w14:textId="77777777" w:rsidTr="003D2441">
        <w:trPr>
          <w:trHeight w:val="661"/>
        </w:trPr>
        <w:tc>
          <w:tcPr>
            <w:tcW w:w="7089" w:type="dxa"/>
          </w:tcPr>
          <w:p w14:paraId="5EDE570C" w14:textId="77777777" w:rsidR="00126037" w:rsidRPr="00B85C0A" w:rsidRDefault="00126037" w:rsidP="00126037">
            <w:pPr>
              <w:ind w:firstLine="284"/>
              <w:jc w:val="both"/>
              <w:rPr>
                <w:rFonts w:ascii="Times New Roman" w:hAnsi="Times New Roman" w:cs="Times New Roman"/>
                <w:strike/>
              </w:rPr>
            </w:pPr>
            <w:r w:rsidRPr="00B85C0A">
              <w:rPr>
                <w:rFonts w:ascii="Times New Roman" w:hAnsi="Times New Roman" w:cs="Times New Roman"/>
                <w:strike/>
              </w:rPr>
              <w:t>3) підготовкою операційної нерухомості для використання як інвестиційної нерухомості;</w:t>
            </w:r>
          </w:p>
        </w:tc>
        <w:tc>
          <w:tcPr>
            <w:tcW w:w="7938" w:type="dxa"/>
          </w:tcPr>
          <w:p w14:paraId="12BE3FB4" w14:textId="1D1A42F2" w:rsidR="00C31802" w:rsidRPr="00B85C0A" w:rsidRDefault="00126037" w:rsidP="00B85C0A">
            <w:pPr>
              <w:ind w:firstLine="284"/>
              <w:jc w:val="both"/>
              <w:rPr>
                <w:rFonts w:ascii="Times New Roman" w:hAnsi="Times New Roman" w:cs="Times New Roman"/>
                <w:b/>
              </w:rPr>
            </w:pPr>
            <w:r w:rsidRPr="00B85C0A">
              <w:rPr>
                <w:rFonts w:ascii="Times New Roman" w:hAnsi="Times New Roman" w:cs="Times New Roman"/>
                <w:b/>
              </w:rPr>
              <w:t>3) завершенням використання її як операційної нерухомості з переведенням до інвестиційної нерухомості;</w:t>
            </w:r>
            <w:r w:rsidR="00B85C0A" w:rsidRPr="00B85C0A">
              <w:rPr>
                <w:rFonts w:ascii="Times New Roman" w:hAnsi="Times New Roman" w:cs="Times New Roman"/>
                <w:b/>
              </w:rPr>
              <w:t xml:space="preserve"> </w:t>
            </w:r>
          </w:p>
        </w:tc>
      </w:tr>
      <w:tr w:rsidR="00C31802" w:rsidRPr="00B85C0A" w14:paraId="361BF9D4" w14:textId="77777777" w:rsidTr="003D2441">
        <w:trPr>
          <w:trHeight w:val="712"/>
        </w:trPr>
        <w:tc>
          <w:tcPr>
            <w:tcW w:w="7089" w:type="dxa"/>
          </w:tcPr>
          <w:p w14:paraId="17260A07" w14:textId="4A5764F2" w:rsidR="00C31802" w:rsidRPr="00B85C0A" w:rsidRDefault="00C31802" w:rsidP="00C31802">
            <w:pPr>
              <w:ind w:firstLine="284"/>
              <w:jc w:val="both"/>
              <w:rPr>
                <w:rFonts w:ascii="Times New Roman" w:hAnsi="Times New Roman" w:cs="Times New Roman"/>
                <w:strike/>
              </w:rPr>
            </w:pPr>
            <w:r w:rsidRPr="00B85C0A">
              <w:rPr>
                <w:rFonts w:ascii="Times New Roman" w:hAnsi="Times New Roman" w:cs="Times New Roman"/>
                <w:strike/>
              </w:rPr>
              <w:t>4) наданням її в операційну оренду іншій стороні;</w:t>
            </w:r>
          </w:p>
        </w:tc>
        <w:tc>
          <w:tcPr>
            <w:tcW w:w="7938" w:type="dxa"/>
          </w:tcPr>
          <w:p w14:paraId="295B7ECB" w14:textId="43F8058B" w:rsidR="00C31802" w:rsidRPr="00B85C0A" w:rsidRDefault="00C31802" w:rsidP="00B85C0A">
            <w:pPr>
              <w:ind w:firstLine="239"/>
              <w:jc w:val="both"/>
              <w:rPr>
                <w:rFonts w:ascii="Times New Roman" w:hAnsi="Times New Roman" w:cs="Times New Roman"/>
                <w:b/>
              </w:rPr>
            </w:pPr>
            <w:r w:rsidRPr="00B85C0A">
              <w:rPr>
                <w:rFonts w:ascii="Times New Roman" w:hAnsi="Times New Roman" w:cs="Times New Roman"/>
                <w:b/>
              </w:rPr>
              <w:t>4) початком операційної оренди іншою стороною з переведенням об</w:t>
            </w:r>
            <w:r w:rsidR="00B85C0A" w:rsidRPr="00B85C0A">
              <w:rPr>
                <w:rFonts w:ascii="Times New Roman" w:hAnsi="Times New Roman" w:cs="Times New Roman"/>
                <w:b/>
              </w:rPr>
              <w:t>’</w:t>
            </w:r>
            <w:r w:rsidRPr="00B85C0A">
              <w:rPr>
                <w:rFonts w:ascii="Times New Roman" w:hAnsi="Times New Roman" w:cs="Times New Roman"/>
                <w:b/>
              </w:rPr>
              <w:t>єкта зі складу запасів до інвестиційної нерухомості.</w:t>
            </w:r>
            <w:r w:rsidR="00B85C0A" w:rsidRPr="00B85C0A">
              <w:rPr>
                <w:rFonts w:ascii="Times New Roman" w:hAnsi="Times New Roman" w:cs="Times New Roman"/>
                <w:b/>
              </w:rPr>
              <w:t xml:space="preserve"> </w:t>
            </w:r>
          </w:p>
        </w:tc>
      </w:tr>
      <w:tr w:rsidR="00C31802" w:rsidRPr="00B85C0A" w14:paraId="00F680DF" w14:textId="77777777" w:rsidTr="003D2441">
        <w:trPr>
          <w:trHeight w:val="525"/>
        </w:trPr>
        <w:tc>
          <w:tcPr>
            <w:tcW w:w="7089" w:type="dxa"/>
          </w:tcPr>
          <w:p w14:paraId="35E7158B" w14:textId="0BB8C3EC" w:rsidR="00C31802" w:rsidRPr="00B85C0A" w:rsidRDefault="00C31802" w:rsidP="00B85C0A">
            <w:pPr>
              <w:ind w:firstLine="284"/>
              <w:jc w:val="both"/>
              <w:rPr>
                <w:rFonts w:ascii="Times New Roman" w:hAnsi="Times New Roman" w:cs="Times New Roman"/>
                <w:strike/>
              </w:rPr>
            </w:pPr>
            <w:r w:rsidRPr="00B85C0A">
              <w:rPr>
                <w:rFonts w:ascii="Times New Roman" w:hAnsi="Times New Roman" w:cs="Times New Roman"/>
                <w:strike/>
              </w:rPr>
              <w:t xml:space="preserve">5) переведенням її із запасів або операційної нерухомості  до </w:t>
            </w:r>
            <w:r w:rsidRPr="00B85C0A">
              <w:rPr>
                <w:rFonts w:ascii="Times New Roman" w:hAnsi="Times New Roman" w:cs="Times New Roman"/>
                <w:strike/>
              </w:rPr>
              <w:br/>
              <w:t>інвестиційної нерухомості;</w:t>
            </w:r>
            <w:r w:rsidR="00B85C0A" w:rsidRPr="00B85C0A">
              <w:rPr>
                <w:rFonts w:ascii="Times New Roman" w:hAnsi="Times New Roman" w:cs="Times New Roman"/>
                <w:strike/>
              </w:rPr>
              <w:t xml:space="preserve"> </w:t>
            </w:r>
          </w:p>
        </w:tc>
        <w:tc>
          <w:tcPr>
            <w:tcW w:w="7938" w:type="dxa"/>
          </w:tcPr>
          <w:p w14:paraId="0B0C8B18" w14:textId="7BFAE336" w:rsidR="00C31802" w:rsidRPr="00B85C0A" w:rsidRDefault="00C31802" w:rsidP="00C31802">
            <w:pPr>
              <w:ind w:firstLine="239"/>
              <w:jc w:val="both"/>
              <w:rPr>
                <w:rFonts w:ascii="Times New Roman" w:hAnsi="Times New Roman" w:cs="Times New Roman"/>
                <w:b/>
              </w:rPr>
            </w:pPr>
            <w:r w:rsidRPr="00B85C0A">
              <w:rPr>
                <w:rFonts w:ascii="Times New Roman" w:hAnsi="Times New Roman" w:cs="Times New Roman"/>
                <w:b/>
              </w:rPr>
              <w:t>Виключено</w:t>
            </w:r>
          </w:p>
        </w:tc>
      </w:tr>
      <w:tr w:rsidR="00C31802" w:rsidRPr="00B85C0A" w14:paraId="5DA19641" w14:textId="77777777" w:rsidTr="003D2441">
        <w:trPr>
          <w:trHeight w:val="305"/>
        </w:trPr>
        <w:tc>
          <w:tcPr>
            <w:tcW w:w="7089" w:type="dxa"/>
          </w:tcPr>
          <w:p w14:paraId="377D5696" w14:textId="77777777" w:rsidR="00C31802" w:rsidRPr="00B85C0A" w:rsidRDefault="00C31802" w:rsidP="00B85C0A">
            <w:pPr>
              <w:ind w:firstLine="284"/>
              <w:jc w:val="both"/>
              <w:rPr>
                <w:rFonts w:ascii="Times New Roman" w:hAnsi="Times New Roman" w:cs="Times New Roman"/>
                <w:strike/>
              </w:rPr>
            </w:pPr>
            <w:r w:rsidRPr="00B85C0A">
              <w:rPr>
                <w:rFonts w:ascii="Times New Roman" w:hAnsi="Times New Roman" w:cs="Times New Roman"/>
                <w:strike/>
              </w:rPr>
              <w:t>6) завершенням будівництва з переведенням нерухомості зі складу незавершеного будівництва до інвестиційної нерухомості.</w:t>
            </w:r>
            <w:r w:rsidR="00B85C0A" w:rsidRPr="00B85C0A">
              <w:rPr>
                <w:rFonts w:ascii="Times New Roman" w:hAnsi="Times New Roman" w:cs="Times New Roman"/>
                <w:strike/>
              </w:rPr>
              <w:t xml:space="preserve"> </w:t>
            </w:r>
          </w:p>
          <w:p w14:paraId="5C74BDC3" w14:textId="591937C5" w:rsidR="00B85C0A" w:rsidRPr="00B85C0A" w:rsidRDefault="00B85C0A" w:rsidP="00B85C0A">
            <w:pPr>
              <w:ind w:firstLine="284"/>
              <w:jc w:val="both"/>
              <w:rPr>
                <w:rFonts w:ascii="Times New Roman" w:hAnsi="Times New Roman" w:cs="Times New Roman"/>
                <w:strike/>
              </w:rPr>
            </w:pPr>
          </w:p>
        </w:tc>
        <w:tc>
          <w:tcPr>
            <w:tcW w:w="7938" w:type="dxa"/>
          </w:tcPr>
          <w:p w14:paraId="05A0D742" w14:textId="368F2D2F" w:rsidR="00C31802" w:rsidRPr="00B85C0A" w:rsidRDefault="00C31802" w:rsidP="00C31802">
            <w:pPr>
              <w:ind w:firstLine="284"/>
              <w:jc w:val="both"/>
              <w:rPr>
                <w:rFonts w:ascii="Times New Roman" w:hAnsi="Times New Roman" w:cs="Times New Roman"/>
                <w:b/>
              </w:rPr>
            </w:pPr>
            <w:r w:rsidRPr="00B85C0A">
              <w:rPr>
                <w:rFonts w:ascii="Times New Roman" w:hAnsi="Times New Roman" w:cs="Times New Roman"/>
                <w:b/>
              </w:rPr>
              <w:t xml:space="preserve">Виключено </w:t>
            </w:r>
          </w:p>
        </w:tc>
      </w:tr>
      <w:tr w:rsidR="00C31802" w:rsidRPr="00B85C0A" w14:paraId="6C22B1BD" w14:textId="77777777" w:rsidTr="003D2441">
        <w:trPr>
          <w:trHeight w:val="305"/>
        </w:trPr>
        <w:tc>
          <w:tcPr>
            <w:tcW w:w="7089" w:type="dxa"/>
          </w:tcPr>
          <w:p w14:paraId="1B0E209F" w14:textId="77777777"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t xml:space="preserve">Пункт 2: </w:t>
            </w:r>
          </w:p>
          <w:p w14:paraId="0806218C" w14:textId="17C43D51"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t xml:space="preserve">2. Переведення інвестиційної  нерухомості до складу запасів здійснюється у разі існування  зміни способу використання цього активу, що підтверджується початком підготовки до продажу. Якщо реалізація інвестиційної нерухомості здійснюється без попередньої підготовки, то </w:t>
            </w:r>
            <w:r w:rsidRPr="00B85C0A">
              <w:rPr>
                <w:rFonts w:ascii="Times New Roman" w:hAnsi="Times New Roman" w:cs="Times New Roman"/>
              </w:rPr>
              <w:lastRenderedPageBreak/>
              <w:t>інвестиційна нерухомість  переведенню до складу запасів не підлягає. Якщо суб</w:t>
            </w:r>
            <w:r w:rsidR="00B85C0A" w:rsidRPr="00B85C0A">
              <w:rPr>
                <w:rFonts w:ascii="Times New Roman" w:hAnsi="Times New Roman" w:cs="Times New Roman"/>
              </w:rPr>
              <w:t>’</w:t>
            </w:r>
            <w:r w:rsidRPr="00B85C0A">
              <w:rPr>
                <w:rFonts w:ascii="Times New Roman" w:hAnsi="Times New Roman" w:cs="Times New Roman"/>
              </w:rPr>
              <w:t>єкт державного сектору здійснює поліпшення (добудову, реконструкцію тощо) існуючої інвестиційної нерухомості для продовження її використання в майбутньому як інвестиційної нерухомості, то такий об</w:t>
            </w:r>
            <w:r w:rsidR="00B85C0A" w:rsidRPr="00B85C0A">
              <w:rPr>
                <w:rFonts w:ascii="Times New Roman" w:hAnsi="Times New Roman" w:cs="Times New Roman"/>
              </w:rPr>
              <w:t>’</w:t>
            </w:r>
            <w:r w:rsidRPr="00B85C0A">
              <w:rPr>
                <w:rFonts w:ascii="Times New Roman" w:hAnsi="Times New Roman" w:cs="Times New Roman"/>
              </w:rPr>
              <w:t>єкт нерухомості залишається у складі інвестиційної нерухомості.</w:t>
            </w:r>
          </w:p>
          <w:p w14:paraId="6E41AAA9" w14:textId="77777777"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t>Переведення інвестиційної нерухомості до складу запасів здійснюється у порядку, передбаченому для основних засобів.</w:t>
            </w:r>
          </w:p>
        </w:tc>
        <w:tc>
          <w:tcPr>
            <w:tcW w:w="7938" w:type="dxa"/>
          </w:tcPr>
          <w:p w14:paraId="683CF513" w14:textId="77777777"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lastRenderedPageBreak/>
              <w:t xml:space="preserve">Пункт 2: </w:t>
            </w:r>
          </w:p>
          <w:p w14:paraId="0592D876" w14:textId="2F2D3D11"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t xml:space="preserve">2. Переведення інвестиційної  нерухомості до складу запасів здійснюється у разі існування  зміни способу використання цього активу, що підтверджується початком підготовки до продажу. Якщо реалізація інвестиційної нерухомості здійснюється без попередньої підготовки, то інвестиційна нерухомість  </w:t>
            </w:r>
            <w:r w:rsidRPr="00B85C0A">
              <w:rPr>
                <w:rFonts w:ascii="Times New Roman" w:hAnsi="Times New Roman" w:cs="Times New Roman"/>
              </w:rPr>
              <w:lastRenderedPageBreak/>
              <w:t>переведенню до складу запасів не підлягає. Якщо суб</w:t>
            </w:r>
            <w:r w:rsidR="00B85C0A" w:rsidRPr="00B85C0A">
              <w:rPr>
                <w:rFonts w:ascii="Times New Roman" w:hAnsi="Times New Roman" w:cs="Times New Roman"/>
              </w:rPr>
              <w:t>’</w:t>
            </w:r>
            <w:r w:rsidRPr="00B85C0A">
              <w:rPr>
                <w:rFonts w:ascii="Times New Roman" w:hAnsi="Times New Roman" w:cs="Times New Roman"/>
              </w:rPr>
              <w:t>єкт державного сектору здійснює поліпшення (добудову,</w:t>
            </w:r>
            <w:r w:rsidR="00B85C0A" w:rsidRPr="00B85C0A">
              <w:rPr>
                <w:rFonts w:ascii="Times New Roman" w:hAnsi="Times New Roman" w:cs="Times New Roman"/>
              </w:rPr>
              <w:t xml:space="preserve"> </w:t>
            </w:r>
            <w:r w:rsidRPr="00B85C0A">
              <w:rPr>
                <w:rFonts w:ascii="Times New Roman" w:hAnsi="Times New Roman" w:cs="Times New Roman"/>
              </w:rPr>
              <w:t>реконструкцію тощо) існуючої інвестиційної нерухомості для продовження її використання в майбутньому як інвестиційної нерухомості, то такий об</w:t>
            </w:r>
            <w:r w:rsidR="00B85C0A" w:rsidRPr="00B85C0A">
              <w:rPr>
                <w:rFonts w:ascii="Times New Roman" w:hAnsi="Times New Roman" w:cs="Times New Roman"/>
              </w:rPr>
              <w:t>’</w:t>
            </w:r>
            <w:r w:rsidRPr="00B85C0A">
              <w:rPr>
                <w:rFonts w:ascii="Times New Roman" w:hAnsi="Times New Roman" w:cs="Times New Roman"/>
              </w:rPr>
              <w:t>єкт нерухомості залишається у складі інвестиційної нерухомості.</w:t>
            </w:r>
          </w:p>
          <w:p w14:paraId="62905414" w14:textId="77777777" w:rsidR="00C31802" w:rsidRPr="00B85C0A" w:rsidRDefault="00C31802" w:rsidP="00C31802">
            <w:pPr>
              <w:ind w:left="37" w:firstLine="247"/>
              <w:jc w:val="both"/>
              <w:rPr>
                <w:rFonts w:ascii="Times New Roman" w:hAnsi="Times New Roman" w:cs="Times New Roman"/>
              </w:rPr>
            </w:pPr>
            <w:r w:rsidRPr="00B85C0A">
              <w:rPr>
                <w:rFonts w:ascii="Times New Roman" w:hAnsi="Times New Roman" w:cs="Times New Roman"/>
              </w:rPr>
              <w:t>Переведення інвестиційної нерухомості до складу запасів здійснюється у порядку, передбаченому для основних засобів.</w:t>
            </w:r>
          </w:p>
          <w:p w14:paraId="6D86D253" w14:textId="43E5D104" w:rsidR="00C31802" w:rsidRPr="00B85C0A" w:rsidRDefault="00C31802" w:rsidP="00C31802">
            <w:pPr>
              <w:ind w:left="37" w:firstLine="247"/>
              <w:jc w:val="both"/>
              <w:rPr>
                <w:rFonts w:ascii="Times New Roman" w:hAnsi="Times New Roman" w:cs="Times New Roman"/>
              </w:rPr>
            </w:pPr>
          </w:p>
        </w:tc>
      </w:tr>
      <w:tr w:rsidR="00C31802" w:rsidRPr="00B85C0A" w14:paraId="02849363" w14:textId="77777777" w:rsidTr="003D2441">
        <w:trPr>
          <w:trHeight w:val="305"/>
        </w:trPr>
        <w:tc>
          <w:tcPr>
            <w:tcW w:w="7089" w:type="dxa"/>
          </w:tcPr>
          <w:p w14:paraId="0A09997F" w14:textId="53A78A1B" w:rsidR="00C31802" w:rsidRPr="00B85C0A" w:rsidRDefault="00C31802" w:rsidP="00C31802">
            <w:pPr>
              <w:ind w:firstLine="284"/>
              <w:jc w:val="both"/>
              <w:rPr>
                <w:rFonts w:ascii="Times New Roman" w:hAnsi="Times New Roman" w:cs="Times New Roman"/>
                <w:b/>
              </w:rPr>
            </w:pPr>
            <w:r w:rsidRPr="00B85C0A">
              <w:rPr>
                <w:rFonts w:ascii="Times New Roman" w:hAnsi="Times New Roman" w:cs="Times New Roman"/>
                <w:b/>
              </w:rPr>
              <w:lastRenderedPageBreak/>
              <w:t xml:space="preserve">Відсутній  </w:t>
            </w:r>
          </w:p>
        </w:tc>
        <w:tc>
          <w:tcPr>
            <w:tcW w:w="7938" w:type="dxa"/>
          </w:tcPr>
          <w:p w14:paraId="2D525E1A" w14:textId="2C383976" w:rsidR="00C31802" w:rsidRPr="00B85C0A" w:rsidRDefault="00C31802" w:rsidP="00C31802">
            <w:pPr>
              <w:ind w:firstLine="284"/>
              <w:jc w:val="both"/>
              <w:rPr>
                <w:rFonts w:ascii="Times New Roman" w:hAnsi="Times New Roman" w:cs="Times New Roman"/>
                <w:b/>
              </w:rPr>
            </w:pPr>
            <w:r w:rsidRPr="00B85C0A">
              <w:rPr>
                <w:rFonts w:ascii="Times New Roman" w:hAnsi="Times New Roman" w:cs="Times New Roman"/>
                <w:b/>
              </w:rPr>
              <w:t>Пункт 3:</w:t>
            </w:r>
          </w:p>
          <w:p w14:paraId="4BF0D16E" w14:textId="1C44613C" w:rsidR="00C31802" w:rsidRPr="00B85C0A" w:rsidRDefault="00C31802" w:rsidP="00C31802">
            <w:pPr>
              <w:pStyle w:val="ac"/>
              <w:tabs>
                <w:tab w:val="left" w:pos="586"/>
              </w:tabs>
              <w:spacing w:before="1" w:line="243" w:lineRule="auto"/>
              <w:ind w:left="0" w:right="28" w:firstLine="284"/>
              <w:jc w:val="both"/>
              <w:rPr>
                <w:rFonts w:cs="Times New Roman"/>
                <w:b/>
                <w:sz w:val="22"/>
                <w:szCs w:val="22"/>
                <w:lang w:val="uk-UA"/>
              </w:rPr>
            </w:pPr>
            <w:r w:rsidRPr="00B85C0A">
              <w:rPr>
                <w:rFonts w:cs="Times New Roman"/>
                <w:b/>
                <w:sz w:val="22"/>
                <w:szCs w:val="22"/>
                <w:lang w:val="uk-UA"/>
              </w:rPr>
              <w:t>3. У разі переведення інвестиційної нерухомості, що оцінювалась за справедливою вартістю, до операційної нерухомості або до запасів, вартість таких основних засобів чи запасів визначається за справедливою вартістю інвестиційної нерухомості на дату такого переведення.</w:t>
            </w:r>
          </w:p>
          <w:p w14:paraId="709F3576" w14:textId="77777777" w:rsidR="00C31802" w:rsidRPr="00B85C0A" w:rsidRDefault="00C31802" w:rsidP="00C31802">
            <w:pPr>
              <w:ind w:firstLine="284"/>
              <w:jc w:val="both"/>
              <w:rPr>
                <w:rFonts w:ascii="Times New Roman" w:hAnsi="Times New Roman" w:cs="Times New Roman"/>
              </w:rPr>
            </w:pPr>
          </w:p>
        </w:tc>
      </w:tr>
      <w:tr w:rsidR="00C31802" w:rsidRPr="00B85C0A" w14:paraId="7488CF59" w14:textId="77777777" w:rsidTr="003D2441">
        <w:trPr>
          <w:trHeight w:val="305"/>
        </w:trPr>
        <w:tc>
          <w:tcPr>
            <w:tcW w:w="7089" w:type="dxa"/>
          </w:tcPr>
          <w:p w14:paraId="3316EA73" w14:textId="19D32FAD" w:rsidR="00C31802" w:rsidRPr="00B85C0A" w:rsidRDefault="00C31802" w:rsidP="00C31802">
            <w:pPr>
              <w:ind w:firstLine="284"/>
              <w:jc w:val="both"/>
              <w:rPr>
                <w:rFonts w:ascii="Times New Roman" w:hAnsi="Times New Roman" w:cs="Times New Roman"/>
                <w:b/>
              </w:rPr>
            </w:pPr>
            <w:r w:rsidRPr="00B85C0A">
              <w:rPr>
                <w:rFonts w:ascii="Times New Roman" w:hAnsi="Times New Roman" w:cs="Times New Roman"/>
                <w:b/>
              </w:rPr>
              <w:t>Відсутній</w:t>
            </w:r>
          </w:p>
        </w:tc>
        <w:tc>
          <w:tcPr>
            <w:tcW w:w="7938" w:type="dxa"/>
          </w:tcPr>
          <w:p w14:paraId="112CFB13" w14:textId="6FDB05C4" w:rsidR="00C31802" w:rsidRPr="00B85C0A" w:rsidRDefault="00C31802" w:rsidP="00C31802">
            <w:pPr>
              <w:ind w:firstLine="284"/>
              <w:jc w:val="both"/>
              <w:rPr>
                <w:rFonts w:ascii="Times New Roman" w:eastAsia="Times New Roman" w:hAnsi="Times New Roman" w:cs="Times New Roman"/>
                <w:b/>
              </w:rPr>
            </w:pPr>
            <w:r w:rsidRPr="00B85C0A">
              <w:rPr>
                <w:rFonts w:ascii="Times New Roman" w:hAnsi="Times New Roman" w:cs="Times New Roman"/>
                <w:b/>
              </w:rPr>
              <w:t>Пункт</w:t>
            </w:r>
            <w:r w:rsidRPr="00B85C0A">
              <w:rPr>
                <w:rFonts w:ascii="Times New Roman" w:eastAsia="Times New Roman" w:hAnsi="Times New Roman" w:cs="Times New Roman"/>
                <w:b/>
              </w:rPr>
              <w:t xml:space="preserve"> 4:</w:t>
            </w:r>
          </w:p>
          <w:p w14:paraId="393216D9" w14:textId="03189A93" w:rsidR="00C31802" w:rsidRPr="00B85C0A" w:rsidRDefault="00C31802" w:rsidP="00B85C0A">
            <w:pPr>
              <w:ind w:firstLine="284"/>
              <w:jc w:val="both"/>
              <w:rPr>
                <w:rFonts w:ascii="Times New Roman" w:eastAsia="Times New Roman" w:hAnsi="Times New Roman" w:cs="Times New Roman"/>
                <w:b/>
              </w:rPr>
            </w:pPr>
            <w:r w:rsidRPr="00B85C0A">
              <w:rPr>
                <w:rFonts w:ascii="Times New Roman" w:eastAsia="Times New Roman" w:hAnsi="Times New Roman" w:cs="Times New Roman"/>
                <w:b/>
              </w:rPr>
              <w:t>4. При переведенні операційної нерухомості до інвестиційної, що оцінюватиметься за справедливою вартістю, різниця між балансовою (залишковою) вартістю операційної нерухомості і справедливою вартістю інвестиційної нерухомості відображається відповідно до пунктів 7</w:t>
            </w:r>
            <w:r w:rsidR="006E49F2">
              <w:rPr>
                <w:rFonts w:ascii="Times New Roman" w:eastAsia="Times New Roman" w:hAnsi="Times New Roman" w:cs="Times New Roman"/>
                <w:b/>
              </w:rPr>
              <w:t>,</w:t>
            </w:r>
            <w:r w:rsidRPr="00B85C0A">
              <w:rPr>
                <w:rFonts w:ascii="Times New Roman" w:eastAsia="Times New Roman" w:hAnsi="Times New Roman" w:cs="Times New Roman"/>
                <w:b/>
              </w:rPr>
              <w:t xml:space="preserve"> 8 розділу ІІІ Національного положення (стандарту) бухгалтерського обліку в державному секторі 121 «Основні засоби», затвердженого наказом Міністерства фінансів України від 12 жовтня 2010 року №</w:t>
            </w:r>
            <w:r w:rsidR="006E49F2">
              <w:rPr>
                <w:rFonts w:ascii="Times New Roman" w:eastAsia="Times New Roman" w:hAnsi="Times New Roman" w:cs="Times New Roman"/>
                <w:b/>
              </w:rPr>
              <w:t xml:space="preserve"> </w:t>
            </w:r>
            <w:r w:rsidRPr="00B85C0A">
              <w:rPr>
                <w:rFonts w:ascii="Times New Roman" w:eastAsia="Times New Roman" w:hAnsi="Times New Roman" w:cs="Times New Roman"/>
                <w:b/>
              </w:rPr>
              <w:t>1202, зареєстрованого в Міністерстві юстиції  України</w:t>
            </w:r>
            <w:r w:rsidR="00B85C0A">
              <w:rPr>
                <w:rFonts w:ascii="Times New Roman" w:eastAsia="Times New Roman" w:hAnsi="Times New Roman" w:cs="Times New Roman"/>
                <w:b/>
              </w:rPr>
              <w:t xml:space="preserve"> </w:t>
            </w:r>
            <w:r w:rsidRPr="00B85C0A">
              <w:rPr>
                <w:rFonts w:ascii="Times New Roman" w:eastAsia="Times New Roman" w:hAnsi="Times New Roman" w:cs="Times New Roman"/>
                <w:b/>
              </w:rPr>
              <w:t xml:space="preserve">01 листопада 2010 року </w:t>
            </w:r>
            <w:r w:rsidR="00B85C0A">
              <w:rPr>
                <w:rFonts w:ascii="Times New Roman" w:eastAsia="Times New Roman" w:hAnsi="Times New Roman" w:cs="Times New Roman"/>
                <w:b/>
              </w:rPr>
              <w:br/>
            </w:r>
            <w:r w:rsidRPr="00B85C0A">
              <w:rPr>
                <w:rFonts w:ascii="Times New Roman" w:eastAsia="Times New Roman" w:hAnsi="Times New Roman" w:cs="Times New Roman"/>
                <w:b/>
              </w:rPr>
              <w:t>за № 1017/18312.</w:t>
            </w:r>
          </w:p>
          <w:p w14:paraId="05A8C25A" w14:textId="72581BDE" w:rsidR="00B85C0A" w:rsidRPr="00B85C0A" w:rsidRDefault="00B85C0A" w:rsidP="00B85C0A">
            <w:pPr>
              <w:ind w:firstLine="284"/>
              <w:jc w:val="both"/>
              <w:rPr>
                <w:rFonts w:ascii="Times New Roman" w:hAnsi="Times New Roman" w:cs="Times New Roman"/>
                <w:b/>
              </w:rPr>
            </w:pPr>
          </w:p>
        </w:tc>
      </w:tr>
      <w:tr w:rsidR="00C31802" w:rsidRPr="00B85C0A" w14:paraId="5687B340" w14:textId="77777777" w:rsidTr="003D2441">
        <w:trPr>
          <w:trHeight w:val="1295"/>
        </w:trPr>
        <w:tc>
          <w:tcPr>
            <w:tcW w:w="7089" w:type="dxa"/>
          </w:tcPr>
          <w:p w14:paraId="3F878D35" w14:textId="156E5792" w:rsidR="00C31802" w:rsidRPr="00B85C0A" w:rsidRDefault="00C31802" w:rsidP="00C31802">
            <w:pPr>
              <w:ind w:firstLine="284"/>
              <w:jc w:val="both"/>
              <w:rPr>
                <w:rFonts w:ascii="Times New Roman" w:hAnsi="Times New Roman" w:cs="Times New Roman"/>
                <w:b/>
              </w:rPr>
            </w:pPr>
            <w:r w:rsidRPr="00B85C0A">
              <w:rPr>
                <w:rFonts w:ascii="Times New Roman" w:hAnsi="Times New Roman" w:cs="Times New Roman"/>
                <w:b/>
              </w:rPr>
              <w:t xml:space="preserve">Відсутній </w:t>
            </w:r>
          </w:p>
        </w:tc>
        <w:tc>
          <w:tcPr>
            <w:tcW w:w="7938" w:type="dxa"/>
          </w:tcPr>
          <w:p w14:paraId="4E40F81B" w14:textId="5CFBE020" w:rsidR="00C31802" w:rsidRPr="00B85C0A" w:rsidRDefault="00C31802" w:rsidP="00C31802">
            <w:pPr>
              <w:ind w:firstLine="284"/>
              <w:jc w:val="both"/>
              <w:rPr>
                <w:rFonts w:ascii="Times New Roman" w:eastAsia="Times New Roman" w:hAnsi="Times New Roman" w:cs="Times New Roman"/>
                <w:b/>
              </w:rPr>
            </w:pPr>
            <w:r w:rsidRPr="00B85C0A">
              <w:rPr>
                <w:rFonts w:ascii="Times New Roman" w:hAnsi="Times New Roman" w:cs="Times New Roman"/>
                <w:b/>
              </w:rPr>
              <w:t>Пункт</w:t>
            </w:r>
            <w:r w:rsidRPr="00B85C0A">
              <w:rPr>
                <w:rFonts w:ascii="Times New Roman" w:eastAsia="Times New Roman" w:hAnsi="Times New Roman" w:cs="Times New Roman"/>
                <w:b/>
              </w:rPr>
              <w:t xml:space="preserve"> 5:</w:t>
            </w:r>
          </w:p>
          <w:p w14:paraId="7F2C7121" w14:textId="77777777" w:rsidR="00C31802" w:rsidRPr="00B85C0A" w:rsidRDefault="00C31802" w:rsidP="00C31802">
            <w:pPr>
              <w:ind w:firstLine="284"/>
              <w:jc w:val="both"/>
              <w:rPr>
                <w:rFonts w:ascii="Times New Roman" w:eastAsia="Times New Roman" w:hAnsi="Times New Roman" w:cs="Times New Roman"/>
                <w:b/>
              </w:rPr>
            </w:pPr>
            <w:r w:rsidRPr="00B85C0A">
              <w:rPr>
                <w:rFonts w:ascii="Times New Roman" w:eastAsia="Times New Roman" w:hAnsi="Times New Roman" w:cs="Times New Roman"/>
                <w:b/>
              </w:rPr>
              <w:t>5. При переведенні із запасів до інвестиційної нерухомості, що оцінюватиметься за справедливою вартістю, різниця між справедливою вартістю нерухомості на дату переведення та її балансовою (залишковою) вартістю визнається доходами або витратами звітного періоду, у якому відбулося таке переведення.</w:t>
            </w:r>
          </w:p>
          <w:p w14:paraId="2D7AF316" w14:textId="57CED152" w:rsidR="006549B2" w:rsidRPr="00B85C0A" w:rsidRDefault="006549B2" w:rsidP="00C31802">
            <w:pPr>
              <w:ind w:firstLine="284"/>
              <w:jc w:val="both"/>
              <w:rPr>
                <w:rFonts w:ascii="Times New Roman" w:hAnsi="Times New Roman" w:cs="Times New Roman"/>
                <w:b/>
              </w:rPr>
            </w:pPr>
          </w:p>
        </w:tc>
      </w:tr>
      <w:tr w:rsidR="00C31802" w:rsidRPr="00B85C0A" w14:paraId="6E532005" w14:textId="77777777" w:rsidTr="003D2441">
        <w:trPr>
          <w:trHeight w:val="305"/>
        </w:trPr>
        <w:tc>
          <w:tcPr>
            <w:tcW w:w="7089" w:type="dxa"/>
          </w:tcPr>
          <w:p w14:paraId="2EF48E32" w14:textId="22D8300E" w:rsidR="00C31802" w:rsidRPr="00B85C0A" w:rsidRDefault="00C31802" w:rsidP="00C31802">
            <w:pPr>
              <w:ind w:firstLine="284"/>
              <w:jc w:val="both"/>
              <w:rPr>
                <w:rFonts w:ascii="Times New Roman" w:hAnsi="Times New Roman" w:cs="Times New Roman"/>
                <w:b/>
              </w:rPr>
            </w:pPr>
            <w:r w:rsidRPr="00B85C0A">
              <w:rPr>
                <w:rFonts w:ascii="Times New Roman" w:hAnsi="Times New Roman" w:cs="Times New Roman"/>
                <w:b/>
              </w:rPr>
              <w:t xml:space="preserve">Відсутній </w:t>
            </w:r>
          </w:p>
        </w:tc>
        <w:tc>
          <w:tcPr>
            <w:tcW w:w="7938" w:type="dxa"/>
          </w:tcPr>
          <w:p w14:paraId="76FFD5E0" w14:textId="547EF1B0" w:rsidR="00C31802" w:rsidRPr="00B85C0A" w:rsidRDefault="00C31802" w:rsidP="00C31802">
            <w:pPr>
              <w:ind w:firstLine="284"/>
              <w:jc w:val="both"/>
              <w:rPr>
                <w:rFonts w:ascii="Times New Roman" w:eastAsia="Times New Roman" w:hAnsi="Times New Roman" w:cs="Times New Roman"/>
                <w:b/>
              </w:rPr>
            </w:pPr>
            <w:r w:rsidRPr="00B85C0A">
              <w:rPr>
                <w:rFonts w:ascii="Times New Roman" w:hAnsi="Times New Roman" w:cs="Times New Roman"/>
                <w:b/>
              </w:rPr>
              <w:t>Пункт</w:t>
            </w:r>
            <w:r w:rsidRPr="00B85C0A">
              <w:rPr>
                <w:rFonts w:ascii="Times New Roman" w:eastAsia="Times New Roman" w:hAnsi="Times New Roman" w:cs="Times New Roman"/>
                <w:b/>
              </w:rPr>
              <w:t xml:space="preserve"> 6:</w:t>
            </w:r>
          </w:p>
          <w:p w14:paraId="4FBCD7AD" w14:textId="143C32FD" w:rsidR="00C31802" w:rsidRPr="00B85C0A" w:rsidRDefault="00C31802" w:rsidP="00C31802">
            <w:pPr>
              <w:ind w:firstLine="284"/>
              <w:jc w:val="both"/>
              <w:rPr>
                <w:rFonts w:ascii="Times New Roman" w:eastAsia="Times New Roman" w:hAnsi="Times New Roman" w:cs="Times New Roman"/>
                <w:b/>
              </w:rPr>
            </w:pPr>
            <w:r w:rsidRPr="00B85C0A">
              <w:rPr>
                <w:rFonts w:ascii="Times New Roman" w:eastAsia="Times New Roman" w:hAnsi="Times New Roman" w:cs="Times New Roman"/>
                <w:b/>
              </w:rPr>
              <w:t xml:space="preserve">6. При завершенні будівництва або поліпшення інвестиційної нерухомості, яка обліковуватиметься за справедливою вартістю, різниця між </w:t>
            </w:r>
            <w:r w:rsidRPr="00B85C0A">
              <w:rPr>
                <w:rFonts w:ascii="Times New Roman" w:eastAsia="Times New Roman" w:hAnsi="Times New Roman" w:cs="Times New Roman"/>
                <w:b/>
              </w:rPr>
              <w:lastRenderedPageBreak/>
              <w:t>справедливою вартістю нерухомості на цю дату та її балансовою вартістю визнається доходами або витратами звітного періоду, у якому відбулося завершення будівництва.</w:t>
            </w:r>
          </w:p>
          <w:p w14:paraId="42591FB3" w14:textId="77777777" w:rsidR="00C31802" w:rsidRPr="00B85C0A" w:rsidRDefault="00C31802" w:rsidP="00C31802">
            <w:pPr>
              <w:ind w:firstLine="284"/>
              <w:jc w:val="both"/>
              <w:rPr>
                <w:rFonts w:ascii="Times New Roman" w:hAnsi="Times New Roman" w:cs="Times New Roman"/>
                <w:b/>
              </w:rPr>
            </w:pPr>
          </w:p>
        </w:tc>
      </w:tr>
      <w:tr w:rsidR="00C31802" w:rsidRPr="00B85C0A" w14:paraId="4512D08C" w14:textId="77777777" w:rsidTr="00901BFA">
        <w:trPr>
          <w:trHeight w:val="841"/>
        </w:trPr>
        <w:tc>
          <w:tcPr>
            <w:tcW w:w="15028" w:type="dxa"/>
            <w:gridSpan w:val="2"/>
          </w:tcPr>
          <w:p w14:paraId="0AF95662" w14:textId="77777777" w:rsidR="00C31802" w:rsidRPr="00B85C0A" w:rsidRDefault="00C31802" w:rsidP="00C31802">
            <w:pPr>
              <w:spacing w:before="120" w:line="243" w:lineRule="auto"/>
              <w:ind w:left="36" w:right="-9"/>
              <w:jc w:val="center"/>
              <w:rPr>
                <w:rFonts w:ascii="Times New Roman" w:hAnsi="Times New Roman" w:cs="Times New Roman"/>
                <w:b/>
              </w:rPr>
            </w:pPr>
            <w:r w:rsidRPr="00B85C0A">
              <w:rPr>
                <w:rFonts w:ascii="Times New Roman" w:hAnsi="Times New Roman" w:cs="Times New Roman"/>
                <w:b/>
              </w:rPr>
              <w:lastRenderedPageBreak/>
              <w:t>IV. Вибуття інвестиційної нерухомості</w:t>
            </w:r>
          </w:p>
          <w:p w14:paraId="02017838" w14:textId="77777777" w:rsidR="00C31802" w:rsidRPr="00B85C0A" w:rsidRDefault="00C31802" w:rsidP="00C31802">
            <w:pPr>
              <w:ind w:firstLine="284"/>
              <w:jc w:val="both"/>
              <w:rPr>
                <w:rFonts w:ascii="Times New Roman" w:hAnsi="Times New Roman" w:cs="Times New Roman"/>
                <w:b/>
              </w:rPr>
            </w:pPr>
          </w:p>
        </w:tc>
      </w:tr>
      <w:tr w:rsidR="00C31802" w:rsidRPr="00B85C0A" w14:paraId="297F9369" w14:textId="77777777" w:rsidTr="003D2441">
        <w:trPr>
          <w:trHeight w:val="305"/>
        </w:trPr>
        <w:tc>
          <w:tcPr>
            <w:tcW w:w="7089" w:type="dxa"/>
          </w:tcPr>
          <w:p w14:paraId="5B7F82A3" w14:textId="77777777"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t xml:space="preserve">Пункт 1: </w:t>
            </w:r>
          </w:p>
          <w:p w14:paraId="45C3980F" w14:textId="0CD70ED5"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t>1. Визнання інвестиційної нерухомості припиняється у разі вибуття об</w:t>
            </w:r>
            <w:r w:rsidR="00B85C0A" w:rsidRPr="00B85C0A">
              <w:rPr>
                <w:rFonts w:ascii="Times New Roman" w:hAnsi="Times New Roman" w:cs="Times New Roman"/>
              </w:rPr>
              <w:t>’</w:t>
            </w:r>
            <w:r w:rsidRPr="00B85C0A">
              <w:rPr>
                <w:rFonts w:ascii="Times New Roman" w:hAnsi="Times New Roman" w:cs="Times New Roman"/>
              </w:rPr>
              <w:t>єкта внаслідок продажу, ліквідації, вилучення, невідповідності критеріям визнання активу з інших підстав, переведення з інвестиційної нерухомості до операційної нерухомості або припинення використання такої інвестиційної нерухомості з виключенням очікування  отримання будь-яких економічних вигід або потенціалу корисності від її вибуття.</w:t>
            </w:r>
          </w:p>
        </w:tc>
        <w:tc>
          <w:tcPr>
            <w:tcW w:w="7938" w:type="dxa"/>
          </w:tcPr>
          <w:p w14:paraId="7BAD400D" w14:textId="77777777"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t xml:space="preserve">Пункт 1: </w:t>
            </w:r>
          </w:p>
          <w:p w14:paraId="104A1E6B" w14:textId="63D3A094"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t>1. Визнання інвестиційної нерухомості припиняється у разі вибуття об</w:t>
            </w:r>
            <w:r w:rsidR="00B85C0A" w:rsidRPr="00B85C0A">
              <w:rPr>
                <w:rFonts w:ascii="Times New Roman" w:hAnsi="Times New Roman" w:cs="Times New Roman"/>
              </w:rPr>
              <w:t>’</w:t>
            </w:r>
            <w:r w:rsidRPr="00B85C0A">
              <w:rPr>
                <w:rFonts w:ascii="Times New Roman" w:hAnsi="Times New Roman" w:cs="Times New Roman"/>
              </w:rPr>
              <w:t>єкта внаслідок продажу, ліквідації, вилучення, невідповідності критеріям визнання активу з інших підстав, переведення з інвестиційної нерухомості до операційної нерухомості або припинення використання такої інвестиційної нерухомості з виключенням очікування  отримання будь-яких економічних вигід або потенціалу корисності від її вибуття.</w:t>
            </w:r>
          </w:p>
          <w:p w14:paraId="407F334D" w14:textId="6C4084F1" w:rsidR="00C31802" w:rsidRPr="00B85C0A" w:rsidRDefault="00C31802" w:rsidP="00C31802">
            <w:pPr>
              <w:ind w:firstLine="284"/>
              <w:jc w:val="both"/>
              <w:rPr>
                <w:rFonts w:ascii="Times New Roman" w:hAnsi="Times New Roman" w:cs="Times New Roman"/>
              </w:rPr>
            </w:pPr>
          </w:p>
        </w:tc>
      </w:tr>
      <w:tr w:rsidR="00C31802" w:rsidRPr="00B85C0A" w14:paraId="0820AA3D" w14:textId="77777777" w:rsidTr="003D2441">
        <w:trPr>
          <w:trHeight w:val="305"/>
        </w:trPr>
        <w:tc>
          <w:tcPr>
            <w:tcW w:w="7089" w:type="dxa"/>
          </w:tcPr>
          <w:p w14:paraId="1E46F365" w14:textId="4EF89CC1" w:rsidR="00C31802" w:rsidRPr="00B85C0A" w:rsidRDefault="00C31802" w:rsidP="00C31802">
            <w:pPr>
              <w:ind w:firstLine="284"/>
              <w:jc w:val="both"/>
              <w:rPr>
                <w:rFonts w:ascii="Times New Roman" w:hAnsi="Times New Roman" w:cs="Times New Roman"/>
                <w:b/>
              </w:rPr>
            </w:pPr>
            <w:r w:rsidRPr="00B85C0A">
              <w:rPr>
                <w:rFonts w:ascii="Times New Roman" w:hAnsi="Times New Roman" w:cs="Times New Roman"/>
                <w:b/>
              </w:rPr>
              <w:t xml:space="preserve">Відсутній </w:t>
            </w:r>
          </w:p>
          <w:p w14:paraId="22F431C6" w14:textId="77777777" w:rsidR="00C31802" w:rsidRPr="00B85C0A" w:rsidRDefault="00C31802" w:rsidP="00C31802">
            <w:pPr>
              <w:ind w:firstLine="284"/>
              <w:jc w:val="both"/>
              <w:rPr>
                <w:rFonts w:ascii="Times New Roman" w:hAnsi="Times New Roman" w:cs="Times New Roman"/>
                <w:b/>
              </w:rPr>
            </w:pPr>
          </w:p>
        </w:tc>
        <w:tc>
          <w:tcPr>
            <w:tcW w:w="7938" w:type="dxa"/>
          </w:tcPr>
          <w:p w14:paraId="0D2648BB" w14:textId="36E3F9DE" w:rsidR="00C31802" w:rsidRPr="00B85C0A" w:rsidRDefault="00C31802" w:rsidP="00C31802">
            <w:pPr>
              <w:ind w:firstLine="284"/>
              <w:jc w:val="both"/>
              <w:rPr>
                <w:rFonts w:ascii="Times New Roman" w:eastAsia="Times New Roman" w:hAnsi="Times New Roman" w:cs="Times New Roman"/>
                <w:b/>
                <w:spacing w:val="-1"/>
              </w:rPr>
            </w:pPr>
            <w:r w:rsidRPr="00B85C0A">
              <w:rPr>
                <w:rFonts w:ascii="Times New Roman" w:hAnsi="Times New Roman" w:cs="Times New Roman"/>
                <w:b/>
              </w:rPr>
              <w:t>Пункт 2:</w:t>
            </w:r>
          </w:p>
          <w:p w14:paraId="10C0F292" w14:textId="0D1B27E1" w:rsidR="00C31802" w:rsidRPr="00B85C0A" w:rsidRDefault="00C31802" w:rsidP="00B85C0A">
            <w:pPr>
              <w:ind w:firstLine="284"/>
              <w:jc w:val="both"/>
              <w:rPr>
                <w:rFonts w:ascii="Times New Roman" w:hAnsi="Times New Roman" w:cs="Times New Roman"/>
                <w:b/>
              </w:rPr>
            </w:pPr>
            <w:r w:rsidRPr="00B85C0A">
              <w:rPr>
                <w:rFonts w:ascii="Times New Roman" w:eastAsia="Times New Roman" w:hAnsi="Times New Roman" w:cs="Times New Roman"/>
                <w:b/>
                <w:spacing w:val="-1"/>
              </w:rPr>
              <w:t>2. Відшкодування завданих збитків від третіх осіб за інвестиційну нерухомість, корисність якої зменшилася, яка була збитковою чи була віддана, визнається доходами або витратами, коли відшкодування стає таким, що підлягає отриманню.</w:t>
            </w:r>
          </w:p>
          <w:p w14:paraId="55268D33" w14:textId="77777777" w:rsidR="00C31802" w:rsidRPr="00B85C0A" w:rsidRDefault="00C31802" w:rsidP="00B85C0A">
            <w:pPr>
              <w:pStyle w:val="List1"/>
              <w:spacing w:before="0" w:line="240" w:lineRule="auto"/>
              <w:ind w:left="0" w:right="29" w:firstLine="284"/>
              <w:rPr>
                <w:rFonts w:ascii="Times New Roman" w:hAnsi="Times New Roman" w:cs="Times New Roman"/>
                <w:b/>
                <w:color w:val="auto"/>
                <w:spacing w:val="-1"/>
                <w:sz w:val="22"/>
                <w:szCs w:val="22"/>
                <w:lang w:val="uk-UA" w:eastAsia="en-US"/>
              </w:rPr>
            </w:pPr>
            <w:r w:rsidRPr="00B85C0A">
              <w:rPr>
                <w:rFonts w:ascii="Times New Roman" w:hAnsi="Times New Roman" w:cs="Times New Roman"/>
                <w:b/>
                <w:color w:val="auto"/>
                <w:spacing w:val="-1"/>
                <w:sz w:val="22"/>
                <w:szCs w:val="22"/>
                <w:lang w:val="uk-UA" w:eastAsia="en-US"/>
              </w:rPr>
              <w:t>Зменшення корисності інвестиційної нерухомості або збитки, які підлягають відшкодуванню від третіх осіб, обліковуються окремо.</w:t>
            </w:r>
          </w:p>
          <w:p w14:paraId="5E25C87E" w14:textId="3D2D1811" w:rsidR="00C31802" w:rsidRPr="00B85C0A" w:rsidRDefault="00C31802" w:rsidP="00901BFA">
            <w:pPr>
              <w:pStyle w:val="ac"/>
              <w:spacing w:before="0"/>
              <w:ind w:left="0" w:right="29" w:firstLine="284"/>
              <w:jc w:val="both"/>
              <w:rPr>
                <w:rFonts w:cs="Times New Roman"/>
              </w:rPr>
            </w:pPr>
            <w:r w:rsidRPr="00B85C0A">
              <w:rPr>
                <w:rFonts w:cs="Times New Roman"/>
                <w:b/>
                <w:spacing w:val="-1"/>
                <w:sz w:val="22"/>
                <w:szCs w:val="22"/>
                <w:lang w:val="uk-UA"/>
              </w:rPr>
              <w:t>Зменшення корисності інвестиційної нерухомості визнається відповідно до Національного положення (стандарту) бухгалтерського обліку в державному секторі 127 «Зменшення корисності активів», затвердженого наказом Міністерства фінансів України від 24 грудня 2010 року</w:t>
            </w:r>
            <w:r w:rsidR="00901BFA">
              <w:rPr>
                <w:rFonts w:cs="Times New Roman"/>
                <w:b/>
                <w:spacing w:val="-1"/>
                <w:sz w:val="22"/>
                <w:szCs w:val="22"/>
                <w:lang w:val="uk-UA"/>
              </w:rPr>
              <w:t xml:space="preserve"> № 1629</w:t>
            </w:r>
            <w:r w:rsidRPr="00B85C0A">
              <w:rPr>
                <w:rFonts w:cs="Times New Roman"/>
                <w:b/>
                <w:spacing w:val="-1"/>
                <w:sz w:val="22"/>
                <w:szCs w:val="22"/>
                <w:lang w:val="uk-UA"/>
              </w:rPr>
              <w:t xml:space="preserve">, зареєстрованого в Міністерстві юстиції України 20 січня 2011 року </w:t>
            </w:r>
            <w:r w:rsidR="00901BFA">
              <w:rPr>
                <w:rFonts w:cs="Times New Roman"/>
                <w:b/>
                <w:spacing w:val="-1"/>
                <w:sz w:val="22"/>
                <w:szCs w:val="22"/>
                <w:lang w:val="uk-UA"/>
              </w:rPr>
              <w:br/>
            </w:r>
            <w:r w:rsidRPr="00B85C0A">
              <w:rPr>
                <w:rFonts w:cs="Times New Roman"/>
                <w:b/>
                <w:spacing w:val="-1"/>
                <w:sz w:val="22"/>
                <w:szCs w:val="22"/>
                <w:lang w:val="uk-UA"/>
              </w:rPr>
              <w:t>за № 92/18830.</w:t>
            </w:r>
          </w:p>
          <w:p w14:paraId="02DA6917" w14:textId="4F507F05" w:rsidR="00B85C0A" w:rsidRPr="00B85C0A" w:rsidRDefault="00B85C0A" w:rsidP="00C31802">
            <w:pPr>
              <w:ind w:firstLine="284"/>
              <w:jc w:val="both"/>
              <w:rPr>
                <w:rFonts w:ascii="Times New Roman" w:hAnsi="Times New Roman" w:cs="Times New Roman"/>
              </w:rPr>
            </w:pPr>
          </w:p>
        </w:tc>
      </w:tr>
      <w:tr w:rsidR="00C31802" w:rsidRPr="00B85C0A" w14:paraId="1C6F136A" w14:textId="77777777" w:rsidTr="003D2441">
        <w:trPr>
          <w:trHeight w:val="305"/>
        </w:trPr>
        <w:tc>
          <w:tcPr>
            <w:tcW w:w="7089" w:type="dxa"/>
          </w:tcPr>
          <w:p w14:paraId="682F9AD5" w14:textId="77777777"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t xml:space="preserve">Пункт </w:t>
            </w:r>
            <w:r w:rsidRPr="00B85C0A">
              <w:rPr>
                <w:rFonts w:ascii="Times New Roman" w:hAnsi="Times New Roman" w:cs="Times New Roman"/>
                <w:strike/>
              </w:rPr>
              <w:t>2</w:t>
            </w:r>
            <w:r w:rsidRPr="00B85C0A">
              <w:rPr>
                <w:rFonts w:ascii="Times New Roman" w:hAnsi="Times New Roman" w:cs="Times New Roman"/>
              </w:rPr>
              <w:t xml:space="preserve">: </w:t>
            </w:r>
          </w:p>
          <w:p w14:paraId="0553D1D2" w14:textId="286F7423"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strike/>
              </w:rPr>
              <w:t>2.</w:t>
            </w:r>
            <w:r w:rsidRPr="00B85C0A">
              <w:rPr>
                <w:rFonts w:ascii="Times New Roman" w:hAnsi="Times New Roman" w:cs="Times New Roman"/>
              </w:rPr>
              <w:t xml:space="preserve"> Фінансовий результат від вибуття інвестиційної нерухомості визначається вирахуванням з доходу від вибуття її балансової вартості, непрямих податків і витрат, пов</w:t>
            </w:r>
            <w:r w:rsidR="00B85C0A" w:rsidRPr="00B85C0A">
              <w:rPr>
                <w:rFonts w:ascii="Times New Roman" w:hAnsi="Times New Roman" w:cs="Times New Roman"/>
              </w:rPr>
              <w:t>’</w:t>
            </w:r>
            <w:r w:rsidRPr="00B85C0A">
              <w:rPr>
                <w:rFonts w:ascii="Times New Roman" w:hAnsi="Times New Roman" w:cs="Times New Roman"/>
              </w:rPr>
              <w:t>язаних з вибуттям інвестиційної нерухомості.</w:t>
            </w:r>
          </w:p>
        </w:tc>
        <w:tc>
          <w:tcPr>
            <w:tcW w:w="7938" w:type="dxa"/>
          </w:tcPr>
          <w:p w14:paraId="7BA5231A" w14:textId="6C2D7D21" w:rsidR="00C31802" w:rsidRPr="00B85C0A" w:rsidRDefault="00C31802" w:rsidP="00C31802">
            <w:pPr>
              <w:ind w:firstLine="284"/>
              <w:jc w:val="both"/>
              <w:rPr>
                <w:rFonts w:ascii="Times New Roman" w:hAnsi="Times New Roman" w:cs="Times New Roman"/>
                <w:b/>
              </w:rPr>
            </w:pPr>
            <w:r w:rsidRPr="00B85C0A">
              <w:rPr>
                <w:rFonts w:ascii="Times New Roman" w:hAnsi="Times New Roman" w:cs="Times New Roman"/>
                <w:b/>
              </w:rPr>
              <w:t>Пункт 3:</w:t>
            </w:r>
          </w:p>
          <w:p w14:paraId="3C8687CA" w14:textId="3242FE17"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b/>
              </w:rPr>
              <w:t>3.</w:t>
            </w:r>
            <w:r w:rsidRPr="00B85C0A">
              <w:rPr>
                <w:rFonts w:ascii="Times New Roman" w:hAnsi="Times New Roman" w:cs="Times New Roman"/>
              </w:rPr>
              <w:t xml:space="preserve"> Фінансовий результат від вибуття інвестиційної нерухомості визначається вирахуванням з доходу від вибуття її балансової вартості, непрямих податків і витрат, пов</w:t>
            </w:r>
            <w:r w:rsidR="00B85C0A" w:rsidRPr="00B85C0A">
              <w:rPr>
                <w:rFonts w:ascii="Times New Roman" w:hAnsi="Times New Roman" w:cs="Times New Roman"/>
              </w:rPr>
              <w:t>’</w:t>
            </w:r>
            <w:r w:rsidRPr="00B85C0A">
              <w:rPr>
                <w:rFonts w:ascii="Times New Roman" w:hAnsi="Times New Roman" w:cs="Times New Roman"/>
              </w:rPr>
              <w:t>язаних з вибуттям інвестиційної нерухомості.</w:t>
            </w:r>
          </w:p>
          <w:p w14:paraId="6CB2C691" w14:textId="77777777" w:rsidR="00B85C0A" w:rsidRDefault="00B85C0A" w:rsidP="00C31802">
            <w:pPr>
              <w:ind w:firstLine="284"/>
              <w:jc w:val="both"/>
              <w:rPr>
                <w:rFonts w:ascii="Times New Roman" w:hAnsi="Times New Roman" w:cs="Times New Roman"/>
              </w:rPr>
            </w:pPr>
          </w:p>
          <w:p w14:paraId="09409708" w14:textId="4C42F4A7" w:rsidR="00901BFA" w:rsidRPr="00B85C0A" w:rsidRDefault="00901BFA" w:rsidP="00C31802">
            <w:pPr>
              <w:ind w:firstLine="284"/>
              <w:jc w:val="both"/>
              <w:rPr>
                <w:rFonts w:ascii="Times New Roman" w:hAnsi="Times New Roman" w:cs="Times New Roman"/>
              </w:rPr>
            </w:pPr>
          </w:p>
        </w:tc>
      </w:tr>
      <w:tr w:rsidR="00C31802" w:rsidRPr="00B85C0A" w14:paraId="305805FD" w14:textId="77777777" w:rsidTr="003D2441">
        <w:trPr>
          <w:trHeight w:val="305"/>
        </w:trPr>
        <w:tc>
          <w:tcPr>
            <w:tcW w:w="7089" w:type="dxa"/>
          </w:tcPr>
          <w:p w14:paraId="6C487BA2" w14:textId="77777777"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rPr>
              <w:lastRenderedPageBreak/>
              <w:t xml:space="preserve">Пункт </w:t>
            </w:r>
            <w:r w:rsidRPr="00B85C0A">
              <w:rPr>
                <w:rFonts w:ascii="Times New Roman" w:hAnsi="Times New Roman" w:cs="Times New Roman"/>
                <w:strike/>
              </w:rPr>
              <w:t>3</w:t>
            </w:r>
            <w:r w:rsidRPr="00B85C0A">
              <w:rPr>
                <w:rFonts w:ascii="Times New Roman" w:hAnsi="Times New Roman" w:cs="Times New Roman"/>
              </w:rPr>
              <w:t xml:space="preserve">: </w:t>
            </w:r>
          </w:p>
          <w:p w14:paraId="33BBE38C" w14:textId="025430B7"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strike/>
              </w:rPr>
              <w:t>3.</w:t>
            </w:r>
            <w:r w:rsidRPr="00B85C0A">
              <w:rPr>
                <w:rFonts w:ascii="Times New Roman" w:hAnsi="Times New Roman" w:cs="Times New Roman"/>
              </w:rPr>
              <w:t xml:space="preserve"> Доходи  і витрати від продажу інвестиційної нерухомості з її подальшою орендою визначаються відповідно до Національного положення (стандарту) бухгалтерського обліку в державному секторі 126 «Оренда», затвердженого наказом Міністерства фінансів України від 24.12.2010 № 1629.</w:t>
            </w:r>
          </w:p>
        </w:tc>
        <w:tc>
          <w:tcPr>
            <w:tcW w:w="7938" w:type="dxa"/>
          </w:tcPr>
          <w:p w14:paraId="4A1548B3" w14:textId="36DA7864" w:rsidR="00C31802" w:rsidRPr="00B85C0A" w:rsidRDefault="00C31802" w:rsidP="00C31802">
            <w:pPr>
              <w:ind w:firstLine="284"/>
              <w:jc w:val="both"/>
              <w:rPr>
                <w:rFonts w:ascii="Times New Roman" w:hAnsi="Times New Roman" w:cs="Times New Roman"/>
                <w:b/>
              </w:rPr>
            </w:pPr>
            <w:r w:rsidRPr="00B85C0A">
              <w:rPr>
                <w:rFonts w:ascii="Times New Roman" w:hAnsi="Times New Roman" w:cs="Times New Roman"/>
                <w:b/>
              </w:rPr>
              <w:t>Пункт 4:</w:t>
            </w:r>
          </w:p>
          <w:p w14:paraId="5BD24CCF" w14:textId="77777777" w:rsidR="00C31802" w:rsidRPr="00B85C0A" w:rsidRDefault="00C31802" w:rsidP="00C31802">
            <w:pPr>
              <w:ind w:firstLine="284"/>
              <w:jc w:val="both"/>
              <w:rPr>
                <w:rFonts w:ascii="Times New Roman" w:hAnsi="Times New Roman" w:cs="Times New Roman"/>
              </w:rPr>
            </w:pPr>
            <w:r w:rsidRPr="00B85C0A">
              <w:rPr>
                <w:rFonts w:ascii="Times New Roman" w:hAnsi="Times New Roman" w:cs="Times New Roman"/>
                <w:b/>
              </w:rPr>
              <w:t xml:space="preserve">4. </w:t>
            </w:r>
            <w:r w:rsidRPr="00B85C0A">
              <w:rPr>
                <w:rFonts w:ascii="Times New Roman" w:hAnsi="Times New Roman" w:cs="Times New Roman"/>
              </w:rPr>
              <w:t>Доходи  і витрати від продажу інвестиційної нерухомості з її подальшою орендою визначаються відповідно до Національного положення (стандарту) бухгалтерського обліку в державному секторі 126 «Оренда», затвердженого наказом Міністерства фінансів України від 24.12.2010 № 1629.</w:t>
            </w:r>
          </w:p>
          <w:p w14:paraId="2D92E8E0" w14:textId="7FD9A66B" w:rsidR="00B85C0A" w:rsidRPr="00B85C0A" w:rsidRDefault="00B85C0A" w:rsidP="00C31802">
            <w:pPr>
              <w:ind w:firstLine="284"/>
              <w:jc w:val="both"/>
              <w:rPr>
                <w:rFonts w:ascii="Times New Roman" w:hAnsi="Times New Roman" w:cs="Times New Roman"/>
              </w:rPr>
            </w:pPr>
          </w:p>
        </w:tc>
      </w:tr>
      <w:tr w:rsidR="00C31802" w:rsidRPr="00B85C0A" w14:paraId="13B74CE8" w14:textId="77777777" w:rsidTr="003D2441">
        <w:trPr>
          <w:trHeight w:val="305"/>
        </w:trPr>
        <w:tc>
          <w:tcPr>
            <w:tcW w:w="15028" w:type="dxa"/>
            <w:gridSpan w:val="2"/>
          </w:tcPr>
          <w:p w14:paraId="132F39A9" w14:textId="3C912D16" w:rsidR="00C31802" w:rsidRPr="00B85C0A" w:rsidRDefault="00C31802" w:rsidP="00C31802">
            <w:pPr>
              <w:ind w:firstLine="284"/>
              <w:jc w:val="center"/>
              <w:rPr>
                <w:rFonts w:ascii="Times New Roman" w:hAnsi="Times New Roman" w:cs="Times New Roman"/>
                <w:b/>
              </w:rPr>
            </w:pPr>
            <w:r w:rsidRPr="00B85C0A">
              <w:rPr>
                <w:rFonts w:ascii="Times New Roman" w:hAnsi="Times New Roman" w:cs="Times New Roman"/>
                <w:b/>
              </w:rPr>
              <w:t>V. Розкриття інформації про інвестиційну нерухомість у примітках до фінансової звітності</w:t>
            </w:r>
          </w:p>
        </w:tc>
      </w:tr>
      <w:tr w:rsidR="00C31802" w:rsidRPr="00B85C0A" w14:paraId="68C8C3AE" w14:textId="77777777" w:rsidTr="003D2441">
        <w:trPr>
          <w:trHeight w:val="305"/>
        </w:trPr>
        <w:tc>
          <w:tcPr>
            <w:tcW w:w="7089" w:type="dxa"/>
          </w:tcPr>
          <w:p w14:paraId="6A26EA4A" w14:textId="0841ADD5" w:rsidR="00C31802" w:rsidRPr="00B85C0A" w:rsidRDefault="00B85C0A" w:rsidP="00C31802">
            <w:pPr>
              <w:ind w:firstLine="284"/>
              <w:jc w:val="both"/>
              <w:rPr>
                <w:rFonts w:ascii="Times New Roman" w:hAnsi="Times New Roman" w:cs="Times New Roman"/>
              </w:rPr>
            </w:pPr>
            <w:r w:rsidRPr="00B85C0A">
              <w:rPr>
                <w:rFonts w:ascii="Times New Roman" w:hAnsi="Times New Roman" w:cs="Times New Roman"/>
              </w:rPr>
              <w:t>……………..</w:t>
            </w:r>
          </w:p>
        </w:tc>
        <w:tc>
          <w:tcPr>
            <w:tcW w:w="7938" w:type="dxa"/>
          </w:tcPr>
          <w:p w14:paraId="2BB31EE5" w14:textId="16649D88" w:rsidR="00C31802" w:rsidRPr="00B85C0A" w:rsidRDefault="00B85C0A" w:rsidP="00C31802">
            <w:pPr>
              <w:ind w:firstLine="284"/>
              <w:jc w:val="both"/>
              <w:rPr>
                <w:rFonts w:ascii="Times New Roman" w:hAnsi="Times New Roman" w:cs="Times New Roman"/>
              </w:rPr>
            </w:pPr>
            <w:r w:rsidRPr="00B85C0A">
              <w:rPr>
                <w:rFonts w:ascii="Times New Roman" w:hAnsi="Times New Roman" w:cs="Times New Roman"/>
              </w:rPr>
              <w:t>………………..</w:t>
            </w:r>
          </w:p>
        </w:tc>
      </w:tr>
      <w:tr w:rsidR="00B85C0A" w:rsidRPr="00B85C0A" w14:paraId="46DC2EC5" w14:textId="77777777" w:rsidTr="003D2441">
        <w:trPr>
          <w:trHeight w:val="305"/>
        </w:trPr>
        <w:tc>
          <w:tcPr>
            <w:tcW w:w="7089" w:type="dxa"/>
          </w:tcPr>
          <w:p w14:paraId="6269223A" w14:textId="7613F3E6" w:rsidR="00B85C0A" w:rsidRPr="00B85C0A" w:rsidRDefault="00B85C0A" w:rsidP="00B85C0A">
            <w:pPr>
              <w:ind w:firstLine="284"/>
              <w:jc w:val="both"/>
              <w:rPr>
                <w:rFonts w:ascii="Times New Roman" w:hAnsi="Times New Roman" w:cs="Times New Roman"/>
                <w:b/>
              </w:rPr>
            </w:pPr>
            <w:r w:rsidRPr="00B85C0A">
              <w:rPr>
                <w:rFonts w:ascii="Times New Roman" w:hAnsi="Times New Roman" w:cs="Times New Roman"/>
                <w:b/>
              </w:rPr>
              <w:t>Відсутній</w:t>
            </w:r>
          </w:p>
        </w:tc>
        <w:tc>
          <w:tcPr>
            <w:tcW w:w="7938" w:type="dxa"/>
          </w:tcPr>
          <w:p w14:paraId="03456CDE" w14:textId="16654DA0" w:rsidR="00B85C0A" w:rsidRPr="00B85C0A" w:rsidRDefault="00B85C0A" w:rsidP="00B85C0A">
            <w:pPr>
              <w:ind w:firstLine="284"/>
              <w:jc w:val="both"/>
              <w:rPr>
                <w:rFonts w:ascii="Times New Roman" w:hAnsi="Times New Roman" w:cs="Times New Roman"/>
              </w:rPr>
            </w:pPr>
            <w:r w:rsidRPr="00B85C0A">
              <w:rPr>
                <w:rFonts w:ascii="Times New Roman" w:hAnsi="Times New Roman" w:cs="Times New Roman"/>
                <w:b/>
              </w:rPr>
              <w:t>Пункт 4</w:t>
            </w:r>
            <w:r w:rsidRPr="00B85C0A">
              <w:rPr>
                <w:rFonts w:ascii="Times New Roman" w:hAnsi="Times New Roman" w:cs="Times New Roman"/>
              </w:rPr>
              <w:t>:</w:t>
            </w:r>
          </w:p>
          <w:p w14:paraId="4ECCF740" w14:textId="56AD5CE2" w:rsidR="00B85C0A" w:rsidRPr="00B85C0A" w:rsidRDefault="00B85C0A" w:rsidP="00B85C0A">
            <w:pPr>
              <w:ind w:firstLine="284"/>
              <w:jc w:val="both"/>
              <w:rPr>
                <w:rFonts w:ascii="Times New Roman" w:hAnsi="Times New Roman" w:cs="Times New Roman"/>
                <w:b/>
              </w:rPr>
            </w:pPr>
            <w:r w:rsidRPr="00B85C0A">
              <w:rPr>
                <w:rFonts w:ascii="Times New Roman" w:hAnsi="Times New Roman" w:cs="Times New Roman"/>
                <w:b/>
              </w:rPr>
              <w:t>4. При оцінці інвестиційної нерухомості за справедливою вартістю наводиться така інформація:</w:t>
            </w:r>
          </w:p>
          <w:p w14:paraId="76530965" w14:textId="4853B82A" w:rsidR="00B85C0A" w:rsidRPr="00B85C0A" w:rsidRDefault="00B85C0A" w:rsidP="00B85C0A">
            <w:pPr>
              <w:ind w:firstLine="284"/>
              <w:jc w:val="both"/>
              <w:rPr>
                <w:rFonts w:ascii="Times New Roman" w:hAnsi="Times New Roman" w:cs="Times New Roman"/>
              </w:rPr>
            </w:pPr>
          </w:p>
        </w:tc>
      </w:tr>
      <w:tr w:rsidR="00B85C0A" w:rsidRPr="00B85C0A" w14:paraId="69203AA7" w14:textId="77777777" w:rsidTr="003D2441">
        <w:trPr>
          <w:trHeight w:val="305"/>
        </w:trPr>
        <w:tc>
          <w:tcPr>
            <w:tcW w:w="7089" w:type="dxa"/>
          </w:tcPr>
          <w:p w14:paraId="07FB0E84" w14:textId="2213FF20" w:rsidR="00B85C0A" w:rsidRPr="00B85C0A" w:rsidRDefault="00B85C0A" w:rsidP="00B85C0A">
            <w:pPr>
              <w:ind w:firstLine="284"/>
              <w:jc w:val="both"/>
              <w:rPr>
                <w:rFonts w:ascii="Times New Roman" w:hAnsi="Times New Roman" w:cs="Times New Roman"/>
              </w:rPr>
            </w:pPr>
            <w:r w:rsidRPr="00B85C0A">
              <w:rPr>
                <w:rFonts w:ascii="Times New Roman" w:hAnsi="Times New Roman" w:cs="Times New Roman"/>
                <w:b/>
              </w:rPr>
              <w:t>Відсутній</w:t>
            </w:r>
          </w:p>
        </w:tc>
        <w:tc>
          <w:tcPr>
            <w:tcW w:w="7938" w:type="dxa"/>
          </w:tcPr>
          <w:p w14:paraId="667BA7A0" w14:textId="77777777" w:rsidR="00B85C0A" w:rsidRPr="00B85C0A" w:rsidRDefault="00B85C0A" w:rsidP="00B85C0A">
            <w:pPr>
              <w:ind w:firstLine="284"/>
              <w:jc w:val="both"/>
              <w:rPr>
                <w:rFonts w:ascii="Times New Roman" w:hAnsi="Times New Roman" w:cs="Times New Roman"/>
                <w:b/>
              </w:rPr>
            </w:pPr>
            <w:r w:rsidRPr="00B85C0A">
              <w:rPr>
                <w:rFonts w:ascii="Times New Roman" w:hAnsi="Times New Roman" w:cs="Times New Roman"/>
                <w:b/>
              </w:rPr>
              <w:t>4.1. Балансова вартість інвестиційної нерухомості на початок і кінець звітного періоду.</w:t>
            </w:r>
          </w:p>
          <w:p w14:paraId="4568945A" w14:textId="2E2F4520" w:rsidR="00B85C0A" w:rsidRPr="00B85C0A" w:rsidRDefault="00B85C0A" w:rsidP="00B85C0A">
            <w:pPr>
              <w:ind w:firstLine="284"/>
              <w:jc w:val="both"/>
              <w:rPr>
                <w:rFonts w:ascii="Times New Roman" w:hAnsi="Times New Roman" w:cs="Times New Roman"/>
              </w:rPr>
            </w:pPr>
          </w:p>
        </w:tc>
      </w:tr>
      <w:tr w:rsidR="00B85C0A" w:rsidRPr="00B85C0A" w14:paraId="1814B5A3" w14:textId="77777777" w:rsidTr="003D2441">
        <w:trPr>
          <w:trHeight w:val="305"/>
        </w:trPr>
        <w:tc>
          <w:tcPr>
            <w:tcW w:w="7089" w:type="dxa"/>
          </w:tcPr>
          <w:p w14:paraId="14771AF9" w14:textId="286C42BC" w:rsidR="00B85C0A" w:rsidRPr="00B85C0A" w:rsidRDefault="00B85C0A" w:rsidP="00B85C0A">
            <w:pPr>
              <w:ind w:firstLine="284"/>
              <w:jc w:val="both"/>
              <w:rPr>
                <w:rFonts w:ascii="Times New Roman" w:hAnsi="Times New Roman" w:cs="Times New Roman"/>
              </w:rPr>
            </w:pPr>
            <w:r w:rsidRPr="00B85C0A">
              <w:rPr>
                <w:rFonts w:ascii="Times New Roman" w:hAnsi="Times New Roman" w:cs="Times New Roman"/>
                <w:b/>
              </w:rPr>
              <w:t>Відсутній</w:t>
            </w:r>
          </w:p>
        </w:tc>
        <w:tc>
          <w:tcPr>
            <w:tcW w:w="7938" w:type="dxa"/>
          </w:tcPr>
          <w:p w14:paraId="63F269BA" w14:textId="77777777" w:rsidR="00B85C0A" w:rsidRPr="00B85C0A" w:rsidRDefault="00B85C0A" w:rsidP="00B85C0A">
            <w:pPr>
              <w:ind w:firstLine="284"/>
              <w:jc w:val="both"/>
              <w:rPr>
                <w:rFonts w:ascii="Times New Roman" w:hAnsi="Times New Roman" w:cs="Times New Roman"/>
                <w:b/>
              </w:rPr>
            </w:pPr>
            <w:r w:rsidRPr="00B85C0A">
              <w:rPr>
                <w:rFonts w:ascii="Times New Roman" w:hAnsi="Times New Roman" w:cs="Times New Roman"/>
                <w:b/>
              </w:rPr>
              <w:t>4.2. Сума доходів і витрат, що виникли внаслідок зміни справедливої вартості інвестиційної нерухомості.</w:t>
            </w:r>
          </w:p>
          <w:p w14:paraId="38527110" w14:textId="2E9D4F27" w:rsidR="00B85C0A" w:rsidRPr="00B85C0A" w:rsidRDefault="00B85C0A" w:rsidP="00B85C0A">
            <w:pPr>
              <w:ind w:firstLine="284"/>
              <w:jc w:val="both"/>
              <w:rPr>
                <w:rFonts w:ascii="Times New Roman" w:hAnsi="Times New Roman" w:cs="Times New Roman"/>
                <w:b/>
              </w:rPr>
            </w:pPr>
          </w:p>
        </w:tc>
      </w:tr>
      <w:tr w:rsidR="00B85C0A" w:rsidRPr="00B85C0A" w14:paraId="249EB24A" w14:textId="77777777" w:rsidTr="003D2441">
        <w:trPr>
          <w:trHeight w:val="305"/>
        </w:trPr>
        <w:tc>
          <w:tcPr>
            <w:tcW w:w="7089" w:type="dxa"/>
          </w:tcPr>
          <w:p w14:paraId="6D88E416" w14:textId="15E594B5" w:rsidR="00B85C0A" w:rsidRPr="00B85C0A" w:rsidRDefault="00B85C0A" w:rsidP="00B85C0A">
            <w:pPr>
              <w:ind w:firstLine="284"/>
              <w:jc w:val="both"/>
              <w:rPr>
                <w:rFonts w:ascii="Times New Roman" w:hAnsi="Times New Roman" w:cs="Times New Roman"/>
              </w:rPr>
            </w:pPr>
            <w:r w:rsidRPr="00B85C0A">
              <w:rPr>
                <w:rFonts w:ascii="Times New Roman" w:hAnsi="Times New Roman" w:cs="Times New Roman"/>
                <w:b/>
              </w:rPr>
              <w:t>Відсутній</w:t>
            </w:r>
          </w:p>
        </w:tc>
        <w:tc>
          <w:tcPr>
            <w:tcW w:w="7938" w:type="dxa"/>
          </w:tcPr>
          <w:p w14:paraId="36D1E4B8" w14:textId="77777777" w:rsidR="00B85C0A" w:rsidRPr="00B85C0A" w:rsidRDefault="00B85C0A" w:rsidP="00B85C0A">
            <w:pPr>
              <w:ind w:firstLine="284"/>
              <w:jc w:val="both"/>
              <w:rPr>
                <w:rFonts w:ascii="Times New Roman" w:hAnsi="Times New Roman" w:cs="Times New Roman"/>
                <w:b/>
              </w:rPr>
            </w:pPr>
            <w:r w:rsidRPr="00B85C0A">
              <w:rPr>
                <w:rFonts w:ascii="Times New Roman" w:hAnsi="Times New Roman" w:cs="Times New Roman"/>
                <w:b/>
              </w:rPr>
              <w:t>4.3. Різниця між балансовою вартістю активів, що виникла внаслідок переведення до інвестиційної нерухомості запасів і операційної нерухомості.</w:t>
            </w:r>
          </w:p>
          <w:p w14:paraId="37A310D6" w14:textId="1188592E" w:rsidR="00B85C0A" w:rsidRPr="00B85C0A" w:rsidRDefault="00B85C0A" w:rsidP="00B85C0A">
            <w:pPr>
              <w:ind w:firstLine="284"/>
              <w:jc w:val="both"/>
              <w:rPr>
                <w:rFonts w:ascii="Times New Roman" w:hAnsi="Times New Roman" w:cs="Times New Roman"/>
                <w:b/>
              </w:rPr>
            </w:pPr>
          </w:p>
        </w:tc>
      </w:tr>
    </w:tbl>
    <w:p w14:paraId="45A75EDB" w14:textId="624E9635" w:rsidR="00795149" w:rsidRPr="003D2441" w:rsidRDefault="00795149" w:rsidP="00795149">
      <w:pPr>
        <w:spacing w:after="0" w:line="240" w:lineRule="auto"/>
        <w:ind w:firstLine="708"/>
        <w:rPr>
          <w:rFonts w:ascii="Times New Roman" w:hAnsi="Times New Roman" w:cs="Times New Roman"/>
          <w:sz w:val="28"/>
          <w:szCs w:val="28"/>
        </w:rPr>
      </w:pPr>
    </w:p>
    <w:p w14:paraId="0C8CDC97" w14:textId="77777777" w:rsidR="007F60E4" w:rsidRPr="003D2441" w:rsidRDefault="007F60E4" w:rsidP="007F60E4">
      <w:pPr>
        <w:tabs>
          <w:tab w:val="left" w:pos="3570"/>
        </w:tabs>
        <w:spacing w:after="0" w:line="240" w:lineRule="auto"/>
        <w:jc w:val="both"/>
        <w:rPr>
          <w:rFonts w:ascii="Times New Roman" w:hAnsi="Times New Roman" w:cs="Times New Roman"/>
          <w:b/>
          <w:sz w:val="28"/>
          <w:szCs w:val="28"/>
        </w:rPr>
      </w:pPr>
    </w:p>
    <w:p w14:paraId="12F74D86" w14:textId="77777777" w:rsidR="007F60E4" w:rsidRPr="002B0C18" w:rsidRDefault="007F60E4" w:rsidP="007F60E4">
      <w:pPr>
        <w:tabs>
          <w:tab w:val="left" w:pos="3570"/>
        </w:tabs>
        <w:spacing w:after="0" w:line="240" w:lineRule="auto"/>
        <w:jc w:val="both"/>
        <w:rPr>
          <w:rFonts w:ascii="Times New Roman" w:hAnsi="Times New Roman" w:cs="Times New Roman"/>
          <w:b/>
          <w:sz w:val="28"/>
          <w:szCs w:val="28"/>
        </w:rPr>
      </w:pPr>
      <w:r w:rsidRPr="002B0C18">
        <w:rPr>
          <w:rFonts w:ascii="Times New Roman" w:hAnsi="Times New Roman" w:cs="Times New Roman"/>
          <w:b/>
          <w:sz w:val="28"/>
          <w:szCs w:val="28"/>
        </w:rPr>
        <w:t>Міністр фінансів України                                                                                                                           Сергій МАРЧЕНКО</w:t>
      </w:r>
    </w:p>
    <w:p w14:paraId="3465B7CA" w14:textId="77777777" w:rsidR="007F60E4" w:rsidRPr="002B0C18" w:rsidRDefault="007F60E4" w:rsidP="007F60E4">
      <w:pPr>
        <w:tabs>
          <w:tab w:val="left" w:pos="3570"/>
        </w:tabs>
        <w:spacing w:after="0" w:line="240" w:lineRule="auto"/>
        <w:jc w:val="both"/>
        <w:rPr>
          <w:rFonts w:ascii="Times New Roman" w:hAnsi="Times New Roman" w:cs="Times New Roman"/>
          <w:b/>
          <w:sz w:val="28"/>
          <w:szCs w:val="28"/>
        </w:rPr>
      </w:pPr>
    </w:p>
    <w:p w14:paraId="3D489D5F" w14:textId="77777777" w:rsidR="007F60E4" w:rsidRPr="002B0C18" w:rsidRDefault="007F60E4" w:rsidP="007F60E4">
      <w:pPr>
        <w:spacing w:after="0" w:line="240" w:lineRule="auto"/>
        <w:rPr>
          <w:rFonts w:ascii="Times New Roman" w:hAnsi="Times New Roman" w:cs="Times New Roman"/>
          <w:sz w:val="28"/>
          <w:szCs w:val="28"/>
        </w:rPr>
      </w:pPr>
      <w:r w:rsidRPr="002B0C18">
        <w:rPr>
          <w:rFonts w:ascii="Times New Roman" w:hAnsi="Times New Roman" w:cs="Times New Roman"/>
          <w:b/>
          <w:sz w:val="28"/>
          <w:szCs w:val="28"/>
        </w:rPr>
        <w:t>___   ___________ 202</w:t>
      </w:r>
      <w:r>
        <w:rPr>
          <w:rFonts w:ascii="Times New Roman" w:hAnsi="Times New Roman" w:cs="Times New Roman"/>
          <w:b/>
          <w:sz w:val="28"/>
          <w:szCs w:val="28"/>
        </w:rPr>
        <w:t>4</w:t>
      </w:r>
      <w:r w:rsidRPr="002B0C18">
        <w:rPr>
          <w:rFonts w:ascii="Times New Roman" w:hAnsi="Times New Roman" w:cs="Times New Roman"/>
          <w:b/>
          <w:sz w:val="28"/>
          <w:szCs w:val="28"/>
        </w:rPr>
        <w:t xml:space="preserve"> р.</w:t>
      </w:r>
    </w:p>
    <w:p w14:paraId="7BE54F02" w14:textId="1E71BDD8" w:rsidR="00795149" w:rsidRPr="00795149" w:rsidRDefault="00795149" w:rsidP="007F60E4">
      <w:pPr>
        <w:spacing w:after="0" w:line="240" w:lineRule="auto"/>
        <w:ind w:left="-851"/>
        <w:rPr>
          <w:rFonts w:ascii="Times New Roman" w:hAnsi="Times New Roman" w:cs="Times New Roman"/>
          <w:b/>
          <w:sz w:val="28"/>
          <w:szCs w:val="28"/>
        </w:rPr>
      </w:pPr>
    </w:p>
    <w:sectPr w:rsidR="00795149" w:rsidRPr="00795149" w:rsidSect="00EC0F28">
      <w:headerReference w:type="default" r:id="rId8"/>
      <w:pgSz w:w="16838" w:h="11906" w:orient="landscape"/>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8210F" w14:textId="77777777" w:rsidR="005D798B" w:rsidRDefault="005D798B" w:rsidP="00EC0F28">
      <w:pPr>
        <w:spacing w:after="0" w:line="240" w:lineRule="auto"/>
      </w:pPr>
      <w:r>
        <w:separator/>
      </w:r>
    </w:p>
  </w:endnote>
  <w:endnote w:type="continuationSeparator" w:id="0">
    <w:p w14:paraId="567D77A0" w14:textId="77777777" w:rsidR="005D798B" w:rsidRDefault="005D798B" w:rsidP="00EC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93784" w14:textId="77777777" w:rsidR="005D798B" w:rsidRDefault="005D798B" w:rsidP="00EC0F28">
      <w:pPr>
        <w:spacing w:after="0" w:line="240" w:lineRule="auto"/>
      </w:pPr>
      <w:r>
        <w:separator/>
      </w:r>
    </w:p>
  </w:footnote>
  <w:footnote w:type="continuationSeparator" w:id="0">
    <w:p w14:paraId="27A413D7" w14:textId="77777777" w:rsidR="005D798B" w:rsidRDefault="005D798B" w:rsidP="00EC0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982864"/>
      <w:docPartObj>
        <w:docPartGallery w:val="Page Numbers (Top of Page)"/>
        <w:docPartUnique/>
      </w:docPartObj>
    </w:sdtPr>
    <w:sdtEndPr/>
    <w:sdtContent>
      <w:p w14:paraId="31367E55" w14:textId="1D0D37E0" w:rsidR="003421D6" w:rsidRDefault="003421D6">
        <w:pPr>
          <w:pStyle w:val="a8"/>
          <w:jc w:val="center"/>
        </w:pPr>
        <w:r>
          <w:fldChar w:fldCharType="begin"/>
        </w:r>
        <w:r>
          <w:instrText>PAGE   \* MERGEFORMAT</w:instrText>
        </w:r>
        <w:r>
          <w:fldChar w:fldCharType="separate"/>
        </w:r>
        <w:r w:rsidR="007C7E40">
          <w:rPr>
            <w:noProof/>
          </w:rPr>
          <w:t>3</w:t>
        </w:r>
        <w:r>
          <w:fldChar w:fldCharType="end"/>
        </w:r>
      </w:p>
    </w:sdtContent>
  </w:sdt>
  <w:p w14:paraId="12995621" w14:textId="77777777" w:rsidR="003421D6" w:rsidRDefault="003421D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3C84"/>
    <w:multiLevelType w:val="hybridMultilevel"/>
    <w:tmpl w:val="D89A1676"/>
    <w:lvl w:ilvl="0" w:tplc="E592C8B8">
      <w:start w:val="70"/>
      <w:numFmt w:val="decimal"/>
      <w:lvlText w:val="%1."/>
      <w:lvlJc w:val="left"/>
      <w:pPr>
        <w:ind w:left="720" w:hanging="360"/>
      </w:pPr>
      <w:rPr>
        <w:rFonts w:hint="default"/>
        <w:b/>
        <w:i/>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C7131A"/>
    <w:multiLevelType w:val="hybridMultilevel"/>
    <w:tmpl w:val="B4F82FA6"/>
    <w:lvl w:ilvl="0" w:tplc="0422000F">
      <w:start w:val="5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961314"/>
    <w:multiLevelType w:val="hybridMultilevel"/>
    <w:tmpl w:val="2190F9DC"/>
    <w:lvl w:ilvl="0" w:tplc="E76EF478">
      <w:start w:val="8"/>
      <w:numFmt w:val="decimal"/>
      <w:lvlText w:val="%1."/>
      <w:lvlJc w:val="left"/>
      <w:pPr>
        <w:ind w:left="474"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7431E0"/>
    <w:multiLevelType w:val="hybridMultilevel"/>
    <w:tmpl w:val="6BFC04BC"/>
    <w:lvl w:ilvl="0" w:tplc="0422000F">
      <w:start w:val="3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D270CD"/>
    <w:multiLevelType w:val="hybridMultilevel"/>
    <w:tmpl w:val="D3A4C3C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83E14AB"/>
    <w:multiLevelType w:val="hybridMultilevel"/>
    <w:tmpl w:val="4CB88716"/>
    <w:lvl w:ilvl="0" w:tplc="0422000F">
      <w:start w:val="5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E9360F"/>
    <w:multiLevelType w:val="hybridMultilevel"/>
    <w:tmpl w:val="F55E9F3C"/>
    <w:lvl w:ilvl="0" w:tplc="0422000F">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3FA2A6F"/>
    <w:multiLevelType w:val="hybridMultilevel"/>
    <w:tmpl w:val="32FC75DE"/>
    <w:lvl w:ilvl="0" w:tplc="4CC810FA">
      <w:start w:val="1"/>
      <w:numFmt w:val="decimal"/>
      <w:lvlText w:val="%1."/>
      <w:lvlJc w:val="left"/>
      <w:pPr>
        <w:ind w:left="528" w:hanging="414"/>
      </w:pPr>
      <w:rPr>
        <w:rFonts w:ascii="Times New Roman" w:eastAsia="Times New Roman" w:hAnsi="Times New Roman" w:hint="default"/>
        <w:b w:val="0"/>
        <w:bCs/>
        <w:i w:val="0"/>
        <w:spacing w:val="-1"/>
        <w:w w:val="101"/>
        <w:sz w:val="22"/>
        <w:szCs w:val="23"/>
      </w:rPr>
    </w:lvl>
    <w:lvl w:ilvl="1" w:tplc="428AFD46">
      <w:start w:val="1"/>
      <w:numFmt w:val="bullet"/>
      <w:lvlText w:val="•"/>
      <w:lvlJc w:val="left"/>
      <w:pPr>
        <w:ind w:left="1353" w:hanging="414"/>
      </w:pPr>
      <w:rPr>
        <w:rFonts w:hint="default"/>
      </w:rPr>
    </w:lvl>
    <w:lvl w:ilvl="2" w:tplc="EC6A1C72">
      <w:start w:val="1"/>
      <w:numFmt w:val="bullet"/>
      <w:lvlText w:val="•"/>
      <w:lvlJc w:val="left"/>
      <w:pPr>
        <w:ind w:left="2179" w:hanging="414"/>
      </w:pPr>
      <w:rPr>
        <w:rFonts w:hint="default"/>
      </w:rPr>
    </w:lvl>
    <w:lvl w:ilvl="3" w:tplc="B6709CF4">
      <w:start w:val="1"/>
      <w:numFmt w:val="bullet"/>
      <w:lvlText w:val="•"/>
      <w:lvlJc w:val="left"/>
      <w:pPr>
        <w:ind w:left="3004" w:hanging="414"/>
      </w:pPr>
      <w:rPr>
        <w:rFonts w:hint="default"/>
      </w:rPr>
    </w:lvl>
    <w:lvl w:ilvl="4" w:tplc="C452FCBA">
      <w:start w:val="1"/>
      <w:numFmt w:val="bullet"/>
      <w:lvlText w:val="•"/>
      <w:lvlJc w:val="left"/>
      <w:pPr>
        <w:ind w:left="3829" w:hanging="414"/>
      </w:pPr>
      <w:rPr>
        <w:rFonts w:hint="default"/>
      </w:rPr>
    </w:lvl>
    <w:lvl w:ilvl="5" w:tplc="0BA2ADCE">
      <w:start w:val="1"/>
      <w:numFmt w:val="bullet"/>
      <w:lvlText w:val="•"/>
      <w:lvlJc w:val="left"/>
      <w:pPr>
        <w:ind w:left="4654" w:hanging="414"/>
      </w:pPr>
      <w:rPr>
        <w:rFonts w:hint="default"/>
      </w:rPr>
    </w:lvl>
    <w:lvl w:ilvl="6" w:tplc="2CA082A4">
      <w:start w:val="1"/>
      <w:numFmt w:val="bullet"/>
      <w:lvlText w:val="•"/>
      <w:lvlJc w:val="left"/>
      <w:pPr>
        <w:ind w:left="5479" w:hanging="414"/>
      </w:pPr>
      <w:rPr>
        <w:rFonts w:hint="default"/>
      </w:rPr>
    </w:lvl>
    <w:lvl w:ilvl="7" w:tplc="6FA6C572">
      <w:start w:val="1"/>
      <w:numFmt w:val="bullet"/>
      <w:lvlText w:val="•"/>
      <w:lvlJc w:val="left"/>
      <w:pPr>
        <w:ind w:left="6304" w:hanging="414"/>
      </w:pPr>
      <w:rPr>
        <w:rFonts w:hint="default"/>
      </w:rPr>
    </w:lvl>
    <w:lvl w:ilvl="8" w:tplc="35AA233A">
      <w:start w:val="1"/>
      <w:numFmt w:val="bullet"/>
      <w:lvlText w:val="•"/>
      <w:lvlJc w:val="left"/>
      <w:pPr>
        <w:ind w:left="7129" w:hanging="414"/>
      </w:pPr>
      <w:rPr>
        <w:rFonts w:hint="default"/>
      </w:rPr>
    </w:lvl>
  </w:abstractNum>
  <w:abstractNum w:abstractNumId="8" w15:restartNumberingAfterBreak="0">
    <w:nsid w:val="344F056F"/>
    <w:multiLevelType w:val="hybridMultilevel"/>
    <w:tmpl w:val="4DAE9B7A"/>
    <w:lvl w:ilvl="0" w:tplc="18E466AC">
      <w:start w:val="1"/>
      <w:numFmt w:val="russianLower"/>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7541DE"/>
    <w:multiLevelType w:val="hybridMultilevel"/>
    <w:tmpl w:val="9050F476"/>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F1A1735"/>
    <w:multiLevelType w:val="hybridMultilevel"/>
    <w:tmpl w:val="8716D49A"/>
    <w:lvl w:ilvl="0" w:tplc="7DC45C84">
      <w:start w:val="46"/>
      <w:numFmt w:val="decimal"/>
      <w:lvlText w:val="%1."/>
      <w:lvlJc w:val="left"/>
      <w:pPr>
        <w:ind w:left="410" w:hanging="360"/>
      </w:pPr>
      <w:rPr>
        <w:rFonts w:hint="default"/>
      </w:rPr>
    </w:lvl>
    <w:lvl w:ilvl="1" w:tplc="04220019" w:tentative="1">
      <w:start w:val="1"/>
      <w:numFmt w:val="lowerLetter"/>
      <w:lvlText w:val="%2."/>
      <w:lvlJc w:val="left"/>
      <w:pPr>
        <w:ind w:left="1130" w:hanging="360"/>
      </w:pPr>
    </w:lvl>
    <w:lvl w:ilvl="2" w:tplc="0422001B" w:tentative="1">
      <w:start w:val="1"/>
      <w:numFmt w:val="lowerRoman"/>
      <w:lvlText w:val="%3."/>
      <w:lvlJc w:val="right"/>
      <w:pPr>
        <w:ind w:left="1850" w:hanging="180"/>
      </w:pPr>
    </w:lvl>
    <w:lvl w:ilvl="3" w:tplc="0422000F" w:tentative="1">
      <w:start w:val="1"/>
      <w:numFmt w:val="decimal"/>
      <w:lvlText w:val="%4."/>
      <w:lvlJc w:val="left"/>
      <w:pPr>
        <w:ind w:left="2570" w:hanging="360"/>
      </w:pPr>
    </w:lvl>
    <w:lvl w:ilvl="4" w:tplc="04220019" w:tentative="1">
      <w:start w:val="1"/>
      <w:numFmt w:val="lowerLetter"/>
      <w:lvlText w:val="%5."/>
      <w:lvlJc w:val="left"/>
      <w:pPr>
        <w:ind w:left="3290" w:hanging="360"/>
      </w:pPr>
    </w:lvl>
    <w:lvl w:ilvl="5" w:tplc="0422001B" w:tentative="1">
      <w:start w:val="1"/>
      <w:numFmt w:val="lowerRoman"/>
      <w:lvlText w:val="%6."/>
      <w:lvlJc w:val="right"/>
      <w:pPr>
        <w:ind w:left="4010" w:hanging="180"/>
      </w:pPr>
    </w:lvl>
    <w:lvl w:ilvl="6" w:tplc="0422000F" w:tentative="1">
      <w:start w:val="1"/>
      <w:numFmt w:val="decimal"/>
      <w:lvlText w:val="%7."/>
      <w:lvlJc w:val="left"/>
      <w:pPr>
        <w:ind w:left="4730" w:hanging="360"/>
      </w:pPr>
    </w:lvl>
    <w:lvl w:ilvl="7" w:tplc="04220019" w:tentative="1">
      <w:start w:val="1"/>
      <w:numFmt w:val="lowerLetter"/>
      <w:lvlText w:val="%8."/>
      <w:lvlJc w:val="left"/>
      <w:pPr>
        <w:ind w:left="5450" w:hanging="360"/>
      </w:pPr>
    </w:lvl>
    <w:lvl w:ilvl="8" w:tplc="0422001B" w:tentative="1">
      <w:start w:val="1"/>
      <w:numFmt w:val="lowerRoman"/>
      <w:lvlText w:val="%9."/>
      <w:lvlJc w:val="right"/>
      <w:pPr>
        <w:ind w:left="6170" w:hanging="180"/>
      </w:pPr>
    </w:lvl>
  </w:abstractNum>
  <w:abstractNum w:abstractNumId="11" w15:restartNumberingAfterBreak="0">
    <w:nsid w:val="49517CAA"/>
    <w:multiLevelType w:val="hybridMultilevel"/>
    <w:tmpl w:val="AD3C6C72"/>
    <w:lvl w:ilvl="0" w:tplc="EA8216E4">
      <w:start w:val="4"/>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624460"/>
    <w:multiLevelType w:val="hybridMultilevel"/>
    <w:tmpl w:val="A972186C"/>
    <w:lvl w:ilvl="0" w:tplc="D9C27526">
      <w:start w:val="71"/>
      <w:numFmt w:val="decimal"/>
      <w:lvlText w:val="%1."/>
      <w:lvlJc w:val="left"/>
      <w:pPr>
        <w:ind w:left="474" w:hanging="360"/>
      </w:pPr>
      <w:rPr>
        <w:rFonts w:hint="default"/>
      </w:rPr>
    </w:lvl>
    <w:lvl w:ilvl="1" w:tplc="04220019" w:tentative="1">
      <w:start w:val="1"/>
      <w:numFmt w:val="lowerLetter"/>
      <w:lvlText w:val="%2."/>
      <w:lvlJc w:val="left"/>
      <w:pPr>
        <w:ind w:left="1194" w:hanging="360"/>
      </w:pPr>
    </w:lvl>
    <w:lvl w:ilvl="2" w:tplc="0422001B" w:tentative="1">
      <w:start w:val="1"/>
      <w:numFmt w:val="lowerRoman"/>
      <w:lvlText w:val="%3."/>
      <w:lvlJc w:val="right"/>
      <w:pPr>
        <w:ind w:left="1914" w:hanging="180"/>
      </w:pPr>
    </w:lvl>
    <w:lvl w:ilvl="3" w:tplc="0422000F" w:tentative="1">
      <w:start w:val="1"/>
      <w:numFmt w:val="decimal"/>
      <w:lvlText w:val="%4."/>
      <w:lvlJc w:val="left"/>
      <w:pPr>
        <w:ind w:left="2634" w:hanging="360"/>
      </w:pPr>
    </w:lvl>
    <w:lvl w:ilvl="4" w:tplc="04220019" w:tentative="1">
      <w:start w:val="1"/>
      <w:numFmt w:val="lowerLetter"/>
      <w:lvlText w:val="%5."/>
      <w:lvlJc w:val="left"/>
      <w:pPr>
        <w:ind w:left="3354" w:hanging="360"/>
      </w:pPr>
    </w:lvl>
    <w:lvl w:ilvl="5" w:tplc="0422001B" w:tentative="1">
      <w:start w:val="1"/>
      <w:numFmt w:val="lowerRoman"/>
      <w:lvlText w:val="%6."/>
      <w:lvlJc w:val="right"/>
      <w:pPr>
        <w:ind w:left="4074" w:hanging="180"/>
      </w:pPr>
    </w:lvl>
    <w:lvl w:ilvl="6" w:tplc="0422000F" w:tentative="1">
      <w:start w:val="1"/>
      <w:numFmt w:val="decimal"/>
      <w:lvlText w:val="%7."/>
      <w:lvlJc w:val="left"/>
      <w:pPr>
        <w:ind w:left="4794" w:hanging="360"/>
      </w:pPr>
    </w:lvl>
    <w:lvl w:ilvl="7" w:tplc="04220019" w:tentative="1">
      <w:start w:val="1"/>
      <w:numFmt w:val="lowerLetter"/>
      <w:lvlText w:val="%8."/>
      <w:lvlJc w:val="left"/>
      <w:pPr>
        <w:ind w:left="5514" w:hanging="360"/>
      </w:pPr>
    </w:lvl>
    <w:lvl w:ilvl="8" w:tplc="0422001B" w:tentative="1">
      <w:start w:val="1"/>
      <w:numFmt w:val="lowerRoman"/>
      <w:lvlText w:val="%9."/>
      <w:lvlJc w:val="right"/>
      <w:pPr>
        <w:ind w:left="6234" w:hanging="180"/>
      </w:pPr>
    </w:lvl>
  </w:abstractNum>
  <w:abstractNum w:abstractNumId="13" w15:restartNumberingAfterBreak="0">
    <w:nsid w:val="4FB35D2F"/>
    <w:multiLevelType w:val="hybridMultilevel"/>
    <w:tmpl w:val="D8E44804"/>
    <w:lvl w:ilvl="0" w:tplc="327C23F2">
      <w:start w:val="57"/>
      <w:numFmt w:val="decimal"/>
      <w:lvlText w:val="%1."/>
      <w:lvlJc w:val="left"/>
      <w:pPr>
        <w:ind w:left="720" w:hanging="360"/>
      </w:pPr>
      <w:rPr>
        <w:rFonts w:eastAsiaTheme="minorHAnsi" w:cstheme="minorBidi" w:hint="default"/>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1A738DB"/>
    <w:multiLevelType w:val="hybridMultilevel"/>
    <w:tmpl w:val="BED69C3E"/>
    <w:lvl w:ilvl="0" w:tplc="EB384230">
      <w:start w:val="1"/>
      <w:numFmt w:val="decimal"/>
      <w:lvlText w:val="%1."/>
      <w:lvlJc w:val="left"/>
      <w:pPr>
        <w:ind w:left="825" w:hanging="37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582D1159"/>
    <w:multiLevelType w:val="hybridMultilevel"/>
    <w:tmpl w:val="D3A4C3C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D2A2489"/>
    <w:multiLevelType w:val="hybridMultilevel"/>
    <w:tmpl w:val="F5486C34"/>
    <w:lvl w:ilvl="0" w:tplc="B1766CAE">
      <w:start w:val="85"/>
      <w:numFmt w:val="decimal"/>
      <w:lvlText w:val="%1."/>
      <w:lvlJc w:val="left"/>
      <w:pPr>
        <w:ind w:left="360" w:hanging="360"/>
      </w:pPr>
      <w:rPr>
        <w:rFonts w:hint="default"/>
        <w:b w:val="0"/>
        <w:i w:val="0"/>
        <w:shadow w:val="0"/>
        <w:emboss w:val="0"/>
        <w:imprint w:val="0"/>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5C368D"/>
    <w:multiLevelType w:val="hybridMultilevel"/>
    <w:tmpl w:val="79B223F8"/>
    <w:lvl w:ilvl="0" w:tplc="47DADEEC">
      <w:start w:val="24"/>
      <w:numFmt w:val="decimal"/>
      <w:lvlText w:val="%1."/>
      <w:lvlJc w:val="left"/>
      <w:pPr>
        <w:ind w:left="644" w:hanging="360"/>
      </w:pPr>
      <w:rPr>
        <w:rFonts w:hint="default"/>
        <w:b w:val="0"/>
        <w:i w:val="0"/>
        <w:shadow w:val="0"/>
        <w:emboss w:val="0"/>
        <w:imprint w:val="0"/>
        <w:color w:val="auto"/>
        <w:sz w:val="20"/>
        <w:szCs w:val="20"/>
      </w:rPr>
    </w:lvl>
    <w:lvl w:ilvl="1" w:tplc="04190019">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8" w15:restartNumberingAfterBreak="0">
    <w:nsid w:val="7AAA25E2"/>
    <w:multiLevelType w:val="hybridMultilevel"/>
    <w:tmpl w:val="6A8AA3F6"/>
    <w:lvl w:ilvl="0" w:tplc="4B52E508">
      <w:start w:val="64"/>
      <w:numFmt w:val="decimal"/>
      <w:lvlText w:val="%1."/>
      <w:lvlJc w:val="left"/>
      <w:pPr>
        <w:ind w:left="360" w:hanging="360"/>
      </w:pPr>
      <w:rPr>
        <w:rFonts w:hint="default"/>
        <w:b w:val="0"/>
        <w:i w:val="0"/>
        <w:shadow w:val="0"/>
        <w:emboss w:val="0"/>
        <w:imprint w:val="0"/>
        <w:color w:val="auto"/>
        <w:sz w:val="2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15"/>
  </w:num>
  <w:num w:numId="4">
    <w:abstractNumId w:val="7"/>
  </w:num>
  <w:num w:numId="5">
    <w:abstractNumId w:val="8"/>
  </w:num>
  <w:num w:numId="6">
    <w:abstractNumId w:val="11"/>
  </w:num>
  <w:num w:numId="7">
    <w:abstractNumId w:val="13"/>
  </w:num>
  <w:num w:numId="8">
    <w:abstractNumId w:val="18"/>
  </w:num>
  <w:num w:numId="9">
    <w:abstractNumId w:val="0"/>
  </w:num>
  <w:num w:numId="10">
    <w:abstractNumId w:val="2"/>
  </w:num>
  <w:num w:numId="11">
    <w:abstractNumId w:val="9"/>
  </w:num>
  <w:num w:numId="12">
    <w:abstractNumId w:val="6"/>
  </w:num>
  <w:num w:numId="13">
    <w:abstractNumId w:val="17"/>
  </w:num>
  <w:num w:numId="14">
    <w:abstractNumId w:val="3"/>
  </w:num>
  <w:num w:numId="15">
    <w:abstractNumId w:val="1"/>
  </w:num>
  <w:num w:numId="16">
    <w:abstractNumId w:val="5"/>
  </w:num>
  <w:num w:numId="17">
    <w:abstractNumId w:val="10"/>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ED"/>
    <w:rsid w:val="000036BD"/>
    <w:rsid w:val="00004AA5"/>
    <w:rsid w:val="0000517A"/>
    <w:rsid w:val="00005B22"/>
    <w:rsid w:val="00005DAC"/>
    <w:rsid w:val="00006411"/>
    <w:rsid w:val="0000784E"/>
    <w:rsid w:val="000141E3"/>
    <w:rsid w:val="00015AD4"/>
    <w:rsid w:val="00016484"/>
    <w:rsid w:val="00022C69"/>
    <w:rsid w:val="000233C8"/>
    <w:rsid w:val="0003765F"/>
    <w:rsid w:val="0004247C"/>
    <w:rsid w:val="00044401"/>
    <w:rsid w:val="00045BCD"/>
    <w:rsid w:val="00046424"/>
    <w:rsid w:val="00056486"/>
    <w:rsid w:val="00056F1B"/>
    <w:rsid w:val="0006009F"/>
    <w:rsid w:val="000607D1"/>
    <w:rsid w:val="00060BB4"/>
    <w:rsid w:val="00060C19"/>
    <w:rsid w:val="00060E45"/>
    <w:rsid w:val="00061CFC"/>
    <w:rsid w:val="00065F1D"/>
    <w:rsid w:val="000662F8"/>
    <w:rsid w:val="000715B6"/>
    <w:rsid w:val="0007445D"/>
    <w:rsid w:val="000760DD"/>
    <w:rsid w:val="00076E2D"/>
    <w:rsid w:val="000802F2"/>
    <w:rsid w:val="00081D21"/>
    <w:rsid w:val="00084141"/>
    <w:rsid w:val="00092DFD"/>
    <w:rsid w:val="00093019"/>
    <w:rsid w:val="00097EFC"/>
    <w:rsid w:val="000A0CCC"/>
    <w:rsid w:val="000A368B"/>
    <w:rsid w:val="000A4566"/>
    <w:rsid w:val="000A5A55"/>
    <w:rsid w:val="000B044B"/>
    <w:rsid w:val="000B0657"/>
    <w:rsid w:val="000B53B6"/>
    <w:rsid w:val="000B7A09"/>
    <w:rsid w:val="000C5A74"/>
    <w:rsid w:val="000D2204"/>
    <w:rsid w:val="000D4D59"/>
    <w:rsid w:val="000E0557"/>
    <w:rsid w:val="000E1891"/>
    <w:rsid w:val="000E2ECA"/>
    <w:rsid w:val="000E360E"/>
    <w:rsid w:val="000E5516"/>
    <w:rsid w:val="000E7595"/>
    <w:rsid w:val="000F17C3"/>
    <w:rsid w:val="000F184A"/>
    <w:rsid w:val="000F2E0F"/>
    <w:rsid w:val="00102420"/>
    <w:rsid w:val="00102646"/>
    <w:rsid w:val="0010408F"/>
    <w:rsid w:val="001042CB"/>
    <w:rsid w:val="001054D5"/>
    <w:rsid w:val="001061AB"/>
    <w:rsid w:val="00107B6A"/>
    <w:rsid w:val="00110813"/>
    <w:rsid w:val="0011206F"/>
    <w:rsid w:val="001128B9"/>
    <w:rsid w:val="00115595"/>
    <w:rsid w:val="001214B4"/>
    <w:rsid w:val="001225FB"/>
    <w:rsid w:val="001227E5"/>
    <w:rsid w:val="00122897"/>
    <w:rsid w:val="0012455F"/>
    <w:rsid w:val="00124C35"/>
    <w:rsid w:val="00126037"/>
    <w:rsid w:val="00127D2D"/>
    <w:rsid w:val="00131214"/>
    <w:rsid w:val="001328D0"/>
    <w:rsid w:val="001445ED"/>
    <w:rsid w:val="00145069"/>
    <w:rsid w:val="001464CE"/>
    <w:rsid w:val="00147362"/>
    <w:rsid w:val="00147D5F"/>
    <w:rsid w:val="00150D59"/>
    <w:rsid w:val="0015691F"/>
    <w:rsid w:val="00160FEB"/>
    <w:rsid w:val="00162EAE"/>
    <w:rsid w:val="001637EB"/>
    <w:rsid w:val="001740CB"/>
    <w:rsid w:val="00175C06"/>
    <w:rsid w:val="00175C9C"/>
    <w:rsid w:val="001775D4"/>
    <w:rsid w:val="001776A7"/>
    <w:rsid w:val="00181FF2"/>
    <w:rsid w:val="0018418A"/>
    <w:rsid w:val="00190CCE"/>
    <w:rsid w:val="0019709C"/>
    <w:rsid w:val="001A0335"/>
    <w:rsid w:val="001A0CAA"/>
    <w:rsid w:val="001A2901"/>
    <w:rsid w:val="001A317B"/>
    <w:rsid w:val="001A595B"/>
    <w:rsid w:val="001A72CC"/>
    <w:rsid w:val="001B0361"/>
    <w:rsid w:val="001B150F"/>
    <w:rsid w:val="001B20E2"/>
    <w:rsid w:val="001B687B"/>
    <w:rsid w:val="001B7DB5"/>
    <w:rsid w:val="001C03E7"/>
    <w:rsid w:val="001C046E"/>
    <w:rsid w:val="001C0E6A"/>
    <w:rsid w:val="001C2603"/>
    <w:rsid w:val="001C4606"/>
    <w:rsid w:val="001C7BD6"/>
    <w:rsid w:val="001D0052"/>
    <w:rsid w:val="001D19FC"/>
    <w:rsid w:val="001E2CD3"/>
    <w:rsid w:val="001E4BAD"/>
    <w:rsid w:val="001E61BD"/>
    <w:rsid w:val="001E65ED"/>
    <w:rsid w:val="001E6FA0"/>
    <w:rsid w:val="001F0A8E"/>
    <w:rsid w:val="001F3AAC"/>
    <w:rsid w:val="002026D8"/>
    <w:rsid w:val="0021214B"/>
    <w:rsid w:val="0021217C"/>
    <w:rsid w:val="0021225D"/>
    <w:rsid w:val="00212B4D"/>
    <w:rsid w:val="0021471F"/>
    <w:rsid w:val="00224513"/>
    <w:rsid w:val="00227C16"/>
    <w:rsid w:val="002321E2"/>
    <w:rsid w:val="00232F45"/>
    <w:rsid w:val="00233BC7"/>
    <w:rsid w:val="00240229"/>
    <w:rsid w:val="002413C7"/>
    <w:rsid w:val="00251A12"/>
    <w:rsid w:val="00251BCA"/>
    <w:rsid w:val="00253A27"/>
    <w:rsid w:val="00256933"/>
    <w:rsid w:val="00260DDA"/>
    <w:rsid w:val="00261190"/>
    <w:rsid w:val="002626BF"/>
    <w:rsid w:val="002640B1"/>
    <w:rsid w:val="00266B37"/>
    <w:rsid w:val="00270050"/>
    <w:rsid w:val="00271E2D"/>
    <w:rsid w:val="00272573"/>
    <w:rsid w:val="002725BE"/>
    <w:rsid w:val="00274D24"/>
    <w:rsid w:val="002766FB"/>
    <w:rsid w:val="0028271E"/>
    <w:rsid w:val="00284376"/>
    <w:rsid w:val="002870EE"/>
    <w:rsid w:val="00292EC5"/>
    <w:rsid w:val="00296DCF"/>
    <w:rsid w:val="002A17FF"/>
    <w:rsid w:val="002A1C26"/>
    <w:rsid w:val="002A209E"/>
    <w:rsid w:val="002A2D2C"/>
    <w:rsid w:val="002A3C8C"/>
    <w:rsid w:val="002A3FDC"/>
    <w:rsid w:val="002A6D39"/>
    <w:rsid w:val="002A6E79"/>
    <w:rsid w:val="002A713F"/>
    <w:rsid w:val="002A7E58"/>
    <w:rsid w:val="002B034E"/>
    <w:rsid w:val="002B5DE1"/>
    <w:rsid w:val="002B7E90"/>
    <w:rsid w:val="002C435B"/>
    <w:rsid w:val="002D0BD2"/>
    <w:rsid w:val="002D4659"/>
    <w:rsid w:val="002D49BB"/>
    <w:rsid w:val="002D5919"/>
    <w:rsid w:val="002D7860"/>
    <w:rsid w:val="002F0202"/>
    <w:rsid w:val="002F2EBD"/>
    <w:rsid w:val="002F786E"/>
    <w:rsid w:val="002F7C72"/>
    <w:rsid w:val="00300C8F"/>
    <w:rsid w:val="00302AE4"/>
    <w:rsid w:val="003042A9"/>
    <w:rsid w:val="00305A08"/>
    <w:rsid w:val="003066FB"/>
    <w:rsid w:val="003071FD"/>
    <w:rsid w:val="0030784E"/>
    <w:rsid w:val="00311DFA"/>
    <w:rsid w:val="00316067"/>
    <w:rsid w:val="00320862"/>
    <w:rsid w:val="0032299C"/>
    <w:rsid w:val="0032410D"/>
    <w:rsid w:val="00330D1E"/>
    <w:rsid w:val="00333CAD"/>
    <w:rsid w:val="003374AA"/>
    <w:rsid w:val="00337D70"/>
    <w:rsid w:val="003421D6"/>
    <w:rsid w:val="00355DED"/>
    <w:rsid w:val="00360F85"/>
    <w:rsid w:val="00361972"/>
    <w:rsid w:val="00364183"/>
    <w:rsid w:val="0036481A"/>
    <w:rsid w:val="00366780"/>
    <w:rsid w:val="00367D6F"/>
    <w:rsid w:val="00370C52"/>
    <w:rsid w:val="00371AE9"/>
    <w:rsid w:val="00373105"/>
    <w:rsid w:val="0037374F"/>
    <w:rsid w:val="003738F5"/>
    <w:rsid w:val="003739CA"/>
    <w:rsid w:val="003749F8"/>
    <w:rsid w:val="00377D12"/>
    <w:rsid w:val="00381A75"/>
    <w:rsid w:val="00381C55"/>
    <w:rsid w:val="003859F2"/>
    <w:rsid w:val="003864B9"/>
    <w:rsid w:val="003866F5"/>
    <w:rsid w:val="00393CBD"/>
    <w:rsid w:val="003943AD"/>
    <w:rsid w:val="003A0A6F"/>
    <w:rsid w:val="003A1BB3"/>
    <w:rsid w:val="003A2279"/>
    <w:rsid w:val="003A5A54"/>
    <w:rsid w:val="003A6BD5"/>
    <w:rsid w:val="003A7004"/>
    <w:rsid w:val="003B20AD"/>
    <w:rsid w:val="003B30C0"/>
    <w:rsid w:val="003B3E0B"/>
    <w:rsid w:val="003C7D90"/>
    <w:rsid w:val="003D1C01"/>
    <w:rsid w:val="003D2441"/>
    <w:rsid w:val="003D284E"/>
    <w:rsid w:val="003D41E3"/>
    <w:rsid w:val="003D6FA9"/>
    <w:rsid w:val="003D6FFE"/>
    <w:rsid w:val="003D7962"/>
    <w:rsid w:val="003E264C"/>
    <w:rsid w:val="003E26C5"/>
    <w:rsid w:val="003E57C1"/>
    <w:rsid w:val="003E6B2D"/>
    <w:rsid w:val="003F231D"/>
    <w:rsid w:val="003F30D2"/>
    <w:rsid w:val="003F4FCF"/>
    <w:rsid w:val="003F6449"/>
    <w:rsid w:val="0040234F"/>
    <w:rsid w:val="0040752C"/>
    <w:rsid w:val="00407C0A"/>
    <w:rsid w:val="00414CA3"/>
    <w:rsid w:val="00416ADE"/>
    <w:rsid w:val="004216B3"/>
    <w:rsid w:val="00421BDF"/>
    <w:rsid w:val="00425F54"/>
    <w:rsid w:val="0042740E"/>
    <w:rsid w:val="00427528"/>
    <w:rsid w:val="0043410E"/>
    <w:rsid w:val="004358BA"/>
    <w:rsid w:val="004366F8"/>
    <w:rsid w:val="004367DC"/>
    <w:rsid w:val="004370E1"/>
    <w:rsid w:val="0044063E"/>
    <w:rsid w:val="00442356"/>
    <w:rsid w:val="00442AD1"/>
    <w:rsid w:val="00443845"/>
    <w:rsid w:val="00444646"/>
    <w:rsid w:val="00446641"/>
    <w:rsid w:val="00446BA3"/>
    <w:rsid w:val="00450A0B"/>
    <w:rsid w:val="004531B0"/>
    <w:rsid w:val="00462C18"/>
    <w:rsid w:val="004639F5"/>
    <w:rsid w:val="0047348E"/>
    <w:rsid w:val="00473D92"/>
    <w:rsid w:val="00475549"/>
    <w:rsid w:val="00476AEF"/>
    <w:rsid w:val="004773DF"/>
    <w:rsid w:val="00485853"/>
    <w:rsid w:val="004901FF"/>
    <w:rsid w:val="00490D2C"/>
    <w:rsid w:val="00491BE8"/>
    <w:rsid w:val="00493EDC"/>
    <w:rsid w:val="00495B26"/>
    <w:rsid w:val="004A2269"/>
    <w:rsid w:val="004A3822"/>
    <w:rsid w:val="004B1066"/>
    <w:rsid w:val="004B430A"/>
    <w:rsid w:val="004B7AD3"/>
    <w:rsid w:val="004C0E31"/>
    <w:rsid w:val="004C1D14"/>
    <w:rsid w:val="004C27FB"/>
    <w:rsid w:val="004C47C6"/>
    <w:rsid w:val="004D1BB6"/>
    <w:rsid w:val="004D57CE"/>
    <w:rsid w:val="004D58A8"/>
    <w:rsid w:val="004D609E"/>
    <w:rsid w:val="004D7809"/>
    <w:rsid w:val="004E0864"/>
    <w:rsid w:val="004E0C03"/>
    <w:rsid w:val="004E11FA"/>
    <w:rsid w:val="004E1CBF"/>
    <w:rsid w:val="004E5696"/>
    <w:rsid w:val="004E7CAC"/>
    <w:rsid w:val="004F09D2"/>
    <w:rsid w:val="004F229E"/>
    <w:rsid w:val="004F3CE8"/>
    <w:rsid w:val="00500326"/>
    <w:rsid w:val="0050133A"/>
    <w:rsid w:val="0050339E"/>
    <w:rsid w:val="005050C6"/>
    <w:rsid w:val="00505C5C"/>
    <w:rsid w:val="0050725A"/>
    <w:rsid w:val="00510DAE"/>
    <w:rsid w:val="00514984"/>
    <w:rsid w:val="0051713A"/>
    <w:rsid w:val="00520939"/>
    <w:rsid w:val="00521105"/>
    <w:rsid w:val="0052242D"/>
    <w:rsid w:val="005270D3"/>
    <w:rsid w:val="0052749D"/>
    <w:rsid w:val="005316B5"/>
    <w:rsid w:val="00532227"/>
    <w:rsid w:val="005339A8"/>
    <w:rsid w:val="00545B20"/>
    <w:rsid w:val="00547356"/>
    <w:rsid w:val="00550D91"/>
    <w:rsid w:val="00560E53"/>
    <w:rsid w:val="0056133F"/>
    <w:rsid w:val="00562376"/>
    <w:rsid w:val="00562E5D"/>
    <w:rsid w:val="00564038"/>
    <w:rsid w:val="00565AD3"/>
    <w:rsid w:val="00566610"/>
    <w:rsid w:val="00572848"/>
    <w:rsid w:val="00573A74"/>
    <w:rsid w:val="00573DBE"/>
    <w:rsid w:val="00573EE4"/>
    <w:rsid w:val="00575B54"/>
    <w:rsid w:val="0057613D"/>
    <w:rsid w:val="00576DB6"/>
    <w:rsid w:val="00576FED"/>
    <w:rsid w:val="00577A26"/>
    <w:rsid w:val="00580D68"/>
    <w:rsid w:val="00580E0F"/>
    <w:rsid w:val="0058114C"/>
    <w:rsid w:val="00582AFD"/>
    <w:rsid w:val="00582E74"/>
    <w:rsid w:val="00583928"/>
    <w:rsid w:val="00585161"/>
    <w:rsid w:val="005852E9"/>
    <w:rsid w:val="005870DB"/>
    <w:rsid w:val="005940B4"/>
    <w:rsid w:val="00594660"/>
    <w:rsid w:val="00597CCD"/>
    <w:rsid w:val="005A0A9D"/>
    <w:rsid w:val="005A121B"/>
    <w:rsid w:val="005A1B5C"/>
    <w:rsid w:val="005A1D81"/>
    <w:rsid w:val="005A26B4"/>
    <w:rsid w:val="005A6C34"/>
    <w:rsid w:val="005B3F95"/>
    <w:rsid w:val="005C0DD0"/>
    <w:rsid w:val="005C14A2"/>
    <w:rsid w:val="005C22B1"/>
    <w:rsid w:val="005C500F"/>
    <w:rsid w:val="005C7E3D"/>
    <w:rsid w:val="005D1A67"/>
    <w:rsid w:val="005D3B9F"/>
    <w:rsid w:val="005D3E83"/>
    <w:rsid w:val="005D798B"/>
    <w:rsid w:val="005E0248"/>
    <w:rsid w:val="005E49E2"/>
    <w:rsid w:val="005E6BFA"/>
    <w:rsid w:val="005F0215"/>
    <w:rsid w:val="005F4473"/>
    <w:rsid w:val="005F699E"/>
    <w:rsid w:val="005F70DB"/>
    <w:rsid w:val="005F72B1"/>
    <w:rsid w:val="0060195A"/>
    <w:rsid w:val="00602CE7"/>
    <w:rsid w:val="006034B7"/>
    <w:rsid w:val="00611B03"/>
    <w:rsid w:val="00612137"/>
    <w:rsid w:val="00613C37"/>
    <w:rsid w:val="00614D57"/>
    <w:rsid w:val="00615B1B"/>
    <w:rsid w:val="006163BE"/>
    <w:rsid w:val="00621ABF"/>
    <w:rsid w:val="00631510"/>
    <w:rsid w:val="006347CF"/>
    <w:rsid w:val="00634A01"/>
    <w:rsid w:val="00636440"/>
    <w:rsid w:val="00640437"/>
    <w:rsid w:val="00640FF3"/>
    <w:rsid w:val="006421B8"/>
    <w:rsid w:val="00643006"/>
    <w:rsid w:val="00644478"/>
    <w:rsid w:val="00645D81"/>
    <w:rsid w:val="00647ACE"/>
    <w:rsid w:val="00650486"/>
    <w:rsid w:val="006543C5"/>
    <w:rsid w:val="006549B2"/>
    <w:rsid w:val="00657496"/>
    <w:rsid w:val="00664D86"/>
    <w:rsid w:val="00665BE4"/>
    <w:rsid w:val="006661E2"/>
    <w:rsid w:val="00667701"/>
    <w:rsid w:val="00667963"/>
    <w:rsid w:val="00674A23"/>
    <w:rsid w:val="0067522E"/>
    <w:rsid w:val="00683070"/>
    <w:rsid w:val="006841E7"/>
    <w:rsid w:val="00687DB1"/>
    <w:rsid w:val="00692F47"/>
    <w:rsid w:val="00697078"/>
    <w:rsid w:val="006A224C"/>
    <w:rsid w:val="006A2C43"/>
    <w:rsid w:val="006A3FD0"/>
    <w:rsid w:val="006B02B2"/>
    <w:rsid w:val="006B3139"/>
    <w:rsid w:val="006B6C6C"/>
    <w:rsid w:val="006B7F1E"/>
    <w:rsid w:val="006C31C4"/>
    <w:rsid w:val="006C4517"/>
    <w:rsid w:val="006C5B5D"/>
    <w:rsid w:val="006C7201"/>
    <w:rsid w:val="006D083C"/>
    <w:rsid w:val="006E0982"/>
    <w:rsid w:val="006E1AB2"/>
    <w:rsid w:val="006E3B5F"/>
    <w:rsid w:val="006E3FA2"/>
    <w:rsid w:val="006E49F2"/>
    <w:rsid w:val="006E764D"/>
    <w:rsid w:val="006E7964"/>
    <w:rsid w:val="006F222C"/>
    <w:rsid w:val="006F4B93"/>
    <w:rsid w:val="006F63C0"/>
    <w:rsid w:val="00700250"/>
    <w:rsid w:val="00705C7F"/>
    <w:rsid w:val="00712C78"/>
    <w:rsid w:val="00713E53"/>
    <w:rsid w:val="00714ED8"/>
    <w:rsid w:val="00715E20"/>
    <w:rsid w:val="00720038"/>
    <w:rsid w:val="00720B72"/>
    <w:rsid w:val="007270EE"/>
    <w:rsid w:val="00727299"/>
    <w:rsid w:val="007313A7"/>
    <w:rsid w:val="0073205D"/>
    <w:rsid w:val="00732B08"/>
    <w:rsid w:val="00741774"/>
    <w:rsid w:val="00742ACC"/>
    <w:rsid w:val="00745538"/>
    <w:rsid w:val="00745867"/>
    <w:rsid w:val="00745A3E"/>
    <w:rsid w:val="00745F9B"/>
    <w:rsid w:val="00746C65"/>
    <w:rsid w:val="00747644"/>
    <w:rsid w:val="007510AF"/>
    <w:rsid w:val="00752A1E"/>
    <w:rsid w:val="007548DA"/>
    <w:rsid w:val="00762785"/>
    <w:rsid w:val="0076784E"/>
    <w:rsid w:val="00774019"/>
    <w:rsid w:val="00775EFA"/>
    <w:rsid w:val="00776CF4"/>
    <w:rsid w:val="00780949"/>
    <w:rsid w:val="007824B9"/>
    <w:rsid w:val="00787209"/>
    <w:rsid w:val="00787D4F"/>
    <w:rsid w:val="00787F46"/>
    <w:rsid w:val="00790340"/>
    <w:rsid w:val="00790F4C"/>
    <w:rsid w:val="007920CC"/>
    <w:rsid w:val="007934C8"/>
    <w:rsid w:val="00795149"/>
    <w:rsid w:val="00797B10"/>
    <w:rsid w:val="007A4BAA"/>
    <w:rsid w:val="007A5512"/>
    <w:rsid w:val="007A560F"/>
    <w:rsid w:val="007A6066"/>
    <w:rsid w:val="007B1717"/>
    <w:rsid w:val="007B1731"/>
    <w:rsid w:val="007B2655"/>
    <w:rsid w:val="007B29AC"/>
    <w:rsid w:val="007B4C47"/>
    <w:rsid w:val="007C3E26"/>
    <w:rsid w:val="007C4B62"/>
    <w:rsid w:val="007C691F"/>
    <w:rsid w:val="007C6FA1"/>
    <w:rsid w:val="007C7E40"/>
    <w:rsid w:val="007D01EA"/>
    <w:rsid w:val="007D2134"/>
    <w:rsid w:val="007D66E2"/>
    <w:rsid w:val="007E54C5"/>
    <w:rsid w:val="007E6637"/>
    <w:rsid w:val="007E76BE"/>
    <w:rsid w:val="007E7AD6"/>
    <w:rsid w:val="007F1221"/>
    <w:rsid w:val="007F3D19"/>
    <w:rsid w:val="007F60E4"/>
    <w:rsid w:val="00800308"/>
    <w:rsid w:val="00801928"/>
    <w:rsid w:val="00801A32"/>
    <w:rsid w:val="00802DB1"/>
    <w:rsid w:val="008035DC"/>
    <w:rsid w:val="0080411C"/>
    <w:rsid w:val="00805AB7"/>
    <w:rsid w:val="00807FE2"/>
    <w:rsid w:val="00811B70"/>
    <w:rsid w:val="00812872"/>
    <w:rsid w:val="0082012B"/>
    <w:rsid w:val="008248B1"/>
    <w:rsid w:val="00824C95"/>
    <w:rsid w:val="008258F3"/>
    <w:rsid w:val="00826ED5"/>
    <w:rsid w:val="00841C7D"/>
    <w:rsid w:val="0084230C"/>
    <w:rsid w:val="00843E51"/>
    <w:rsid w:val="00846462"/>
    <w:rsid w:val="00846FD6"/>
    <w:rsid w:val="00850390"/>
    <w:rsid w:val="00851137"/>
    <w:rsid w:val="00852DD1"/>
    <w:rsid w:val="008533EA"/>
    <w:rsid w:val="00854151"/>
    <w:rsid w:val="00856520"/>
    <w:rsid w:val="008566DB"/>
    <w:rsid w:val="00857E45"/>
    <w:rsid w:val="008672EC"/>
    <w:rsid w:val="00870419"/>
    <w:rsid w:val="008762CB"/>
    <w:rsid w:val="00876DFC"/>
    <w:rsid w:val="00880236"/>
    <w:rsid w:val="008820B3"/>
    <w:rsid w:val="0088248F"/>
    <w:rsid w:val="00884DAA"/>
    <w:rsid w:val="00890E54"/>
    <w:rsid w:val="0089236F"/>
    <w:rsid w:val="00893345"/>
    <w:rsid w:val="00894BC0"/>
    <w:rsid w:val="008A3AFC"/>
    <w:rsid w:val="008B086A"/>
    <w:rsid w:val="008B17F7"/>
    <w:rsid w:val="008B7C61"/>
    <w:rsid w:val="008C1ACB"/>
    <w:rsid w:val="008C2119"/>
    <w:rsid w:val="008C2D4D"/>
    <w:rsid w:val="008C3A5B"/>
    <w:rsid w:val="008C61D8"/>
    <w:rsid w:val="008C7D6C"/>
    <w:rsid w:val="008D033B"/>
    <w:rsid w:val="008D1530"/>
    <w:rsid w:val="008D22EA"/>
    <w:rsid w:val="008D53AC"/>
    <w:rsid w:val="008D5F18"/>
    <w:rsid w:val="008D6976"/>
    <w:rsid w:val="008E1AB6"/>
    <w:rsid w:val="008E2613"/>
    <w:rsid w:val="008E4DA0"/>
    <w:rsid w:val="008E530A"/>
    <w:rsid w:val="008E55E6"/>
    <w:rsid w:val="008E57F9"/>
    <w:rsid w:val="008E74F5"/>
    <w:rsid w:val="008F167C"/>
    <w:rsid w:val="008F3C3F"/>
    <w:rsid w:val="008F3D28"/>
    <w:rsid w:val="008F5B5C"/>
    <w:rsid w:val="008F68B2"/>
    <w:rsid w:val="00901BFA"/>
    <w:rsid w:val="00902386"/>
    <w:rsid w:val="00904B07"/>
    <w:rsid w:val="00911A9A"/>
    <w:rsid w:val="00913888"/>
    <w:rsid w:val="00914FA0"/>
    <w:rsid w:val="00927329"/>
    <w:rsid w:val="00936607"/>
    <w:rsid w:val="009369B5"/>
    <w:rsid w:val="009376BA"/>
    <w:rsid w:val="00940223"/>
    <w:rsid w:val="0094047E"/>
    <w:rsid w:val="009439F7"/>
    <w:rsid w:val="009444D0"/>
    <w:rsid w:val="009449C8"/>
    <w:rsid w:val="00944ABD"/>
    <w:rsid w:val="00944B5C"/>
    <w:rsid w:val="0094632B"/>
    <w:rsid w:val="009508B8"/>
    <w:rsid w:val="009551A4"/>
    <w:rsid w:val="00955BCC"/>
    <w:rsid w:val="00955EEE"/>
    <w:rsid w:val="00960480"/>
    <w:rsid w:val="009611B5"/>
    <w:rsid w:val="00963AE4"/>
    <w:rsid w:val="00964358"/>
    <w:rsid w:val="009646A3"/>
    <w:rsid w:val="00965E4C"/>
    <w:rsid w:val="0097163F"/>
    <w:rsid w:val="00976074"/>
    <w:rsid w:val="00976A7B"/>
    <w:rsid w:val="00977EA7"/>
    <w:rsid w:val="009816D6"/>
    <w:rsid w:val="00983AC0"/>
    <w:rsid w:val="0099399E"/>
    <w:rsid w:val="00994DF7"/>
    <w:rsid w:val="009968FE"/>
    <w:rsid w:val="009A0234"/>
    <w:rsid w:val="009A0455"/>
    <w:rsid w:val="009A6F2A"/>
    <w:rsid w:val="009B5462"/>
    <w:rsid w:val="009B7660"/>
    <w:rsid w:val="009C0177"/>
    <w:rsid w:val="009C196E"/>
    <w:rsid w:val="009C34FE"/>
    <w:rsid w:val="009C3AB0"/>
    <w:rsid w:val="009C45DB"/>
    <w:rsid w:val="009C5361"/>
    <w:rsid w:val="009C62CF"/>
    <w:rsid w:val="009C7B8B"/>
    <w:rsid w:val="009D366A"/>
    <w:rsid w:val="009D5CAE"/>
    <w:rsid w:val="009E07C4"/>
    <w:rsid w:val="009E1A6A"/>
    <w:rsid w:val="009E30E8"/>
    <w:rsid w:val="009E422B"/>
    <w:rsid w:val="009E4F0D"/>
    <w:rsid w:val="009E52FA"/>
    <w:rsid w:val="009E69D9"/>
    <w:rsid w:val="00A00C53"/>
    <w:rsid w:val="00A00F5E"/>
    <w:rsid w:val="00A033B8"/>
    <w:rsid w:val="00A066A1"/>
    <w:rsid w:val="00A10F25"/>
    <w:rsid w:val="00A13788"/>
    <w:rsid w:val="00A20726"/>
    <w:rsid w:val="00A20D0D"/>
    <w:rsid w:val="00A23A0D"/>
    <w:rsid w:val="00A36FE6"/>
    <w:rsid w:val="00A37D1C"/>
    <w:rsid w:val="00A4023A"/>
    <w:rsid w:val="00A416E3"/>
    <w:rsid w:val="00A41EB7"/>
    <w:rsid w:val="00A42B2F"/>
    <w:rsid w:val="00A5182D"/>
    <w:rsid w:val="00A553DE"/>
    <w:rsid w:val="00A601D8"/>
    <w:rsid w:val="00A60678"/>
    <w:rsid w:val="00A60EF5"/>
    <w:rsid w:val="00A61CEA"/>
    <w:rsid w:val="00A63A08"/>
    <w:rsid w:val="00A708FE"/>
    <w:rsid w:val="00A71A5F"/>
    <w:rsid w:val="00A71D89"/>
    <w:rsid w:val="00A71EA1"/>
    <w:rsid w:val="00A7230D"/>
    <w:rsid w:val="00A72398"/>
    <w:rsid w:val="00A7379D"/>
    <w:rsid w:val="00A776B4"/>
    <w:rsid w:val="00A9263E"/>
    <w:rsid w:val="00A9413D"/>
    <w:rsid w:val="00AA0135"/>
    <w:rsid w:val="00AA11C1"/>
    <w:rsid w:val="00AA2513"/>
    <w:rsid w:val="00AA4B08"/>
    <w:rsid w:val="00AA6442"/>
    <w:rsid w:val="00AB0ED2"/>
    <w:rsid w:val="00AB1C97"/>
    <w:rsid w:val="00AB6AD1"/>
    <w:rsid w:val="00AB6C58"/>
    <w:rsid w:val="00AB7A49"/>
    <w:rsid w:val="00AC028C"/>
    <w:rsid w:val="00AC4021"/>
    <w:rsid w:val="00AC55D2"/>
    <w:rsid w:val="00AD02A9"/>
    <w:rsid w:val="00AD323D"/>
    <w:rsid w:val="00AD33B4"/>
    <w:rsid w:val="00AD6789"/>
    <w:rsid w:val="00AE1AAA"/>
    <w:rsid w:val="00AE4FFD"/>
    <w:rsid w:val="00AF0834"/>
    <w:rsid w:val="00AF6368"/>
    <w:rsid w:val="00B00D76"/>
    <w:rsid w:val="00B01668"/>
    <w:rsid w:val="00B107F3"/>
    <w:rsid w:val="00B2348D"/>
    <w:rsid w:val="00B24F5D"/>
    <w:rsid w:val="00B25794"/>
    <w:rsid w:val="00B31A7E"/>
    <w:rsid w:val="00B32D27"/>
    <w:rsid w:val="00B3793B"/>
    <w:rsid w:val="00B4041E"/>
    <w:rsid w:val="00B44B2B"/>
    <w:rsid w:val="00B54347"/>
    <w:rsid w:val="00B548EE"/>
    <w:rsid w:val="00B603BD"/>
    <w:rsid w:val="00B60744"/>
    <w:rsid w:val="00B609DD"/>
    <w:rsid w:val="00B6116E"/>
    <w:rsid w:val="00B6545E"/>
    <w:rsid w:val="00B70695"/>
    <w:rsid w:val="00B70C98"/>
    <w:rsid w:val="00B70F06"/>
    <w:rsid w:val="00B7270D"/>
    <w:rsid w:val="00B74691"/>
    <w:rsid w:val="00B76FA9"/>
    <w:rsid w:val="00B77C7C"/>
    <w:rsid w:val="00B806E1"/>
    <w:rsid w:val="00B82E1C"/>
    <w:rsid w:val="00B8376F"/>
    <w:rsid w:val="00B8435F"/>
    <w:rsid w:val="00B85C0A"/>
    <w:rsid w:val="00B92666"/>
    <w:rsid w:val="00B92CCB"/>
    <w:rsid w:val="00B96E60"/>
    <w:rsid w:val="00BA00E3"/>
    <w:rsid w:val="00BA0901"/>
    <w:rsid w:val="00BA3245"/>
    <w:rsid w:val="00BA34B3"/>
    <w:rsid w:val="00BA5436"/>
    <w:rsid w:val="00BA5B4A"/>
    <w:rsid w:val="00BA5C35"/>
    <w:rsid w:val="00BB09A9"/>
    <w:rsid w:val="00BB0F94"/>
    <w:rsid w:val="00BB22DE"/>
    <w:rsid w:val="00BC3A4F"/>
    <w:rsid w:val="00BC7FBE"/>
    <w:rsid w:val="00BD40B3"/>
    <w:rsid w:val="00BD48A2"/>
    <w:rsid w:val="00BD4ADE"/>
    <w:rsid w:val="00BE03D5"/>
    <w:rsid w:val="00BE0715"/>
    <w:rsid w:val="00BE1FBA"/>
    <w:rsid w:val="00BE4738"/>
    <w:rsid w:val="00BE78C0"/>
    <w:rsid w:val="00BE7E1D"/>
    <w:rsid w:val="00BF2295"/>
    <w:rsid w:val="00BF265C"/>
    <w:rsid w:val="00BF32D6"/>
    <w:rsid w:val="00BF4803"/>
    <w:rsid w:val="00BF4C1A"/>
    <w:rsid w:val="00BF4E6A"/>
    <w:rsid w:val="00BF6869"/>
    <w:rsid w:val="00C0254F"/>
    <w:rsid w:val="00C02AD2"/>
    <w:rsid w:val="00C03873"/>
    <w:rsid w:val="00C07BAE"/>
    <w:rsid w:val="00C07CBD"/>
    <w:rsid w:val="00C129E9"/>
    <w:rsid w:val="00C170AF"/>
    <w:rsid w:val="00C20CB1"/>
    <w:rsid w:val="00C2204C"/>
    <w:rsid w:val="00C22408"/>
    <w:rsid w:val="00C239C1"/>
    <w:rsid w:val="00C305F5"/>
    <w:rsid w:val="00C31802"/>
    <w:rsid w:val="00C31C6F"/>
    <w:rsid w:val="00C33497"/>
    <w:rsid w:val="00C3389D"/>
    <w:rsid w:val="00C35A27"/>
    <w:rsid w:val="00C41075"/>
    <w:rsid w:val="00C447FB"/>
    <w:rsid w:val="00C44D42"/>
    <w:rsid w:val="00C453BA"/>
    <w:rsid w:val="00C54ACD"/>
    <w:rsid w:val="00C56984"/>
    <w:rsid w:val="00C61352"/>
    <w:rsid w:val="00C61C1D"/>
    <w:rsid w:val="00C67335"/>
    <w:rsid w:val="00C67354"/>
    <w:rsid w:val="00C75BAA"/>
    <w:rsid w:val="00C77A2F"/>
    <w:rsid w:val="00C81221"/>
    <w:rsid w:val="00C81E0A"/>
    <w:rsid w:val="00C82DCD"/>
    <w:rsid w:val="00C854A8"/>
    <w:rsid w:val="00C9073C"/>
    <w:rsid w:val="00C92E49"/>
    <w:rsid w:val="00C93035"/>
    <w:rsid w:val="00C94E8A"/>
    <w:rsid w:val="00C9771A"/>
    <w:rsid w:val="00CA0858"/>
    <w:rsid w:val="00CA1367"/>
    <w:rsid w:val="00CA191C"/>
    <w:rsid w:val="00CA3209"/>
    <w:rsid w:val="00CA7A01"/>
    <w:rsid w:val="00CB0ED6"/>
    <w:rsid w:val="00CB47D0"/>
    <w:rsid w:val="00CB5683"/>
    <w:rsid w:val="00CB5992"/>
    <w:rsid w:val="00CB5F72"/>
    <w:rsid w:val="00CB7B5F"/>
    <w:rsid w:val="00CB7C94"/>
    <w:rsid w:val="00CC1E62"/>
    <w:rsid w:val="00CC4315"/>
    <w:rsid w:val="00CC7191"/>
    <w:rsid w:val="00CD0B89"/>
    <w:rsid w:val="00CD122A"/>
    <w:rsid w:val="00CE075A"/>
    <w:rsid w:val="00CE13F2"/>
    <w:rsid w:val="00CE1B30"/>
    <w:rsid w:val="00CE41C7"/>
    <w:rsid w:val="00CF07F0"/>
    <w:rsid w:val="00CF0DEC"/>
    <w:rsid w:val="00CF2B1D"/>
    <w:rsid w:val="00CF34F5"/>
    <w:rsid w:val="00CF435E"/>
    <w:rsid w:val="00CF59D2"/>
    <w:rsid w:val="00D04093"/>
    <w:rsid w:val="00D06ADD"/>
    <w:rsid w:val="00D076B1"/>
    <w:rsid w:val="00D079A4"/>
    <w:rsid w:val="00D13CD0"/>
    <w:rsid w:val="00D148FE"/>
    <w:rsid w:val="00D157F1"/>
    <w:rsid w:val="00D20B8B"/>
    <w:rsid w:val="00D25708"/>
    <w:rsid w:val="00D30CD0"/>
    <w:rsid w:val="00D31D4F"/>
    <w:rsid w:val="00D331A9"/>
    <w:rsid w:val="00D347B4"/>
    <w:rsid w:val="00D413BA"/>
    <w:rsid w:val="00D47B48"/>
    <w:rsid w:val="00D511CA"/>
    <w:rsid w:val="00D6466C"/>
    <w:rsid w:val="00D716AF"/>
    <w:rsid w:val="00D73147"/>
    <w:rsid w:val="00D7405D"/>
    <w:rsid w:val="00D748A9"/>
    <w:rsid w:val="00D76C89"/>
    <w:rsid w:val="00D76D14"/>
    <w:rsid w:val="00D77CB3"/>
    <w:rsid w:val="00D802AD"/>
    <w:rsid w:val="00D83287"/>
    <w:rsid w:val="00D849BA"/>
    <w:rsid w:val="00D86E78"/>
    <w:rsid w:val="00D87F96"/>
    <w:rsid w:val="00D912C7"/>
    <w:rsid w:val="00D96570"/>
    <w:rsid w:val="00DA2FE4"/>
    <w:rsid w:val="00DA6F75"/>
    <w:rsid w:val="00DA78A1"/>
    <w:rsid w:val="00DB3CF6"/>
    <w:rsid w:val="00DB7232"/>
    <w:rsid w:val="00DC0360"/>
    <w:rsid w:val="00DC125C"/>
    <w:rsid w:val="00DC1E1A"/>
    <w:rsid w:val="00DC2FC7"/>
    <w:rsid w:val="00DC38F1"/>
    <w:rsid w:val="00DC547E"/>
    <w:rsid w:val="00DC6AEA"/>
    <w:rsid w:val="00DC6B87"/>
    <w:rsid w:val="00DD26AD"/>
    <w:rsid w:val="00DD2701"/>
    <w:rsid w:val="00DD34C6"/>
    <w:rsid w:val="00DD4E73"/>
    <w:rsid w:val="00DD5DA0"/>
    <w:rsid w:val="00DD78F6"/>
    <w:rsid w:val="00DE19D2"/>
    <w:rsid w:val="00DF39BE"/>
    <w:rsid w:val="00DF3B49"/>
    <w:rsid w:val="00E01A23"/>
    <w:rsid w:val="00E0210F"/>
    <w:rsid w:val="00E05BFF"/>
    <w:rsid w:val="00E12158"/>
    <w:rsid w:val="00E1379D"/>
    <w:rsid w:val="00E14034"/>
    <w:rsid w:val="00E2174C"/>
    <w:rsid w:val="00E21BA8"/>
    <w:rsid w:val="00E22EEF"/>
    <w:rsid w:val="00E2527C"/>
    <w:rsid w:val="00E2644D"/>
    <w:rsid w:val="00E26709"/>
    <w:rsid w:val="00E3173F"/>
    <w:rsid w:val="00E343FC"/>
    <w:rsid w:val="00E34B3B"/>
    <w:rsid w:val="00E34D3C"/>
    <w:rsid w:val="00E34D60"/>
    <w:rsid w:val="00E35088"/>
    <w:rsid w:val="00E37801"/>
    <w:rsid w:val="00E50AEE"/>
    <w:rsid w:val="00E53B6D"/>
    <w:rsid w:val="00E60392"/>
    <w:rsid w:val="00E70513"/>
    <w:rsid w:val="00E72263"/>
    <w:rsid w:val="00E75E80"/>
    <w:rsid w:val="00E76468"/>
    <w:rsid w:val="00E82C21"/>
    <w:rsid w:val="00E83F38"/>
    <w:rsid w:val="00E85CAE"/>
    <w:rsid w:val="00E917B2"/>
    <w:rsid w:val="00E91ABD"/>
    <w:rsid w:val="00E91D9F"/>
    <w:rsid w:val="00E93D2E"/>
    <w:rsid w:val="00E945A9"/>
    <w:rsid w:val="00E96288"/>
    <w:rsid w:val="00E97020"/>
    <w:rsid w:val="00EA33D6"/>
    <w:rsid w:val="00EA4B88"/>
    <w:rsid w:val="00EA4F68"/>
    <w:rsid w:val="00EA6467"/>
    <w:rsid w:val="00EB0FC3"/>
    <w:rsid w:val="00EB2AF4"/>
    <w:rsid w:val="00EC0F28"/>
    <w:rsid w:val="00EC67B0"/>
    <w:rsid w:val="00EC70B4"/>
    <w:rsid w:val="00EC73FC"/>
    <w:rsid w:val="00EC7E11"/>
    <w:rsid w:val="00ED1198"/>
    <w:rsid w:val="00ED15E9"/>
    <w:rsid w:val="00ED40E1"/>
    <w:rsid w:val="00ED4666"/>
    <w:rsid w:val="00ED6A49"/>
    <w:rsid w:val="00ED6E75"/>
    <w:rsid w:val="00ED71BE"/>
    <w:rsid w:val="00EE0052"/>
    <w:rsid w:val="00EE16EB"/>
    <w:rsid w:val="00EE28E2"/>
    <w:rsid w:val="00EE2E42"/>
    <w:rsid w:val="00EE61E6"/>
    <w:rsid w:val="00EE6EAE"/>
    <w:rsid w:val="00EE70DA"/>
    <w:rsid w:val="00EE71A6"/>
    <w:rsid w:val="00EF592B"/>
    <w:rsid w:val="00EF5983"/>
    <w:rsid w:val="00F01562"/>
    <w:rsid w:val="00F01756"/>
    <w:rsid w:val="00F037F7"/>
    <w:rsid w:val="00F064B2"/>
    <w:rsid w:val="00F12C03"/>
    <w:rsid w:val="00F14070"/>
    <w:rsid w:val="00F149B4"/>
    <w:rsid w:val="00F16407"/>
    <w:rsid w:val="00F16998"/>
    <w:rsid w:val="00F17D57"/>
    <w:rsid w:val="00F324E6"/>
    <w:rsid w:val="00F32FF9"/>
    <w:rsid w:val="00F3618F"/>
    <w:rsid w:val="00F376F0"/>
    <w:rsid w:val="00F407BF"/>
    <w:rsid w:val="00F43832"/>
    <w:rsid w:val="00F45B70"/>
    <w:rsid w:val="00F45EAF"/>
    <w:rsid w:val="00F4717A"/>
    <w:rsid w:val="00F52D3C"/>
    <w:rsid w:val="00F5341D"/>
    <w:rsid w:val="00F53862"/>
    <w:rsid w:val="00F54516"/>
    <w:rsid w:val="00F619AE"/>
    <w:rsid w:val="00F61F7A"/>
    <w:rsid w:val="00F636CD"/>
    <w:rsid w:val="00F6474A"/>
    <w:rsid w:val="00F6676A"/>
    <w:rsid w:val="00F70D4C"/>
    <w:rsid w:val="00F7391B"/>
    <w:rsid w:val="00F75C67"/>
    <w:rsid w:val="00F8207A"/>
    <w:rsid w:val="00F83801"/>
    <w:rsid w:val="00F840C1"/>
    <w:rsid w:val="00F85CDC"/>
    <w:rsid w:val="00F863B5"/>
    <w:rsid w:val="00F94508"/>
    <w:rsid w:val="00F97E4C"/>
    <w:rsid w:val="00FA1049"/>
    <w:rsid w:val="00FA1188"/>
    <w:rsid w:val="00FA535B"/>
    <w:rsid w:val="00FA7D66"/>
    <w:rsid w:val="00FB2D29"/>
    <w:rsid w:val="00FB378E"/>
    <w:rsid w:val="00FB7ACA"/>
    <w:rsid w:val="00FC0B04"/>
    <w:rsid w:val="00FC128E"/>
    <w:rsid w:val="00FC16E1"/>
    <w:rsid w:val="00FC20AA"/>
    <w:rsid w:val="00FC326C"/>
    <w:rsid w:val="00FC770D"/>
    <w:rsid w:val="00FD0EBD"/>
    <w:rsid w:val="00FD2880"/>
    <w:rsid w:val="00FD294A"/>
    <w:rsid w:val="00FD43A9"/>
    <w:rsid w:val="00FD7EC6"/>
    <w:rsid w:val="00FE1B63"/>
    <w:rsid w:val="00FF0A98"/>
    <w:rsid w:val="00FF3A31"/>
    <w:rsid w:val="00FF6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0071"/>
  <w15:chartTrackingRefBased/>
  <w15:docId w15:val="{37F104BE-1963-43FE-AEEA-1D3B3FBC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E7"/>
  </w:style>
  <w:style w:type="paragraph" w:styleId="2">
    <w:name w:val="heading 2"/>
    <w:basedOn w:val="a"/>
    <w:next w:val="a"/>
    <w:link w:val="20"/>
    <w:uiPriority w:val="9"/>
    <w:semiHidden/>
    <w:unhideWhenUsed/>
    <w:qFormat/>
    <w:rsid w:val="00664D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64D8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6A3F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A3FD0"/>
  </w:style>
  <w:style w:type="paragraph" w:customStyle="1" w:styleId="rvps2">
    <w:name w:val="rvps2"/>
    <w:basedOn w:val="a"/>
    <w:rsid w:val="006A3F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A3FD0"/>
  </w:style>
  <w:style w:type="paragraph" w:styleId="a4">
    <w:name w:val="Balloon Text"/>
    <w:basedOn w:val="a"/>
    <w:link w:val="a5"/>
    <w:uiPriority w:val="99"/>
    <w:semiHidden/>
    <w:unhideWhenUsed/>
    <w:rsid w:val="00D716A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716AF"/>
    <w:rPr>
      <w:rFonts w:ascii="Segoe UI" w:hAnsi="Segoe UI" w:cs="Segoe UI"/>
      <w:sz w:val="18"/>
      <w:szCs w:val="18"/>
    </w:rPr>
  </w:style>
  <w:style w:type="paragraph" w:styleId="a6">
    <w:name w:val="Normal (Web)"/>
    <w:basedOn w:val="a"/>
    <w:uiPriority w:val="99"/>
    <w:unhideWhenUsed/>
    <w:rsid w:val="00C82D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ASBTableTNR">
    <w:name w:val="IASB Table TNR"/>
    <w:basedOn w:val="a"/>
    <w:qFormat/>
    <w:rsid w:val="00446641"/>
    <w:pPr>
      <w:spacing w:before="120" w:after="0" w:line="240" w:lineRule="auto"/>
    </w:pPr>
    <w:rPr>
      <w:rFonts w:ascii="Times New Roman" w:eastAsia="Times New Roman" w:hAnsi="Times New Roman" w:cs="Times New Roman"/>
      <w:sz w:val="19"/>
      <w:szCs w:val="20"/>
      <w:lang w:val="en-GB" w:eastAsia="en-GB"/>
    </w:rPr>
  </w:style>
  <w:style w:type="paragraph" w:customStyle="1" w:styleId="IASBNormalL1">
    <w:name w:val="IASB Normal L1"/>
    <w:basedOn w:val="a"/>
    <w:rsid w:val="00446641"/>
    <w:pPr>
      <w:spacing w:before="100" w:after="0" w:line="240" w:lineRule="auto"/>
      <w:ind w:left="782" w:hanging="782"/>
      <w:jc w:val="both"/>
    </w:pPr>
    <w:rPr>
      <w:rFonts w:ascii="Times New Roman" w:eastAsia="Times New Roman" w:hAnsi="Times New Roman" w:cs="Times New Roman"/>
      <w:sz w:val="19"/>
      <w:szCs w:val="20"/>
      <w:lang w:val="en-US"/>
    </w:rPr>
  </w:style>
  <w:style w:type="paragraph" w:customStyle="1" w:styleId="IASBNormalL2">
    <w:name w:val="IASB Normal L2"/>
    <w:basedOn w:val="IASBNormalL1"/>
    <w:rsid w:val="00446641"/>
    <w:pPr>
      <w:ind w:left="1564"/>
    </w:pPr>
  </w:style>
  <w:style w:type="paragraph" w:styleId="a7">
    <w:name w:val="List Paragraph"/>
    <w:basedOn w:val="a"/>
    <w:uiPriority w:val="99"/>
    <w:qFormat/>
    <w:rsid w:val="00446641"/>
    <w:pPr>
      <w:ind w:left="720"/>
      <w:contextualSpacing/>
    </w:pPr>
  </w:style>
  <w:style w:type="paragraph" w:styleId="a8">
    <w:name w:val="header"/>
    <w:basedOn w:val="a"/>
    <w:link w:val="a9"/>
    <w:uiPriority w:val="99"/>
    <w:unhideWhenUsed/>
    <w:rsid w:val="00EC0F2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C0F28"/>
  </w:style>
  <w:style w:type="paragraph" w:styleId="aa">
    <w:name w:val="footer"/>
    <w:basedOn w:val="a"/>
    <w:link w:val="ab"/>
    <w:uiPriority w:val="99"/>
    <w:unhideWhenUsed/>
    <w:rsid w:val="00EC0F2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C0F28"/>
  </w:style>
  <w:style w:type="character" w:customStyle="1" w:styleId="20">
    <w:name w:val="Заголовок 2 Знак"/>
    <w:basedOn w:val="a0"/>
    <w:link w:val="2"/>
    <w:uiPriority w:val="9"/>
    <w:semiHidden/>
    <w:rsid w:val="00664D8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64D86"/>
    <w:rPr>
      <w:rFonts w:ascii="Times New Roman" w:eastAsia="Times New Roman" w:hAnsi="Times New Roman" w:cs="Times New Roman"/>
      <w:b/>
      <w:bCs/>
      <w:sz w:val="27"/>
      <w:szCs w:val="27"/>
      <w:lang w:eastAsia="uk-UA"/>
    </w:rPr>
  </w:style>
  <w:style w:type="paragraph" w:styleId="ac">
    <w:name w:val="Body Text"/>
    <w:basedOn w:val="a"/>
    <w:link w:val="ad"/>
    <w:uiPriority w:val="1"/>
    <w:qFormat/>
    <w:rsid w:val="007D66E2"/>
    <w:pPr>
      <w:widowControl w:val="0"/>
      <w:spacing w:before="117" w:after="0" w:line="240" w:lineRule="auto"/>
      <w:ind w:left="528"/>
    </w:pPr>
    <w:rPr>
      <w:rFonts w:ascii="Times New Roman" w:eastAsia="Times New Roman" w:hAnsi="Times New Roman"/>
      <w:sz w:val="23"/>
      <w:szCs w:val="23"/>
      <w:lang w:val="en-US"/>
    </w:rPr>
  </w:style>
  <w:style w:type="character" w:customStyle="1" w:styleId="ad">
    <w:name w:val="Основний текст Знак"/>
    <w:basedOn w:val="a0"/>
    <w:link w:val="ac"/>
    <w:uiPriority w:val="99"/>
    <w:rsid w:val="007D66E2"/>
    <w:rPr>
      <w:rFonts w:ascii="Times New Roman" w:eastAsia="Times New Roman" w:hAnsi="Times New Roman"/>
      <w:sz w:val="23"/>
      <w:szCs w:val="23"/>
      <w:lang w:val="en-US"/>
    </w:rPr>
  </w:style>
  <w:style w:type="paragraph" w:customStyle="1" w:styleId="41">
    <w:name w:val="Заголовок 41"/>
    <w:basedOn w:val="a"/>
    <w:uiPriority w:val="1"/>
    <w:qFormat/>
    <w:rsid w:val="004C1D14"/>
    <w:pPr>
      <w:widowControl w:val="0"/>
      <w:spacing w:before="120" w:after="0" w:line="240" w:lineRule="auto"/>
      <w:ind w:left="528"/>
      <w:outlineLvl w:val="4"/>
    </w:pPr>
    <w:rPr>
      <w:rFonts w:ascii="Times New Roman" w:eastAsia="Times New Roman" w:hAnsi="Times New Roman"/>
      <w:b/>
      <w:bCs/>
      <w:i/>
      <w:sz w:val="23"/>
      <w:szCs w:val="23"/>
      <w:lang w:val="en-US"/>
    </w:rPr>
  </w:style>
  <w:style w:type="paragraph" w:styleId="HTML">
    <w:name w:val="HTML Preformatted"/>
    <w:basedOn w:val="a"/>
    <w:link w:val="HTML0"/>
    <w:uiPriority w:val="99"/>
    <w:unhideWhenUsed/>
    <w:rsid w:val="0082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8248B1"/>
    <w:rPr>
      <w:rFonts w:ascii="Courier New" w:eastAsia="Times New Roman" w:hAnsi="Courier New" w:cs="Courier New"/>
      <w:sz w:val="20"/>
      <w:szCs w:val="20"/>
      <w:lang w:eastAsia="uk-UA"/>
    </w:rPr>
  </w:style>
  <w:style w:type="paragraph" w:customStyle="1" w:styleId="IfacFootnotes">
    <w:name w:val="Ifac Footnotes"/>
    <w:basedOn w:val="a"/>
    <w:uiPriority w:val="99"/>
    <w:rsid w:val="0076784E"/>
    <w:pPr>
      <w:widowControl w:val="0"/>
      <w:tabs>
        <w:tab w:val="left" w:pos="360"/>
      </w:tabs>
      <w:autoSpaceDE w:val="0"/>
      <w:autoSpaceDN w:val="0"/>
      <w:adjustRightInd w:val="0"/>
      <w:spacing w:after="60" w:line="200" w:lineRule="atLeast"/>
      <w:ind w:left="360" w:hanging="360"/>
      <w:jc w:val="both"/>
      <w:textAlignment w:val="center"/>
    </w:pPr>
    <w:rPr>
      <w:rFonts w:ascii="TimesNewRomanPSMT" w:eastAsia="Times New Roman" w:hAnsi="TimesNewRomanPSMT" w:cs="TimesNewRomanPSMT"/>
      <w:color w:val="000000"/>
      <w:sz w:val="16"/>
      <w:szCs w:val="16"/>
      <w:lang w:val="en-US" w:eastAsia="en-IN"/>
    </w:rPr>
  </w:style>
  <w:style w:type="character" w:customStyle="1" w:styleId="Superscript">
    <w:name w:val="Superscript"/>
    <w:uiPriority w:val="99"/>
    <w:rsid w:val="0076784E"/>
    <w:rPr>
      <w:vertAlign w:val="superscript"/>
    </w:rPr>
  </w:style>
  <w:style w:type="character" w:styleId="ae">
    <w:name w:val="FollowedHyperlink"/>
    <w:basedOn w:val="a0"/>
    <w:uiPriority w:val="99"/>
    <w:semiHidden/>
    <w:unhideWhenUsed/>
    <w:rsid w:val="003F30D2"/>
    <w:rPr>
      <w:color w:val="954F72" w:themeColor="followedHyperlink"/>
      <w:u w:val="single"/>
    </w:rPr>
  </w:style>
  <w:style w:type="character" w:customStyle="1" w:styleId="rvts46">
    <w:name w:val="rvts46"/>
    <w:basedOn w:val="a0"/>
    <w:rsid w:val="00B806E1"/>
  </w:style>
  <w:style w:type="character" w:styleId="af">
    <w:name w:val="Hyperlink"/>
    <w:basedOn w:val="a0"/>
    <w:uiPriority w:val="99"/>
    <w:semiHidden/>
    <w:unhideWhenUsed/>
    <w:rsid w:val="00B806E1"/>
    <w:rPr>
      <w:color w:val="0000FF"/>
      <w:u w:val="single"/>
    </w:rPr>
  </w:style>
  <w:style w:type="paragraph" w:customStyle="1" w:styleId="List1">
    <w:name w:val="List 1"/>
    <w:basedOn w:val="a"/>
    <w:next w:val="ac"/>
    <w:uiPriority w:val="99"/>
    <w:rsid w:val="00BF32D6"/>
    <w:pPr>
      <w:widowControl w:val="0"/>
      <w:tabs>
        <w:tab w:val="left" w:pos="734"/>
      </w:tabs>
      <w:suppressAutoHyphens/>
      <w:autoSpaceDE w:val="0"/>
      <w:autoSpaceDN w:val="0"/>
      <w:adjustRightInd w:val="0"/>
      <w:spacing w:before="120" w:after="0" w:line="240" w:lineRule="atLeast"/>
      <w:ind w:left="720" w:hanging="720"/>
      <w:jc w:val="both"/>
      <w:textAlignment w:val="center"/>
    </w:pPr>
    <w:rPr>
      <w:rFonts w:ascii="TimesNewRomanPSMT" w:eastAsia="Times New Roman" w:hAnsi="TimesNewRomanPSMT" w:cs="TimesNewRomanPSMT"/>
      <w:color w:val="000000"/>
      <w:sz w:val="20"/>
      <w:szCs w:val="20"/>
      <w:lang w:val="en-US" w:eastAsia="en-IN"/>
    </w:rPr>
  </w:style>
  <w:style w:type="character" w:styleId="af0">
    <w:name w:val="annotation reference"/>
    <w:uiPriority w:val="99"/>
    <w:semiHidden/>
    <w:unhideWhenUsed/>
    <w:rsid w:val="00BF32D6"/>
    <w:rPr>
      <w:sz w:val="16"/>
      <w:szCs w:val="16"/>
    </w:rPr>
  </w:style>
  <w:style w:type="paragraph" w:styleId="af1">
    <w:name w:val="annotation text"/>
    <w:basedOn w:val="a"/>
    <w:link w:val="af2"/>
    <w:uiPriority w:val="99"/>
    <w:semiHidden/>
    <w:unhideWhenUsed/>
    <w:rsid w:val="00BF32D6"/>
    <w:pPr>
      <w:widowControl w:val="0"/>
      <w:spacing w:after="0" w:line="240" w:lineRule="auto"/>
    </w:pPr>
    <w:rPr>
      <w:rFonts w:ascii="Calibri" w:eastAsia="Calibri" w:hAnsi="Calibri" w:cs="Times New Roman"/>
      <w:sz w:val="20"/>
      <w:szCs w:val="20"/>
      <w:lang w:val="en-US"/>
    </w:rPr>
  </w:style>
  <w:style w:type="character" w:customStyle="1" w:styleId="af2">
    <w:name w:val="Текст примітки Знак"/>
    <w:basedOn w:val="a0"/>
    <w:link w:val="af1"/>
    <w:uiPriority w:val="99"/>
    <w:semiHidden/>
    <w:rsid w:val="00BF32D6"/>
    <w:rPr>
      <w:rFonts w:ascii="Calibri" w:eastAsia="Calibri" w:hAnsi="Calibri" w:cs="Times New Roman"/>
      <w:sz w:val="20"/>
      <w:szCs w:val="20"/>
      <w:lang w:val="en-US"/>
    </w:rPr>
  </w:style>
  <w:style w:type="paragraph" w:styleId="21">
    <w:name w:val="List 2"/>
    <w:basedOn w:val="a"/>
    <w:next w:val="ac"/>
    <w:uiPriority w:val="99"/>
    <w:rsid w:val="008A3AFC"/>
    <w:pPr>
      <w:widowControl w:val="0"/>
      <w:tabs>
        <w:tab w:val="left" w:pos="1240"/>
      </w:tabs>
      <w:suppressAutoHyphens/>
      <w:autoSpaceDE w:val="0"/>
      <w:autoSpaceDN w:val="0"/>
      <w:adjustRightInd w:val="0"/>
      <w:spacing w:before="120" w:after="0" w:line="240" w:lineRule="atLeast"/>
      <w:ind w:left="1240" w:hanging="500"/>
      <w:jc w:val="both"/>
      <w:textAlignment w:val="center"/>
    </w:pPr>
    <w:rPr>
      <w:rFonts w:ascii="TimesNewRomanPSMT" w:eastAsia="Times New Roman" w:hAnsi="TimesNewRomanPSMT" w:cs="TimesNewRomanPSMT"/>
      <w:color w:val="000000"/>
      <w:sz w:val="20"/>
      <w:szCs w:val="20"/>
      <w:lang w:val="en-US" w:eastAsia="en-IN"/>
    </w:rPr>
  </w:style>
  <w:style w:type="paragraph" w:customStyle="1" w:styleId="31">
    <w:name w:val="Заголовок 31"/>
    <w:basedOn w:val="a"/>
    <w:uiPriority w:val="1"/>
    <w:qFormat/>
    <w:rsid w:val="00DA6F75"/>
    <w:pPr>
      <w:widowControl w:val="0"/>
      <w:spacing w:before="119" w:after="0" w:line="240" w:lineRule="auto"/>
      <w:ind w:left="114"/>
      <w:outlineLvl w:val="3"/>
    </w:pPr>
    <w:rPr>
      <w:rFonts w:ascii="Times New Roman" w:eastAsia="Times New Roman" w:hAnsi="Times New Roman"/>
      <w:b/>
      <w:bCs/>
      <w:sz w:val="23"/>
      <w:szCs w:val="23"/>
      <w:lang w:val="en-US"/>
    </w:rPr>
  </w:style>
  <w:style w:type="character" w:customStyle="1" w:styleId="csbl">
    <w:name w:val="cs_bl"/>
    <w:uiPriority w:val="99"/>
    <w:rsid w:val="00DA6F75"/>
    <w:rPr>
      <w:b/>
    </w:rPr>
  </w:style>
  <w:style w:type="paragraph" w:styleId="af3">
    <w:name w:val="annotation subject"/>
    <w:basedOn w:val="af1"/>
    <w:next w:val="af1"/>
    <w:link w:val="af4"/>
    <w:uiPriority w:val="99"/>
    <w:semiHidden/>
    <w:unhideWhenUsed/>
    <w:rsid w:val="00A00C53"/>
    <w:pPr>
      <w:widowControl/>
      <w:spacing w:after="160"/>
    </w:pPr>
    <w:rPr>
      <w:rFonts w:asciiTheme="minorHAnsi" w:eastAsiaTheme="minorHAnsi" w:hAnsiTheme="minorHAnsi" w:cstheme="minorBidi"/>
      <w:b/>
      <w:bCs/>
      <w:lang w:val="uk-UA"/>
    </w:rPr>
  </w:style>
  <w:style w:type="character" w:customStyle="1" w:styleId="af4">
    <w:name w:val="Тема примітки Знак"/>
    <w:basedOn w:val="af2"/>
    <w:link w:val="af3"/>
    <w:uiPriority w:val="99"/>
    <w:semiHidden/>
    <w:rsid w:val="00A00C53"/>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341">
      <w:bodyDiv w:val="1"/>
      <w:marLeft w:val="0"/>
      <w:marRight w:val="0"/>
      <w:marTop w:val="0"/>
      <w:marBottom w:val="0"/>
      <w:divBdr>
        <w:top w:val="none" w:sz="0" w:space="0" w:color="auto"/>
        <w:left w:val="none" w:sz="0" w:space="0" w:color="auto"/>
        <w:bottom w:val="none" w:sz="0" w:space="0" w:color="auto"/>
        <w:right w:val="none" w:sz="0" w:space="0" w:color="auto"/>
      </w:divBdr>
    </w:div>
    <w:div w:id="48112350">
      <w:bodyDiv w:val="1"/>
      <w:marLeft w:val="0"/>
      <w:marRight w:val="0"/>
      <w:marTop w:val="0"/>
      <w:marBottom w:val="0"/>
      <w:divBdr>
        <w:top w:val="none" w:sz="0" w:space="0" w:color="auto"/>
        <w:left w:val="none" w:sz="0" w:space="0" w:color="auto"/>
        <w:bottom w:val="none" w:sz="0" w:space="0" w:color="auto"/>
        <w:right w:val="none" w:sz="0" w:space="0" w:color="auto"/>
      </w:divBdr>
      <w:divsChild>
        <w:div w:id="1756126514">
          <w:marLeft w:val="0"/>
          <w:marRight w:val="0"/>
          <w:marTop w:val="0"/>
          <w:marBottom w:val="0"/>
          <w:divBdr>
            <w:top w:val="none" w:sz="0" w:space="0" w:color="auto"/>
            <w:left w:val="none" w:sz="0" w:space="0" w:color="auto"/>
            <w:bottom w:val="none" w:sz="0" w:space="0" w:color="auto"/>
            <w:right w:val="none" w:sz="0" w:space="0" w:color="auto"/>
          </w:divBdr>
        </w:div>
        <w:div w:id="2106417779">
          <w:marLeft w:val="0"/>
          <w:marRight w:val="0"/>
          <w:marTop w:val="0"/>
          <w:marBottom w:val="0"/>
          <w:divBdr>
            <w:top w:val="none" w:sz="0" w:space="0" w:color="auto"/>
            <w:left w:val="none" w:sz="0" w:space="0" w:color="auto"/>
            <w:bottom w:val="none" w:sz="0" w:space="0" w:color="auto"/>
            <w:right w:val="none" w:sz="0" w:space="0" w:color="auto"/>
          </w:divBdr>
        </w:div>
      </w:divsChild>
    </w:div>
    <w:div w:id="53628763">
      <w:bodyDiv w:val="1"/>
      <w:marLeft w:val="0"/>
      <w:marRight w:val="0"/>
      <w:marTop w:val="0"/>
      <w:marBottom w:val="0"/>
      <w:divBdr>
        <w:top w:val="none" w:sz="0" w:space="0" w:color="auto"/>
        <w:left w:val="none" w:sz="0" w:space="0" w:color="auto"/>
        <w:bottom w:val="none" w:sz="0" w:space="0" w:color="auto"/>
        <w:right w:val="none" w:sz="0" w:space="0" w:color="auto"/>
      </w:divBdr>
    </w:div>
    <w:div w:id="104464544">
      <w:bodyDiv w:val="1"/>
      <w:marLeft w:val="0"/>
      <w:marRight w:val="0"/>
      <w:marTop w:val="0"/>
      <w:marBottom w:val="0"/>
      <w:divBdr>
        <w:top w:val="none" w:sz="0" w:space="0" w:color="auto"/>
        <w:left w:val="none" w:sz="0" w:space="0" w:color="auto"/>
        <w:bottom w:val="none" w:sz="0" w:space="0" w:color="auto"/>
        <w:right w:val="none" w:sz="0" w:space="0" w:color="auto"/>
      </w:divBdr>
    </w:div>
    <w:div w:id="192572277">
      <w:bodyDiv w:val="1"/>
      <w:marLeft w:val="0"/>
      <w:marRight w:val="0"/>
      <w:marTop w:val="0"/>
      <w:marBottom w:val="0"/>
      <w:divBdr>
        <w:top w:val="none" w:sz="0" w:space="0" w:color="auto"/>
        <w:left w:val="none" w:sz="0" w:space="0" w:color="auto"/>
        <w:bottom w:val="none" w:sz="0" w:space="0" w:color="auto"/>
        <w:right w:val="none" w:sz="0" w:space="0" w:color="auto"/>
      </w:divBdr>
      <w:divsChild>
        <w:div w:id="504252251">
          <w:marLeft w:val="0"/>
          <w:marRight w:val="0"/>
          <w:marTop w:val="0"/>
          <w:marBottom w:val="0"/>
          <w:divBdr>
            <w:top w:val="none" w:sz="0" w:space="0" w:color="auto"/>
            <w:left w:val="none" w:sz="0" w:space="0" w:color="auto"/>
            <w:bottom w:val="none" w:sz="0" w:space="0" w:color="auto"/>
            <w:right w:val="none" w:sz="0" w:space="0" w:color="auto"/>
          </w:divBdr>
        </w:div>
        <w:div w:id="2050034024">
          <w:marLeft w:val="0"/>
          <w:marRight w:val="0"/>
          <w:marTop w:val="0"/>
          <w:marBottom w:val="0"/>
          <w:divBdr>
            <w:top w:val="none" w:sz="0" w:space="0" w:color="auto"/>
            <w:left w:val="none" w:sz="0" w:space="0" w:color="auto"/>
            <w:bottom w:val="none" w:sz="0" w:space="0" w:color="auto"/>
            <w:right w:val="none" w:sz="0" w:space="0" w:color="auto"/>
          </w:divBdr>
        </w:div>
        <w:div w:id="1883320276">
          <w:marLeft w:val="0"/>
          <w:marRight w:val="0"/>
          <w:marTop w:val="0"/>
          <w:marBottom w:val="0"/>
          <w:divBdr>
            <w:top w:val="none" w:sz="0" w:space="0" w:color="auto"/>
            <w:left w:val="none" w:sz="0" w:space="0" w:color="auto"/>
            <w:bottom w:val="none" w:sz="0" w:space="0" w:color="auto"/>
            <w:right w:val="none" w:sz="0" w:space="0" w:color="auto"/>
          </w:divBdr>
        </w:div>
        <w:div w:id="1976837514">
          <w:marLeft w:val="0"/>
          <w:marRight w:val="0"/>
          <w:marTop w:val="0"/>
          <w:marBottom w:val="0"/>
          <w:divBdr>
            <w:top w:val="none" w:sz="0" w:space="0" w:color="auto"/>
            <w:left w:val="none" w:sz="0" w:space="0" w:color="auto"/>
            <w:bottom w:val="none" w:sz="0" w:space="0" w:color="auto"/>
            <w:right w:val="none" w:sz="0" w:space="0" w:color="auto"/>
          </w:divBdr>
        </w:div>
        <w:div w:id="1139299875">
          <w:marLeft w:val="0"/>
          <w:marRight w:val="0"/>
          <w:marTop w:val="0"/>
          <w:marBottom w:val="0"/>
          <w:divBdr>
            <w:top w:val="none" w:sz="0" w:space="0" w:color="auto"/>
            <w:left w:val="none" w:sz="0" w:space="0" w:color="auto"/>
            <w:bottom w:val="none" w:sz="0" w:space="0" w:color="auto"/>
            <w:right w:val="none" w:sz="0" w:space="0" w:color="auto"/>
          </w:divBdr>
        </w:div>
      </w:divsChild>
    </w:div>
    <w:div w:id="203834422">
      <w:bodyDiv w:val="1"/>
      <w:marLeft w:val="0"/>
      <w:marRight w:val="0"/>
      <w:marTop w:val="0"/>
      <w:marBottom w:val="0"/>
      <w:divBdr>
        <w:top w:val="none" w:sz="0" w:space="0" w:color="auto"/>
        <w:left w:val="none" w:sz="0" w:space="0" w:color="auto"/>
        <w:bottom w:val="none" w:sz="0" w:space="0" w:color="auto"/>
        <w:right w:val="none" w:sz="0" w:space="0" w:color="auto"/>
      </w:divBdr>
      <w:divsChild>
        <w:div w:id="1797212122">
          <w:marLeft w:val="0"/>
          <w:marRight w:val="0"/>
          <w:marTop w:val="0"/>
          <w:marBottom w:val="0"/>
          <w:divBdr>
            <w:top w:val="none" w:sz="0" w:space="0" w:color="auto"/>
            <w:left w:val="none" w:sz="0" w:space="0" w:color="auto"/>
            <w:bottom w:val="none" w:sz="0" w:space="0" w:color="auto"/>
            <w:right w:val="none" w:sz="0" w:space="0" w:color="auto"/>
          </w:divBdr>
        </w:div>
      </w:divsChild>
    </w:div>
    <w:div w:id="207381036">
      <w:bodyDiv w:val="1"/>
      <w:marLeft w:val="0"/>
      <w:marRight w:val="0"/>
      <w:marTop w:val="0"/>
      <w:marBottom w:val="0"/>
      <w:divBdr>
        <w:top w:val="none" w:sz="0" w:space="0" w:color="auto"/>
        <w:left w:val="none" w:sz="0" w:space="0" w:color="auto"/>
        <w:bottom w:val="none" w:sz="0" w:space="0" w:color="auto"/>
        <w:right w:val="none" w:sz="0" w:space="0" w:color="auto"/>
      </w:divBdr>
      <w:divsChild>
        <w:div w:id="1882589398">
          <w:marLeft w:val="0"/>
          <w:marRight w:val="0"/>
          <w:marTop w:val="0"/>
          <w:marBottom w:val="0"/>
          <w:divBdr>
            <w:top w:val="none" w:sz="0" w:space="0" w:color="auto"/>
            <w:left w:val="none" w:sz="0" w:space="0" w:color="auto"/>
            <w:bottom w:val="none" w:sz="0" w:space="0" w:color="auto"/>
            <w:right w:val="none" w:sz="0" w:space="0" w:color="auto"/>
          </w:divBdr>
        </w:div>
        <w:div w:id="374548884">
          <w:marLeft w:val="0"/>
          <w:marRight w:val="0"/>
          <w:marTop w:val="0"/>
          <w:marBottom w:val="0"/>
          <w:divBdr>
            <w:top w:val="none" w:sz="0" w:space="0" w:color="auto"/>
            <w:left w:val="none" w:sz="0" w:space="0" w:color="auto"/>
            <w:bottom w:val="none" w:sz="0" w:space="0" w:color="auto"/>
            <w:right w:val="none" w:sz="0" w:space="0" w:color="auto"/>
          </w:divBdr>
        </w:div>
        <w:div w:id="811212234">
          <w:marLeft w:val="0"/>
          <w:marRight w:val="0"/>
          <w:marTop w:val="0"/>
          <w:marBottom w:val="0"/>
          <w:divBdr>
            <w:top w:val="none" w:sz="0" w:space="0" w:color="auto"/>
            <w:left w:val="none" w:sz="0" w:space="0" w:color="auto"/>
            <w:bottom w:val="none" w:sz="0" w:space="0" w:color="auto"/>
            <w:right w:val="none" w:sz="0" w:space="0" w:color="auto"/>
          </w:divBdr>
        </w:div>
        <w:div w:id="1575894291">
          <w:marLeft w:val="0"/>
          <w:marRight w:val="0"/>
          <w:marTop w:val="0"/>
          <w:marBottom w:val="0"/>
          <w:divBdr>
            <w:top w:val="none" w:sz="0" w:space="0" w:color="auto"/>
            <w:left w:val="none" w:sz="0" w:space="0" w:color="auto"/>
            <w:bottom w:val="none" w:sz="0" w:space="0" w:color="auto"/>
            <w:right w:val="none" w:sz="0" w:space="0" w:color="auto"/>
          </w:divBdr>
        </w:div>
        <w:div w:id="211767033">
          <w:marLeft w:val="0"/>
          <w:marRight w:val="0"/>
          <w:marTop w:val="0"/>
          <w:marBottom w:val="0"/>
          <w:divBdr>
            <w:top w:val="none" w:sz="0" w:space="0" w:color="auto"/>
            <w:left w:val="none" w:sz="0" w:space="0" w:color="auto"/>
            <w:bottom w:val="none" w:sz="0" w:space="0" w:color="auto"/>
            <w:right w:val="none" w:sz="0" w:space="0" w:color="auto"/>
          </w:divBdr>
        </w:div>
        <w:div w:id="1460757037">
          <w:marLeft w:val="0"/>
          <w:marRight w:val="0"/>
          <w:marTop w:val="0"/>
          <w:marBottom w:val="0"/>
          <w:divBdr>
            <w:top w:val="none" w:sz="0" w:space="0" w:color="auto"/>
            <w:left w:val="none" w:sz="0" w:space="0" w:color="auto"/>
            <w:bottom w:val="none" w:sz="0" w:space="0" w:color="auto"/>
            <w:right w:val="none" w:sz="0" w:space="0" w:color="auto"/>
          </w:divBdr>
        </w:div>
        <w:div w:id="1876380629">
          <w:marLeft w:val="0"/>
          <w:marRight w:val="0"/>
          <w:marTop w:val="0"/>
          <w:marBottom w:val="0"/>
          <w:divBdr>
            <w:top w:val="none" w:sz="0" w:space="0" w:color="auto"/>
            <w:left w:val="none" w:sz="0" w:space="0" w:color="auto"/>
            <w:bottom w:val="none" w:sz="0" w:space="0" w:color="auto"/>
            <w:right w:val="none" w:sz="0" w:space="0" w:color="auto"/>
          </w:divBdr>
        </w:div>
        <w:div w:id="1518425177">
          <w:marLeft w:val="0"/>
          <w:marRight w:val="0"/>
          <w:marTop w:val="0"/>
          <w:marBottom w:val="0"/>
          <w:divBdr>
            <w:top w:val="none" w:sz="0" w:space="0" w:color="auto"/>
            <w:left w:val="none" w:sz="0" w:space="0" w:color="auto"/>
            <w:bottom w:val="none" w:sz="0" w:space="0" w:color="auto"/>
            <w:right w:val="none" w:sz="0" w:space="0" w:color="auto"/>
          </w:divBdr>
        </w:div>
      </w:divsChild>
    </w:div>
    <w:div w:id="208153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3989">
          <w:marLeft w:val="0"/>
          <w:marRight w:val="0"/>
          <w:marTop w:val="0"/>
          <w:marBottom w:val="0"/>
          <w:divBdr>
            <w:top w:val="none" w:sz="0" w:space="0" w:color="auto"/>
            <w:left w:val="none" w:sz="0" w:space="0" w:color="auto"/>
            <w:bottom w:val="none" w:sz="0" w:space="0" w:color="auto"/>
            <w:right w:val="none" w:sz="0" w:space="0" w:color="auto"/>
          </w:divBdr>
        </w:div>
        <w:div w:id="1754160853">
          <w:marLeft w:val="0"/>
          <w:marRight w:val="0"/>
          <w:marTop w:val="0"/>
          <w:marBottom w:val="0"/>
          <w:divBdr>
            <w:top w:val="none" w:sz="0" w:space="0" w:color="auto"/>
            <w:left w:val="none" w:sz="0" w:space="0" w:color="auto"/>
            <w:bottom w:val="none" w:sz="0" w:space="0" w:color="auto"/>
            <w:right w:val="none" w:sz="0" w:space="0" w:color="auto"/>
          </w:divBdr>
        </w:div>
        <w:div w:id="595945286">
          <w:marLeft w:val="0"/>
          <w:marRight w:val="0"/>
          <w:marTop w:val="0"/>
          <w:marBottom w:val="0"/>
          <w:divBdr>
            <w:top w:val="none" w:sz="0" w:space="0" w:color="auto"/>
            <w:left w:val="none" w:sz="0" w:space="0" w:color="auto"/>
            <w:bottom w:val="none" w:sz="0" w:space="0" w:color="auto"/>
            <w:right w:val="none" w:sz="0" w:space="0" w:color="auto"/>
          </w:divBdr>
        </w:div>
      </w:divsChild>
    </w:div>
    <w:div w:id="248126996">
      <w:bodyDiv w:val="1"/>
      <w:marLeft w:val="0"/>
      <w:marRight w:val="0"/>
      <w:marTop w:val="0"/>
      <w:marBottom w:val="0"/>
      <w:divBdr>
        <w:top w:val="none" w:sz="0" w:space="0" w:color="auto"/>
        <w:left w:val="none" w:sz="0" w:space="0" w:color="auto"/>
        <w:bottom w:val="none" w:sz="0" w:space="0" w:color="auto"/>
        <w:right w:val="none" w:sz="0" w:space="0" w:color="auto"/>
      </w:divBdr>
    </w:div>
    <w:div w:id="280497855">
      <w:bodyDiv w:val="1"/>
      <w:marLeft w:val="0"/>
      <w:marRight w:val="0"/>
      <w:marTop w:val="0"/>
      <w:marBottom w:val="0"/>
      <w:divBdr>
        <w:top w:val="none" w:sz="0" w:space="0" w:color="auto"/>
        <w:left w:val="none" w:sz="0" w:space="0" w:color="auto"/>
        <w:bottom w:val="none" w:sz="0" w:space="0" w:color="auto"/>
        <w:right w:val="none" w:sz="0" w:space="0" w:color="auto"/>
      </w:divBdr>
    </w:div>
    <w:div w:id="369451805">
      <w:bodyDiv w:val="1"/>
      <w:marLeft w:val="0"/>
      <w:marRight w:val="0"/>
      <w:marTop w:val="0"/>
      <w:marBottom w:val="0"/>
      <w:divBdr>
        <w:top w:val="none" w:sz="0" w:space="0" w:color="auto"/>
        <w:left w:val="none" w:sz="0" w:space="0" w:color="auto"/>
        <w:bottom w:val="none" w:sz="0" w:space="0" w:color="auto"/>
        <w:right w:val="none" w:sz="0" w:space="0" w:color="auto"/>
      </w:divBdr>
    </w:div>
    <w:div w:id="378895199">
      <w:bodyDiv w:val="1"/>
      <w:marLeft w:val="0"/>
      <w:marRight w:val="0"/>
      <w:marTop w:val="0"/>
      <w:marBottom w:val="0"/>
      <w:divBdr>
        <w:top w:val="none" w:sz="0" w:space="0" w:color="auto"/>
        <w:left w:val="none" w:sz="0" w:space="0" w:color="auto"/>
        <w:bottom w:val="none" w:sz="0" w:space="0" w:color="auto"/>
        <w:right w:val="none" w:sz="0" w:space="0" w:color="auto"/>
      </w:divBdr>
    </w:div>
    <w:div w:id="512963018">
      <w:bodyDiv w:val="1"/>
      <w:marLeft w:val="0"/>
      <w:marRight w:val="0"/>
      <w:marTop w:val="0"/>
      <w:marBottom w:val="0"/>
      <w:divBdr>
        <w:top w:val="none" w:sz="0" w:space="0" w:color="auto"/>
        <w:left w:val="none" w:sz="0" w:space="0" w:color="auto"/>
        <w:bottom w:val="none" w:sz="0" w:space="0" w:color="auto"/>
        <w:right w:val="none" w:sz="0" w:space="0" w:color="auto"/>
      </w:divBdr>
    </w:div>
    <w:div w:id="515004405">
      <w:bodyDiv w:val="1"/>
      <w:marLeft w:val="0"/>
      <w:marRight w:val="0"/>
      <w:marTop w:val="0"/>
      <w:marBottom w:val="0"/>
      <w:divBdr>
        <w:top w:val="none" w:sz="0" w:space="0" w:color="auto"/>
        <w:left w:val="none" w:sz="0" w:space="0" w:color="auto"/>
        <w:bottom w:val="none" w:sz="0" w:space="0" w:color="auto"/>
        <w:right w:val="none" w:sz="0" w:space="0" w:color="auto"/>
      </w:divBdr>
    </w:div>
    <w:div w:id="848566331">
      <w:bodyDiv w:val="1"/>
      <w:marLeft w:val="0"/>
      <w:marRight w:val="0"/>
      <w:marTop w:val="0"/>
      <w:marBottom w:val="0"/>
      <w:divBdr>
        <w:top w:val="none" w:sz="0" w:space="0" w:color="auto"/>
        <w:left w:val="none" w:sz="0" w:space="0" w:color="auto"/>
        <w:bottom w:val="none" w:sz="0" w:space="0" w:color="auto"/>
        <w:right w:val="none" w:sz="0" w:space="0" w:color="auto"/>
      </w:divBdr>
    </w:div>
    <w:div w:id="945621164">
      <w:bodyDiv w:val="1"/>
      <w:marLeft w:val="0"/>
      <w:marRight w:val="0"/>
      <w:marTop w:val="0"/>
      <w:marBottom w:val="0"/>
      <w:divBdr>
        <w:top w:val="none" w:sz="0" w:space="0" w:color="auto"/>
        <w:left w:val="none" w:sz="0" w:space="0" w:color="auto"/>
        <w:bottom w:val="none" w:sz="0" w:space="0" w:color="auto"/>
        <w:right w:val="none" w:sz="0" w:space="0" w:color="auto"/>
      </w:divBdr>
      <w:divsChild>
        <w:div w:id="1778015881">
          <w:marLeft w:val="0"/>
          <w:marRight w:val="0"/>
          <w:marTop w:val="0"/>
          <w:marBottom w:val="0"/>
          <w:divBdr>
            <w:top w:val="none" w:sz="0" w:space="0" w:color="auto"/>
            <w:left w:val="none" w:sz="0" w:space="0" w:color="auto"/>
            <w:bottom w:val="none" w:sz="0" w:space="0" w:color="auto"/>
            <w:right w:val="none" w:sz="0" w:space="0" w:color="auto"/>
          </w:divBdr>
        </w:div>
        <w:div w:id="1092042912">
          <w:marLeft w:val="0"/>
          <w:marRight w:val="0"/>
          <w:marTop w:val="0"/>
          <w:marBottom w:val="0"/>
          <w:divBdr>
            <w:top w:val="none" w:sz="0" w:space="0" w:color="auto"/>
            <w:left w:val="none" w:sz="0" w:space="0" w:color="auto"/>
            <w:bottom w:val="none" w:sz="0" w:space="0" w:color="auto"/>
            <w:right w:val="none" w:sz="0" w:space="0" w:color="auto"/>
          </w:divBdr>
        </w:div>
        <w:div w:id="1337541026">
          <w:marLeft w:val="0"/>
          <w:marRight w:val="0"/>
          <w:marTop w:val="0"/>
          <w:marBottom w:val="0"/>
          <w:divBdr>
            <w:top w:val="none" w:sz="0" w:space="0" w:color="auto"/>
            <w:left w:val="none" w:sz="0" w:space="0" w:color="auto"/>
            <w:bottom w:val="none" w:sz="0" w:space="0" w:color="auto"/>
            <w:right w:val="none" w:sz="0" w:space="0" w:color="auto"/>
          </w:divBdr>
        </w:div>
        <w:div w:id="1952667065">
          <w:marLeft w:val="0"/>
          <w:marRight w:val="0"/>
          <w:marTop w:val="0"/>
          <w:marBottom w:val="0"/>
          <w:divBdr>
            <w:top w:val="none" w:sz="0" w:space="0" w:color="auto"/>
            <w:left w:val="none" w:sz="0" w:space="0" w:color="auto"/>
            <w:bottom w:val="none" w:sz="0" w:space="0" w:color="auto"/>
            <w:right w:val="none" w:sz="0" w:space="0" w:color="auto"/>
          </w:divBdr>
        </w:div>
      </w:divsChild>
    </w:div>
    <w:div w:id="984551782">
      <w:bodyDiv w:val="1"/>
      <w:marLeft w:val="0"/>
      <w:marRight w:val="0"/>
      <w:marTop w:val="0"/>
      <w:marBottom w:val="0"/>
      <w:divBdr>
        <w:top w:val="none" w:sz="0" w:space="0" w:color="auto"/>
        <w:left w:val="none" w:sz="0" w:space="0" w:color="auto"/>
        <w:bottom w:val="none" w:sz="0" w:space="0" w:color="auto"/>
        <w:right w:val="none" w:sz="0" w:space="0" w:color="auto"/>
      </w:divBdr>
      <w:divsChild>
        <w:div w:id="730692802">
          <w:marLeft w:val="0"/>
          <w:marRight w:val="0"/>
          <w:marTop w:val="0"/>
          <w:marBottom w:val="0"/>
          <w:divBdr>
            <w:top w:val="none" w:sz="0" w:space="0" w:color="auto"/>
            <w:left w:val="none" w:sz="0" w:space="0" w:color="auto"/>
            <w:bottom w:val="none" w:sz="0" w:space="0" w:color="auto"/>
            <w:right w:val="none" w:sz="0" w:space="0" w:color="auto"/>
          </w:divBdr>
        </w:div>
        <w:div w:id="1107233653">
          <w:marLeft w:val="0"/>
          <w:marRight w:val="0"/>
          <w:marTop w:val="0"/>
          <w:marBottom w:val="0"/>
          <w:divBdr>
            <w:top w:val="none" w:sz="0" w:space="0" w:color="auto"/>
            <w:left w:val="none" w:sz="0" w:space="0" w:color="auto"/>
            <w:bottom w:val="none" w:sz="0" w:space="0" w:color="auto"/>
            <w:right w:val="none" w:sz="0" w:space="0" w:color="auto"/>
          </w:divBdr>
        </w:div>
        <w:div w:id="409619736">
          <w:marLeft w:val="0"/>
          <w:marRight w:val="0"/>
          <w:marTop w:val="0"/>
          <w:marBottom w:val="0"/>
          <w:divBdr>
            <w:top w:val="none" w:sz="0" w:space="0" w:color="auto"/>
            <w:left w:val="none" w:sz="0" w:space="0" w:color="auto"/>
            <w:bottom w:val="none" w:sz="0" w:space="0" w:color="auto"/>
            <w:right w:val="none" w:sz="0" w:space="0" w:color="auto"/>
          </w:divBdr>
        </w:div>
      </w:divsChild>
    </w:div>
    <w:div w:id="1040084116">
      <w:bodyDiv w:val="1"/>
      <w:marLeft w:val="0"/>
      <w:marRight w:val="0"/>
      <w:marTop w:val="0"/>
      <w:marBottom w:val="0"/>
      <w:divBdr>
        <w:top w:val="none" w:sz="0" w:space="0" w:color="auto"/>
        <w:left w:val="none" w:sz="0" w:space="0" w:color="auto"/>
        <w:bottom w:val="none" w:sz="0" w:space="0" w:color="auto"/>
        <w:right w:val="none" w:sz="0" w:space="0" w:color="auto"/>
      </w:divBdr>
      <w:divsChild>
        <w:div w:id="100608390">
          <w:marLeft w:val="0"/>
          <w:marRight w:val="0"/>
          <w:marTop w:val="0"/>
          <w:marBottom w:val="0"/>
          <w:divBdr>
            <w:top w:val="none" w:sz="0" w:space="0" w:color="auto"/>
            <w:left w:val="none" w:sz="0" w:space="0" w:color="auto"/>
            <w:bottom w:val="none" w:sz="0" w:space="0" w:color="auto"/>
            <w:right w:val="none" w:sz="0" w:space="0" w:color="auto"/>
          </w:divBdr>
        </w:div>
        <w:div w:id="494565861">
          <w:marLeft w:val="0"/>
          <w:marRight w:val="0"/>
          <w:marTop w:val="0"/>
          <w:marBottom w:val="0"/>
          <w:divBdr>
            <w:top w:val="none" w:sz="0" w:space="0" w:color="auto"/>
            <w:left w:val="none" w:sz="0" w:space="0" w:color="auto"/>
            <w:bottom w:val="none" w:sz="0" w:space="0" w:color="auto"/>
            <w:right w:val="none" w:sz="0" w:space="0" w:color="auto"/>
          </w:divBdr>
        </w:div>
        <w:div w:id="1792894925">
          <w:marLeft w:val="0"/>
          <w:marRight w:val="0"/>
          <w:marTop w:val="0"/>
          <w:marBottom w:val="0"/>
          <w:divBdr>
            <w:top w:val="none" w:sz="0" w:space="0" w:color="auto"/>
            <w:left w:val="none" w:sz="0" w:space="0" w:color="auto"/>
            <w:bottom w:val="none" w:sz="0" w:space="0" w:color="auto"/>
            <w:right w:val="none" w:sz="0" w:space="0" w:color="auto"/>
          </w:divBdr>
        </w:div>
      </w:divsChild>
    </w:div>
    <w:div w:id="1201935945">
      <w:bodyDiv w:val="1"/>
      <w:marLeft w:val="0"/>
      <w:marRight w:val="0"/>
      <w:marTop w:val="0"/>
      <w:marBottom w:val="0"/>
      <w:divBdr>
        <w:top w:val="none" w:sz="0" w:space="0" w:color="auto"/>
        <w:left w:val="none" w:sz="0" w:space="0" w:color="auto"/>
        <w:bottom w:val="none" w:sz="0" w:space="0" w:color="auto"/>
        <w:right w:val="none" w:sz="0" w:space="0" w:color="auto"/>
      </w:divBdr>
      <w:divsChild>
        <w:div w:id="1437291339">
          <w:marLeft w:val="0"/>
          <w:marRight w:val="0"/>
          <w:marTop w:val="0"/>
          <w:marBottom w:val="0"/>
          <w:divBdr>
            <w:top w:val="none" w:sz="0" w:space="0" w:color="auto"/>
            <w:left w:val="none" w:sz="0" w:space="0" w:color="auto"/>
            <w:bottom w:val="none" w:sz="0" w:space="0" w:color="auto"/>
            <w:right w:val="none" w:sz="0" w:space="0" w:color="auto"/>
          </w:divBdr>
        </w:div>
        <w:div w:id="1924996122">
          <w:marLeft w:val="0"/>
          <w:marRight w:val="0"/>
          <w:marTop w:val="0"/>
          <w:marBottom w:val="0"/>
          <w:divBdr>
            <w:top w:val="none" w:sz="0" w:space="0" w:color="auto"/>
            <w:left w:val="none" w:sz="0" w:space="0" w:color="auto"/>
            <w:bottom w:val="none" w:sz="0" w:space="0" w:color="auto"/>
            <w:right w:val="none" w:sz="0" w:space="0" w:color="auto"/>
          </w:divBdr>
        </w:div>
        <w:div w:id="656960261">
          <w:marLeft w:val="0"/>
          <w:marRight w:val="0"/>
          <w:marTop w:val="0"/>
          <w:marBottom w:val="0"/>
          <w:divBdr>
            <w:top w:val="none" w:sz="0" w:space="0" w:color="auto"/>
            <w:left w:val="none" w:sz="0" w:space="0" w:color="auto"/>
            <w:bottom w:val="none" w:sz="0" w:space="0" w:color="auto"/>
            <w:right w:val="none" w:sz="0" w:space="0" w:color="auto"/>
          </w:divBdr>
        </w:div>
        <w:div w:id="1176188704">
          <w:marLeft w:val="0"/>
          <w:marRight w:val="0"/>
          <w:marTop w:val="0"/>
          <w:marBottom w:val="0"/>
          <w:divBdr>
            <w:top w:val="none" w:sz="0" w:space="0" w:color="auto"/>
            <w:left w:val="none" w:sz="0" w:space="0" w:color="auto"/>
            <w:bottom w:val="none" w:sz="0" w:space="0" w:color="auto"/>
            <w:right w:val="none" w:sz="0" w:space="0" w:color="auto"/>
          </w:divBdr>
        </w:div>
        <w:div w:id="1817717641">
          <w:marLeft w:val="0"/>
          <w:marRight w:val="0"/>
          <w:marTop w:val="0"/>
          <w:marBottom w:val="0"/>
          <w:divBdr>
            <w:top w:val="none" w:sz="0" w:space="0" w:color="auto"/>
            <w:left w:val="none" w:sz="0" w:space="0" w:color="auto"/>
            <w:bottom w:val="none" w:sz="0" w:space="0" w:color="auto"/>
            <w:right w:val="none" w:sz="0" w:space="0" w:color="auto"/>
          </w:divBdr>
        </w:div>
      </w:divsChild>
    </w:div>
    <w:div w:id="1219824293">
      <w:bodyDiv w:val="1"/>
      <w:marLeft w:val="0"/>
      <w:marRight w:val="0"/>
      <w:marTop w:val="0"/>
      <w:marBottom w:val="0"/>
      <w:divBdr>
        <w:top w:val="none" w:sz="0" w:space="0" w:color="auto"/>
        <w:left w:val="none" w:sz="0" w:space="0" w:color="auto"/>
        <w:bottom w:val="none" w:sz="0" w:space="0" w:color="auto"/>
        <w:right w:val="none" w:sz="0" w:space="0" w:color="auto"/>
      </w:divBdr>
      <w:divsChild>
        <w:div w:id="1275673739">
          <w:marLeft w:val="0"/>
          <w:marRight w:val="0"/>
          <w:marTop w:val="0"/>
          <w:marBottom w:val="0"/>
          <w:divBdr>
            <w:top w:val="none" w:sz="0" w:space="0" w:color="auto"/>
            <w:left w:val="none" w:sz="0" w:space="0" w:color="auto"/>
            <w:bottom w:val="none" w:sz="0" w:space="0" w:color="auto"/>
            <w:right w:val="none" w:sz="0" w:space="0" w:color="auto"/>
          </w:divBdr>
        </w:div>
        <w:div w:id="1097555187">
          <w:marLeft w:val="0"/>
          <w:marRight w:val="0"/>
          <w:marTop w:val="0"/>
          <w:marBottom w:val="0"/>
          <w:divBdr>
            <w:top w:val="none" w:sz="0" w:space="0" w:color="auto"/>
            <w:left w:val="none" w:sz="0" w:space="0" w:color="auto"/>
            <w:bottom w:val="none" w:sz="0" w:space="0" w:color="auto"/>
            <w:right w:val="none" w:sz="0" w:space="0" w:color="auto"/>
          </w:divBdr>
        </w:div>
        <w:div w:id="192037997">
          <w:marLeft w:val="0"/>
          <w:marRight w:val="0"/>
          <w:marTop w:val="0"/>
          <w:marBottom w:val="0"/>
          <w:divBdr>
            <w:top w:val="none" w:sz="0" w:space="0" w:color="auto"/>
            <w:left w:val="none" w:sz="0" w:space="0" w:color="auto"/>
            <w:bottom w:val="none" w:sz="0" w:space="0" w:color="auto"/>
            <w:right w:val="none" w:sz="0" w:space="0" w:color="auto"/>
          </w:divBdr>
        </w:div>
        <w:div w:id="560216211">
          <w:marLeft w:val="0"/>
          <w:marRight w:val="0"/>
          <w:marTop w:val="0"/>
          <w:marBottom w:val="0"/>
          <w:divBdr>
            <w:top w:val="none" w:sz="0" w:space="0" w:color="auto"/>
            <w:left w:val="none" w:sz="0" w:space="0" w:color="auto"/>
            <w:bottom w:val="none" w:sz="0" w:space="0" w:color="auto"/>
            <w:right w:val="none" w:sz="0" w:space="0" w:color="auto"/>
          </w:divBdr>
        </w:div>
        <w:div w:id="1709793404">
          <w:marLeft w:val="0"/>
          <w:marRight w:val="0"/>
          <w:marTop w:val="0"/>
          <w:marBottom w:val="0"/>
          <w:divBdr>
            <w:top w:val="none" w:sz="0" w:space="0" w:color="auto"/>
            <w:left w:val="none" w:sz="0" w:space="0" w:color="auto"/>
            <w:bottom w:val="none" w:sz="0" w:space="0" w:color="auto"/>
            <w:right w:val="none" w:sz="0" w:space="0" w:color="auto"/>
          </w:divBdr>
        </w:div>
        <w:div w:id="586765930">
          <w:marLeft w:val="0"/>
          <w:marRight w:val="0"/>
          <w:marTop w:val="0"/>
          <w:marBottom w:val="0"/>
          <w:divBdr>
            <w:top w:val="none" w:sz="0" w:space="0" w:color="auto"/>
            <w:left w:val="none" w:sz="0" w:space="0" w:color="auto"/>
            <w:bottom w:val="none" w:sz="0" w:space="0" w:color="auto"/>
            <w:right w:val="none" w:sz="0" w:space="0" w:color="auto"/>
          </w:divBdr>
        </w:div>
      </w:divsChild>
    </w:div>
    <w:div w:id="1221668892">
      <w:bodyDiv w:val="1"/>
      <w:marLeft w:val="0"/>
      <w:marRight w:val="0"/>
      <w:marTop w:val="0"/>
      <w:marBottom w:val="0"/>
      <w:divBdr>
        <w:top w:val="none" w:sz="0" w:space="0" w:color="auto"/>
        <w:left w:val="none" w:sz="0" w:space="0" w:color="auto"/>
        <w:bottom w:val="none" w:sz="0" w:space="0" w:color="auto"/>
        <w:right w:val="none" w:sz="0" w:space="0" w:color="auto"/>
      </w:divBdr>
      <w:divsChild>
        <w:div w:id="2017615017">
          <w:marLeft w:val="0"/>
          <w:marRight w:val="0"/>
          <w:marTop w:val="0"/>
          <w:marBottom w:val="0"/>
          <w:divBdr>
            <w:top w:val="none" w:sz="0" w:space="0" w:color="auto"/>
            <w:left w:val="none" w:sz="0" w:space="0" w:color="auto"/>
            <w:bottom w:val="none" w:sz="0" w:space="0" w:color="auto"/>
            <w:right w:val="none" w:sz="0" w:space="0" w:color="auto"/>
          </w:divBdr>
        </w:div>
        <w:div w:id="1600408620">
          <w:marLeft w:val="0"/>
          <w:marRight w:val="0"/>
          <w:marTop w:val="0"/>
          <w:marBottom w:val="0"/>
          <w:divBdr>
            <w:top w:val="none" w:sz="0" w:space="0" w:color="auto"/>
            <w:left w:val="none" w:sz="0" w:space="0" w:color="auto"/>
            <w:bottom w:val="none" w:sz="0" w:space="0" w:color="auto"/>
            <w:right w:val="none" w:sz="0" w:space="0" w:color="auto"/>
          </w:divBdr>
        </w:div>
        <w:div w:id="1494880231">
          <w:marLeft w:val="0"/>
          <w:marRight w:val="0"/>
          <w:marTop w:val="0"/>
          <w:marBottom w:val="0"/>
          <w:divBdr>
            <w:top w:val="none" w:sz="0" w:space="0" w:color="auto"/>
            <w:left w:val="none" w:sz="0" w:space="0" w:color="auto"/>
            <w:bottom w:val="none" w:sz="0" w:space="0" w:color="auto"/>
            <w:right w:val="none" w:sz="0" w:space="0" w:color="auto"/>
          </w:divBdr>
        </w:div>
        <w:div w:id="638001817">
          <w:marLeft w:val="0"/>
          <w:marRight w:val="0"/>
          <w:marTop w:val="0"/>
          <w:marBottom w:val="0"/>
          <w:divBdr>
            <w:top w:val="none" w:sz="0" w:space="0" w:color="auto"/>
            <w:left w:val="none" w:sz="0" w:space="0" w:color="auto"/>
            <w:bottom w:val="none" w:sz="0" w:space="0" w:color="auto"/>
            <w:right w:val="none" w:sz="0" w:space="0" w:color="auto"/>
          </w:divBdr>
        </w:div>
      </w:divsChild>
    </w:div>
    <w:div w:id="1267008581">
      <w:bodyDiv w:val="1"/>
      <w:marLeft w:val="0"/>
      <w:marRight w:val="0"/>
      <w:marTop w:val="0"/>
      <w:marBottom w:val="0"/>
      <w:divBdr>
        <w:top w:val="none" w:sz="0" w:space="0" w:color="auto"/>
        <w:left w:val="none" w:sz="0" w:space="0" w:color="auto"/>
        <w:bottom w:val="none" w:sz="0" w:space="0" w:color="auto"/>
        <w:right w:val="none" w:sz="0" w:space="0" w:color="auto"/>
      </w:divBdr>
      <w:divsChild>
        <w:div w:id="43023384">
          <w:marLeft w:val="0"/>
          <w:marRight w:val="0"/>
          <w:marTop w:val="0"/>
          <w:marBottom w:val="0"/>
          <w:divBdr>
            <w:top w:val="none" w:sz="0" w:space="0" w:color="auto"/>
            <w:left w:val="none" w:sz="0" w:space="0" w:color="auto"/>
            <w:bottom w:val="none" w:sz="0" w:space="0" w:color="auto"/>
            <w:right w:val="none" w:sz="0" w:space="0" w:color="auto"/>
          </w:divBdr>
        </w:div>
      </w:divsChild>
    </w:div>
    <w:div w:id="1309475456">
      <w:bodyDiv w:val="1"/>
      <w:marLeft w:val="0"/>
      <w:marRight w:val="0"/>
      <w:marTop w:val="0"/>
      <w:marBottom w:val="0"/>
      <w:divBdr>
        <w:top w:val="none" w:sz="0" w:space="0" w:color="auto"/>
        <w:left w:val="none" w:sz="0" w:space="0" w:color="auto"/>
        <w:bottom w:val="none" w:sz="0" w:space="0" w:color="auto"/>
        <w:right w:val="none" w:sz="0" w:space="0" w:color="auto"/>
      </w:divBdr>
      <w:divsChild>
        <w:div w:id="1055814702">
          <w:marLeft w:val="0"/>
          <w:marRight w:val="0"/>
          <w:marTop w:val="0"/>
          <w:marBottom w:val="0"/>
          <w:divBdr>
            <w:top w:val="none" w:sz="0" w:space="0" w:color="auto"/>
            <w:left w:val="none" w:sz="0" w:space="0" w:color="auto"/>
            <w:bottom w:val="none" w:sz="0" w:space="0" w:color="auto"/>
            <w:right w:val="none" w:sz="0" w:space="0" w:color="auto"/>
          </w:divBdr>
        </w:div>
        <w:div w:id="684790681">
          <w:marLeft w:val="0"/>
          <w:marRight w:val="0"/>
          <w:marTop w:val="0"/>
          <w:marBottom w:val="0"/>
          <w:divBdr>
            <w:top w:val="none" w:sz="0" w:space="0" w:color="auto"/>
            <w:left w:val="none" w:sz="0" w:space="0" w:color="auto"/>
            <w:bottom w:val="none" w:sz="0" w:space="0" w:color="auto"/>
            <w:right w:val="none" w:sz="0" w:space="0" w:color="auto"/>
          </w:divBdr>
        </w:div>
        <w:div w:id="1340161524">
          <w:marLeft w:val="0"/>
          <w:marRight w:val="0"/>
          <w:marTop w:val="0"/>
          <w:marBottom w:val="0"/>
          <w:divBdr>
            <w:top w:val="none" w:sz="0" w:space="0" w:color="auto"/>
            <w:left w:val="none" w:sz="0" w:space="0" w:color="auto"/>
            <w:bottom w:val="none" w:sz="0" w:space="0" w:color="auto"/>
            <w:right w:val="none" w:sz="0" w:space="0" w:color="auto"/>
          </w:divBdr>
        </w:div>
      </w:divsChild>
    </w:div>
    <w:div w:id="1333409139">
      <w:bodyDiv w:val="1"/>
      <w:marLeft w:val="0"/>
      <w:marRight w:val="0"/>
      <w:marTop w:val="0"/>
      <w:marBottom w:val="0"/>
      <w:divBdr>
        <w:top w:val="none" w:sz="0" w:space="0" w:color="auto"/>
        <w:left w:val="none" w:sz="0" w:space="0" w:color="auto"/>
        <w:bottom w:val="none" w:sz="0" w:space="0" w:color="auto"/>
        <w:right w:val="none" w:sz="0" w:space="0" w:color="auto"/>
      </w:divBdr>
      <w:divsChild>
        <w:div w:id="1670325154">
          <w:marLeft w:val="0"/>
          <w:marRight w:val="0"/>
          <w:marTop w:val="0"/>
          <w:marBottom w:val="0"/>
          <w:divBdr>
            <w:top w:val="none" w:sz="0" w:space="0" w:color="auto"/>
            <w:left w:val="none" w:sz="0" w:space="0" w:color="auto"/>
            <w:bottom w:val="none" w:sz="0" w:space="0" w:color="auto"/>
            <w:right w:val="none" w:sz="0" w:space="0" w:color="auto"/>
          </w:divBdr>
        </w:div>
        <w:div w:id="184057242">
          <w:marLeft w:val="0"/>
          <w:marRight w:val="0"/>
          <w:marTop w:val="0"/>
          <w:marBottom w:val="0"/>
          <w:divBdr>
            <w:top w:val="none" w:sz="0" w:space="0" w:color="auto"/>
            <w:left w:val="none" w:sz="0" w:space="0" w:color="auto"/>
            <w:bottom w:val="none" w:sz="0" w:space="0" w:color="auto"/>
            <w:right w:val="none" w:sz="0" w:space="0" w:color="auto"/>
          </w:divBdr>
        </w:div>
        <w:div w:id="549153560">
          <w:marLeft w:val="0"/>
          <w:marRight w:val="0"/>
          <w:marTop w:val="0"/>
          <w:marBottom w:val="0"/>
          <w:divBdr>
            <w:top w:val="none" w:sz="0" w:space="0" w:color="auto"/>
            <w:left w:val="none" w:sz="0" w:space="0" w:color="auto"/>
            <w:bottom w:val="none" w:sz="0" w:space="0" w:color="auto"/>
            <w:right w:val="none" w:sz="0" w:space="0" w:color="auto"/>
          </w:divBdr>
        </w:div>
        <w:div w:id="406996442">
          <w:marLeft w:val="0"/>
          <w:marRight w:val="0"/>
          <w:marTop w:val="0"/>
          <w:marBottom w:val="0"/>
          <w:divBdr>
            <w:top w:val="none" w:sz="0" w:space="0" w:color="auto"/>
            <w:left w:val="none" w:sz="0" w:space="0" w:color="auto"/>
            <w:bottom w:val="none" w:sz="0" w:space="0" w:color="auto"/>
            <w:right w:val="none" w:sz="0" w:space="0" w:color="auto"/>
          </w:divBdr>
        </w:div>
      </w:divsChild>
    </w:div>
    <w:div w:id="1344747673">
      <w:bodyDiv w:val="1"/>
      <w:marLeft w:val="0"/>
      <w:marRight w:val="0"/>
      <w:marTop w:val="0"/>
      <w:marBottom w:val="0"/>
      <w:divBdr>
        <w:top w:val="none" w:sz="0" w:space="0" w:color="auto"/>
        <w:left w:val="none" w:sz="0" w:space="0" w:color="auto"/>
        <w:bottom w:val="none" w:sz="0" w:space="0" w:color="auto"/>
        <w:right w:val="none" w:sz="0" w:space="0" w:color="auto"/>
      </w:divBdr>
    </w:div>
    <w:div w:id="1363483405">
      <w:bodyDiv w:val="1"/>
      <w:marLeft w:val="0"/>
      <w:marRight w:val="0"/>
      <w:marTop w:val="0"/>
      <w:marBottom w:val="0"/>
      <w:divBdr>
        <w:top w:val="none" w:sz="0" w:space="0" w:color="auto"/>
        <w:left w:val="none" w:sz="0" w:space="0" w:color="auto"/>
        <w:bottom w:val="none" w:sz="0" w:space="0" w:color="auto"/>
        <w:right w:val="none" w:sz="0" w:space="0" w:color="auto"/>
      </w:divBdr>
      <w:divsChild>
        <w:div w:id="2067101511">
          <w:marLeft w:val="0"/>
          <w:marRight w:val="0"/>
          <w:marTop w:val="0"/>
          <w:marBottom w:val="0"/>
          <w:divBdr>
            <w:top w:val="none" w:sz="0" w:space="0" w:color="auto"/>
            <w:left w:val="none" w:sz="0" w:space="0" w:color="auto"/>
            <w:bottom w:val="none" w:sz="0" w:space="0" w:color="auto"/>
            <w:right w:val="none" w:sz="0" w:space="0" w:color="auto"/>
          </w:divBdr>
        </w:div>
        <w:div w:id="248538319">
          <w:marLeft w:val="0"/>
          <w:marRight w:val="0"/>
          <w:marTop w:val="0"/>
          <w:marBottom w:val="0"/>
          <w:divBdr>
            <w:top w:val="none" w:sz="0" w:space="0" w:color="auto"/>
            <w:left w:val="none" w:sz="0" w:space="0" w:color="auto"/>
            <w:bottom w:val="none" w:sz="0" w:space="0" w:color="auto"/>
            <w:right w:val="none" w:sz="0" w:space="0" w:color="auto"/>
          </w:divBdr>
        </w:div>
        <w:div w:id="29113358">
          <w:marLeft w:val="0"/>
          <w:marRight w:val="0"/>
          <w:marTop w:val="0"/>
          <w:marBottom w:val="0"/>
          <w:divBdr>
            <w:top w:val="none" w:sz="0" w:space="0" w:color="auto"/>
            <w:left w:val="none" w:sz="0" w:space="0" w:color="auto"/>
            <w:bottom w:val="none" w:sz="0" w:space="0" w:color="auto"/>
            <w:right w:val="none" w:sz="0" w:space="0" w:color="auto"/>
          </w:divBdr>
        </w:div>
        <w:div w:id="2011638362">
          <w:marLeft w:val="0"/>
          <w:marRight w:val="0"/>
          <w:marTop w:val="0"/>
          <w:marBottom w:val="0"/>
          <w:divBdr>
            <w:top w:val="none" w:sz="0" w:space="0" w:color="auto"/>
            <w:left w:val="none" w:sz="0" w:space="0" w:color="auto"/>
            <w:bottom w:val="none" w:sz="0" w:space="0" w:color="auto"/>
            <w:right w:val="none" w:sz="0" w:space="0" w:color="auto"/>
          </w:divBdr>
        </w:div>
      </w:divsChild>
    </w:div>
    <w:div w:id="1485513525">
      <w:bodyDiv w:val="1"/>
      <w:marLeft w:val="0"/>
      <w:marRight w:val="0"/>
      <w:marTop w:val="0"/>
      <w:marBottom w:val="0"/>
      <w:divBdr>
        <w:top w:val="none" w:sz="0" w:space="0" w:color="auto"/>
        <w:left w:val="none" w:sz="0" w:space="0" w:color="auto"/>
        <w:bottom w:val="none" w:sz="0" w:space="0" w:color="auto"/>
        <w:right w:val="none" w:sz="0" w:space="0" w:color="auto"/>
      </w:divBdr>
      <w:divsChild>
        <w:div w:id="83500559">
          <w:marLeft w:val="0"/>
          <w:marRight w:val="0"/>
          <w:marTop w:val="0"/>
          <w:marBottom w:val="0"/>
          <w:divBdr>
            <w:top w:val="none" w:sz="0" w:space="0" w:color="auto"/>
            <w:left w:val="none" w:sz="0" w:space="0" w:color="auto"/>
            <w:bottom w:val="none" w:sz="0" w:space="0" w:color="auto"/>
            <w:right w:val="none" w:sz="0" w:space="0" w:color="auto"/>
          </w:divBdr>
        </w:div>
        <w:div w:id="1160343361">
          <w:marLeft w:val="0"/>
          <w:marRight w:val="0"/>
          <w:marTop w:val="0"/>
          <w:marBottom w:val="0"/>
          <w:divBdr>
            <w:top w:val="none" w:sz="0" w:space="0" w:color="auto"/>
            <w:left w:val="none" w:sz="0" w:space="0" w:color="auto"/>
            <w:bottom w:val="none" w:sz="0" w:space="0" w:color="auto"/>
            <w:right w:val="none" w:sz="0" w:space="0" w:color="auto"/>
          </w:divBdr>
        </w:div>
        <w:div w:id="1061907086">
          <w:marLeft w:val="0"/>
          <w:marRight w:val="0"/>
          <w:marTop w:val="0"/>
          <w:marBottom w:val="0"/>
          <w:divBdr>
            <w:top w:val="none" w:sz="0" w:space="0" w:color="auto"/>
            <w:left w:val="none" w:sz="0" w:space="0" w:color="auto"/>
            <w:bottom w:val="none" w:sz="0" w:space="0" w:color="auto"/>
            <w:right w:val="none" w:sz="0" w:space="0" w:color="auto"/>
          </w:divBdr>
        </w:div>
        <w:div w:id="2000963411">
          <w:marLeft w:val="0"/>
          <w:marRight w:val="0"/>
          <w:marTop w:val="0"/>
          <w:marBottom w:val="0"/>
          <w:divBdr>
            <w:top w:val="none" w:sz="0" w:space="0" w:color="auto"/>
            <w:left w:val="none" w:sz="0" w:space="0" w:color="auto"/>
            <w:bottom w:val="none" w:sz="0" w:space="0" w:color="auto"/>
            <w:right w:val="none" w:sz="0" w:space="0" w:color="auto"/>
          </w:divBdr>
        </w:div>
      </w:divsChild>
    </w:div>
    <w:div w:id="1541089843">
      <w:bodyDiv w:val="1"/>
      <w:marLeft w:val="0"/>
      <w:marRight w:val="0"/>
      <w:marTop w:val="0"/>
      <w:marBottom w:val="0"/>
      <w:divBdr>
        <w:top w:val="none" w:sz="0" w:space="0" w:color="auto"/>
        <w:left w:val="none" w:sz="0" w:space="0" w:color="auto"/>
        <w:bottom w:val="none" w:sz="0" w:space="0" w:color="auto"/>
        <w:right w:val="none" w:sz="0" w:space="0" w:color="auto"/>
      </w:divBdr>
    </w:div>
    <w:div w:id="1569998771">
      <w:bodyDiv w:val="1"/>
      <w:marLeft w:val="0"/>
      <w:marRight w:val="0"/>
      <w:marTop w:val="0"/>
      <w:marBottom w:val="0"/>
      <w:divBdr>
        <w:top w:val="none" w:sz="0" w:space="0" w:color="auto"/>
        <w:left w:val="none" w:sz="0" w:space="0" w:color="auto"/>
        <w:bottom w:val="none" w:sz="0" w:space="0" w:color="auto"/>
        <w:right w:val="none" w:sz="0" w:space="0" w:color="auto"/>
      </w:divBdr>
      <w:divsChild>
        <w:div w:id="1633095436">
          <w:marLeft w:val="0"/>
          <w:marRight w:val="0"/>
          <w:marTop w:val="0"/>
          <w:marBottom w:val="0"/>
          <w:divBdr>
            <w:top w:val="none" w:sz="0" w:space="0" w:color="auto"/>
            <w:left w:val="none" w:sz="0" w:space="0" w:color="auto"/>
            <w:bottom w:val="none" w:sz="0" w:space="0" w:color="auto"/>
            <w:right w:val="none" w:sz="0" w:space="0" w:color="auto"/>
          </w:divBdr>
        </w:div>
      </w:divsChild>
    </w:div>
    <w:div w:id="1735809555">
      <w:bodyDiv w:val="1"/>
      <w:marLeft w:val="0"/>
      <w:marRight w:val="0"/>
      <w:marTop w:val="0"/>
      <w:marBottom w:val="0"/>
      <w:divBdr>
        <w:top w:val="none" w:sz="0" w:space="0" w:color="auto"/>
        <w:left w:val="none" w:sz="0" w:space="0" w:color="auto"/>
        <w:bottom w:val="none" w:sz="0" w:space="0" w:color="auto"/>
        <w:right w:val="none" w:sz="0" w:space="0" w:color="auto"/>
      </w:divBdr>
      <w:divsChild>
        <w:div w:id="610744106">
          <w:marLeft w:val="0"/>
          <w:marRight w:val="0"/>
          <w:marTop w:val="0"/>
          <w:marBottom w:val="0"/>
          <w:divBdr>
            <w:top w:val="none" w:sz="0" w:space="0" w:color="auto"/>
            <w:left w:val="none" w:sz="0" w:space="0" w:color="auto"/>
            <w:bottom w:val="none" w:sz="0" w:space="0" w:color="auto"/>
            <w:right w:val="none" w:sz="0" w:space="0" w:color="auto"/>
          </w:divBdr>
        </w:div>
        <w:div w:id="1792091729">
          <w:marLeft w:val="0"/>
          <w:marRight w:val="0"/>
          <w:marTop w:val="0"/>
          <w:marBottom w:val="0"/>
          <w:divBdr>
            <w:top w:val="none" w:sz="0" w:space="0" w:color="auto"/>
            <w:left w:val="none" w:sz="0" w:space="0" w:color="auto"/>
            <w:bottom w:val="none" w:sz="0" w:space="0" w:color="auto"/>
            <w:right w:val="none" w:sz="0" w:space="0" w:color="auto"/>
          </w:divBdr>
        </w:div>
        <w:div w:id="476229">
          <w:marLeft w:val="0"/>
          <w:marRight w:val="0"/>
          <w:marTop w:val="0"/>
          <w:marBottom w:val="0"/>
          <w:divBdr>
            <w:top w:val="none" w:sz="0" w:space="0" w:color="auto"/>
            <w:left w:val="none" w:sz="0" w:space="0" w:color="auto"/>
            <w:bottom w:val="none" w:sz="0" w:space="0" w:color="auto"/>
            <w:right w:val="none" w:sz="0" w:space="0" w:color="auto"/>
          </w:divBdr>
        </w:div>
        <w:div w:id="845284395">
          <w:marLeft w:val="0"/>
          <w:marRight w:val="0"/>
          <w:marTop w:val="0"/>
          <w:marBottom w:val="0"/>
          <w:divBdr>
            <w:top w:val="none" w:sz="0" w:space="0" w:color="auto"/>
            <w:left w:val="none" w:sz="0" w:space="0" w:color="auto"/>
            <w:bottom w:val="none" w:sz="0" w:space="0" w:color="auto"/>
            <w:right w:val="none" w:sz="0" w:space="0" w:color="auto"/>
          </w:divBdr>
        </w:div>
      </w:divsChild>
    </w:div>
    <w:div w:id="1790852315">
      <w:bodyDiv w:val="1"/>
      <w:marLeft w:val="0"/>
      <w:marRight w:val="0"/>
      <w:marTop w:val="0"/>
      <w:marBottom w:val="0"/>
      <w:divBdr>
        <w:top w:val="none" w:sz="0" w:space="0" w:color="auto"/>
        <w:left w:val="none" w:sz="0" w:space="0" w:color="auto"/>
        <w:bottom w:val="none" w:sz="0" w:space="0" w:color="auto"/>
        <w:right w:val="none" w:sz="0" w:space="0" w:color="auto"/>
      </w:divBdr>
    </w:div>
    <w:div w:id="1920747483">
      <w:bodyDiv w:val="1"/>
      <w:marLeft w:val="0"/>
      <w:marRight w:val="0"/>
      <w:marTop w:val="0"/>
      <w:marBottom w:val="0"/>
      <w:divBdr>
        <w:top w:val="none" w:sz="0" w:space="0" w:color="auto"/>
        <w:left w:val="none" w:sz="0" w:space="0" w:color="auto"/>
        <w:bottom w:val="none" w:sz="0" w:space="0" w:color="auto"/>
        <w:right w:val="none" w:sz="0" w:space="0" w:color="auto"/>
      </w:divBdr>
      <w:divsChild>
        <w:div w:id="1978873733">
          <w:marLeft w:val="0"/>
          <w:marRight w:val="0"/>
          <w:marTop w:val="0"/>
          <w:marBottom w:val="0"/>
          <w:divBdr>
            <w:top w:val="none" w:sz="0" w:space="0" w:color="auto"/>
            <w:left w:val="none" w:sz="0" w:space="0" w:color="auto"/>
            <w:bottom w:val="none" w:sz="0" w:space="0" w:color="auto"/>
            <w:right w:val="none" w:sz="0" w:space="0" w:color="auto"/>
          </w:divBdr>
        </w:div>
        <w:div w:id="2006937826">
          <w:marLeft w:val="0"/>
          <w:marRight w:val="0"/>
          <w:marTop w:val="0"/>
          <w:marBottom w:val="0"/>
          <w:divBdr>
            <w:top w:val="none" w:sz="0" w:space="0" w:color="auto"/>
            <w:left w:val="none" w:sz="0" w:space="0" w:color="auto"/>
            <w:bottom w:val="none" w:sz="0" w:space="0" w:color="auto"/>
            <w:right w:val="none" w:sz="0" w:space="0" w:color="auto"/>
          </w:divBdr>
        </w:div>
        <w:div w:id="907958869">
          <w:marLeft w:val="0"/>
          <w:marRight w:val="0"/>
          <w:marTop w:val="0"/>
          <w:marBottom w:val="0"/>
          <w:divBdr>
            <w:top w:val="none" w:sz="0" w:space="0" w:color="auto"/>
            <w:left w:val="none" w:sz="0" w:space="0" w:color="auto"/>
            <w:bottom w:val="none" w:sz="0" w:space="0" w:color="auto"/>
            <w:right w:val="none" w:sz="0" w:space="0" w:color="auto"/>
          </w:divBdr>
        </w:div>
        <w:div w:id="158736167">
          <w:marLeft w:val="0"/>
          <w:marRight w:val="0"/>
          <w:marTop w:val="0"/>
          <w:marBottom w:val="0"/>
          <w:divBdr>
            <w:top w:val="none" w:sz="0" w:space="0" w:color="auto"/>
            <w:left w:val="none" w:sz="0" w:space="0" w:color="auto"/>
            <w:bottom w:val="none" w:sz="0" w:space="0" w:color="auto"/>
            <w:right w:val="none" w:sz="0" w:space="0" w:color="auto"/>
          </w:divBdr>
        </w:div>
        <w:div w:id="669525985">
          <w:marLeft w:val="0"/>
          <w:marRight w:val="0"/>
          <w:marTop w:val="0"/>
          <w:marBottom w:val="0"/>
          <w:divBdr>
            <w:top w:val="none" w:sz="0" w:space="0" w:color="auto"/>
            <w:left w:val="none" w:sz="0" w:space="0" w:color="auto"/>
            <w:bottom w:val="none" w:sz="0" w:space="0" w:color="auto"/>
            <w:right w:val="none" w:sz="0" w:space="0" w:color="auto"/>
          </w:divBdr>
        </w:div>
      </w:divsChild>
    </w:div>
    <w:div w:id="21005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E47C-3407-4169-8882-D813FD14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13279</Words>
  <Characters>7570</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Шевчук Юрій Ігорович</dc:creator>
  <cp:keywords/>
  <dc:description/>
  <cp:lastModifiedBy>Чевелюк Ірина Миколаївна</cp:lastModifiedBy>
  <cp:revision>16</cp:revision>
  <cp:lastPrinted>2020-09-17T14:58:00Z</cp:lastPrinted>
  <dcterms:created xsi:type="dcterms:W3CDTF">2024-05-30T14:32:00Z</dcterms:created>
  <dcterms:modified xsi:type="dcterms:W3CDTF">2024-06-13T09:35:00Z</dcterms:modified>
</cp:coreProperties>
</file>