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FB4AFB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1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04843">
            <w:rPr>
              <w:b/>
              <w:bCs/>
              <w:sz w:val="28"/>
              <w:szCs w:val="28"/>
              <w:lang w:val="uk-UA"/>
            </w:rPr>
            <w:t>29 січня 2019 року</w:t>
          </w:r>
        </w:sdtContent>
      </w:sdt>
    </w:p>
    <w:tbl>
      <w:tblPr>
        <w:tblW w:w="5000" w:type="pct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</w:tblGrid>
      <w:tr w:rsidR="00C50027" w:rsidRPr="00C71E6A" w:rsidTr="00C37DF0">
        <w:trPr>
          <w:trHeight w:val="17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bookmarkStart w:id="1" w:name="RANGE!A2:L34"/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26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27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28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31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32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33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34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35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36</w:t>
            </w:r>
          </w:p>
        </w:tc>
      </w:tr>
      <w:tr w:rsidR="00C50027" w:rsidRPr="00C71E6A" w:rsidTr="00C37DF0">
        <w:trPr>
          <w:trHeight w:val="567"/>
        </w:trPr>
        <w:tc>
          <w:tcPr>
            <w:tcW w:w="729" w:type="pct"/>
            <w:shd w:val="clear" w:color="000000" w:fill="FFFFFF"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 xml:space="preserve">Код облігації 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UA4000203228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UA4000201768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UA4000194658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UA4000202667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Первинне розміщення</w:t>
            </w:r>
          </w:p>
          <w:p w:rsidR="003E57E9" w:rsidRPr="00C71E6A" w:rsidRDefault="005F31E3" w:rsidP="009C1D76">
            <w:pPr>
              <w:jc w:val="center"/>
              <w:rPr>
                <w:rFonts w:eastAsia="Times New Roman"/>
                <w:sz w:val="12"/>
                <w:szCs w:val="22"/>
                <w:highlight w:val="yellow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UA400020</w:t>
            </w:r>
            <w:r>
              <w:rPr>
                <w:rFonts w:eastAsia="Times New Roman"/>
                <w:sz w:val="12"/>
                <w:szCs w:val="22"/>
                <w:lang w:val="uk-UA" w:eastAsia="uk-UA"/>
              </w:rPr>
              <w:t>3244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UA4000173371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Первинне розміщення</w:t>
            </w:r>
          </w:p>
          <w:p w:rsidR="003E57E9" w:rsidRPr="00C71E6A" w:rsidRDefault="005F31E3" w:rsidP="009C1D76">
            <w:pPr>
              <w:jc w:val="center"/>
              <w:rPr>
                <w:rFonts w:eastAsia="Times New Roman"/>
                <w:sz w:val="12"/>
                <w:szCs w:val="22"/>
                <w:highlight w:val="yellow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</w:t>
            </w:r>
            <w:r>
              <w:rPr>
                <w:rFonts w:eastAsia="Times New Roman"/>
                <w:sz w:val="12"/>
                <w:szCs w:val="22"/>
                <w:lang w:val="uk-UA" w:eastAsia="uk-UA"/>
              </w:rPr>
              <w:t>A4000203251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(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Ном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. в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ін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 .вал.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дол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. США)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UA4000203202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(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Ном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. в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ін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 .вал.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дол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. США)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UA4000201453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(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Ном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. в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ін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 .вал.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дол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. США)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UA4000199244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(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Ном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. в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ін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 .вал.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дол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. США)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UA4000202972</w:t>
            </w:r>
          </w:p>
          <w:p w:rsidR="003E57E9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(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Ном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. в </w:t>
            </w:r>
            <w:proofErr w:type="spellStart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ін</w:t>
            </w:r>
            <w:proofErr w:type="spellEnd"/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 xml:space="preserve"> .вал. євро)</w:t>
            </w:r>
          </w:p>
        </w:tc>
      </w:tr>
      <w:tr w:rsidR="00C50027" w:rsidRPr="00C71E6A" w:rsidTr="00C50027">
        <w:trPr>
          <w:trHeight w:val="17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Номінальна вартість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</w:tr>
      <w:tr w:rsidR="00C50027" w:rsidRPr="00C71E6A" w:rsidTr="00C50027">
        <w:trPr>
          <w:trHeight w:val="227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</w:tr>
      <w:tr w:rsidR="00C50027" w:rsidRPr="00C71E6A" w:rsidTr="00C50027">
        <w:trPr>
          <w:trHeight w:val="17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Дата розміщення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29.01.2019</w:t>
            </w:r>
          </w:p>
        </w:tc>
      </w:tr>
      <w:tr w:rsidR="00C50027" w:rsidRPr="00C71E6A" w:rsidTr="00C50027">
        <w:trPr>
          <w:trHeight w:val="227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30.01.2019</w:t>
            </w:r>
          </w:p>
        </w:tc>
      </w:tr>
      <w:tr w:rsidR="00C50027" w:rsidRPr="00C71E6A" w:rsidTr="00C50027">
        <w:trPr>
          <w:trHeight w:val="1417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Дати сплати відсотків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10.07.2019 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:rsidR="009C1D76" w:rsidRPr="00C71E6A" w:rsidRDefault="003E57E9" w:rsidP="009C1D76">
            <w:pPr>
              <w:jc w:val="center"/>
              <w:rPr>
                <w:rFonts w:eastAsia="Times New Roman"/>
                <w:b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7B4617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27.02.2019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28.08.2019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26.02.2020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26.08.2020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24.02.2021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25.08.2021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23.02.2022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24.08.2022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22.02.2023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23.08.2023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24.04.2019</w:t>
            </w:r>
          </w:p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23.10.2019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3E57E9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</w:tr>
      <w:tr w:rsidR="00C50027" w:rsidRPr="00C71E6A" w:rsidTr="00C50027">
        <w:trPr>
          <w:trHeight w:val="227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C37DF0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C37DF0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83,25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C37DF0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C37DF0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FFFFFF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color w:val="FFFFFF"/>
                <w:sz w:val="12"/>
                <w:szCs w:val="22"/>
                <w:lang w:val="uk-UA" w:eastAsia="uk-UA"/>
              </w:rPr>
              <w:t>#N</w:t>
            </w:r>
            <w:r w:rsidR="00C37DF0"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  <w:r w:rsidRPr="00C71E6A">
              <w:rPr>
                <w:rFonts w:eastAsia="Times New Roman"/>
                <w:color w:val="FFFFFF"/>
                <w:sz w:val="12"/>
                <w:szCs w:val="22"/>
                <w:lang w:val="uk-UA" w:eastAsia="uk-UA"/>
              </w:rPr>
              <w:t>/A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C37DF0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C37DF0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27,00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C37DF0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—</w:t>
            </w:r>
          </w:p>
        </w:tc>
      </w:tr>
      <w:tr w:rsidR="00C50027" w:rsidRPr="00C71E6A" w:rsidTr="00C50027">
        <w:trPr>
          <w:trHeight w:val="227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19,48%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17,61%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16,65%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18,47%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10,00%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6,47%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5,40%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5,40%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4,50%</w:t>
            </w:r>
          </w:p>
        </w:tc>
      </w:tr>
      <w:tr w:rsidR="00C50027" w:rsidRPr="00C71E6A" w:rsidTr="00C50027">
        <w:trPr>
          <w:trHeight w:val="17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Термін обігу (</w:t>
            </w:r>
            <w:proofErr w:type="spellStart"/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дн</w:t>
            </w:r>
            <w:proofErr w:type="spellEnd"/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.)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91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154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161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280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364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1 666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22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78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140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266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71</w:t>
            </w:r>
          </w:p>
        </w:tc>
      </w:tr>
      <w:tr w:rsidR="00C50027" w:rsidRPr="00C71E6A" w:rsidTr="00C50027">
        <w:trPr>
          <w:trHeight w:val="17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Дата погашення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01.05.2019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03.07.2019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10.07.2019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06.11.2019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29.01.2020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23.08.2023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21.02.2019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18.04.2019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19.06.2019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23.10.2019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11.04.2019</w:t>
            </w:r>
          </w:p>
        </w:tc>
      </w:tr>
      <w:tr w:rsidR="00C50027" w:rsidRPr="00C71E6A" w:rsidTr="00C50027">
        <w:trPr>
          <w:trHeight w:val="34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Обсяг поданих заявок</w:t>
            </w: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4 011 268 000,00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2 132 693 000,00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1 836 326 000,00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1 528 785 000,00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207 568 000,00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378 537 000,00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286 617 000,00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38 106 000,00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500 000,00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7 019 000,00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5 682 000,00</w:t>
            </w:r>
          </w:p>
        </w:tc>
      </w:tr>
      <w:tr w:rsidR="00C50027" w:rsidRPr="00C71E6A" w:rsidTr="00C50027">
        <w:trPr>
          <w:trHeight w:val="34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Обсяг задоволених заявок</w:t>
            </w: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3 871 268 000,00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2 132 693 000,00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1 806 326 000,00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1 528 785 000,00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207 568 000,00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286 617 000,00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38 106 000,00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500 000,00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7 019 000,00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5 682 000,00</w:t>
            </w:r>
          </w:p>
        </w:tc>
      </w:tr>
      <w:tr w:rsidR="00C50027" w:rsidRPr="00C71E6A" w:rsidTr="00C50027">
        <w:trPr>
          <w:trHeight w:val="34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 xml:space="preserve">Загальний обсяг випуску </w:t>
            </w: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6 434 179 000,00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6 318 504 000,00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2 693 806 000,00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2 241 448 000,00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207 568 000,00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330 000 000,00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286 617 000,00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231 069 000,00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322 854 000,00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360 757 000,00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70 182 000,00</w:t>
            </w:r>
          </w:p>
        </w:tc>
      </w:tr>
      <w:tr w:rsidR="00C50027" w:rsidRPr="00C71E6A" w:rsidTr="00C50027">
        <w:trPr>
          <w:trHeight w:val="255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15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8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12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</w:t>
            </w:r>
          </w:p>
        </w:tc>
      </w:tr>
      <w:tr w:rsidR="00C50027" w:rsidRPr="00C71E6A" w:rsidTr="00C50027">
        <w:trPr>
          <w:trHeight w:val="255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15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9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12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</w:t>
            </w:r>
          </w:p>
        </w:tc>
      </w:tr>
      <w:tr w:rsidR="00C50027" w:rsidRPr="00C71E6A" w:rsidTr="00C50027">
        <w:trPr>
          <w:trHeight w:val="255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20,50%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6,70%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4,50%</w:t>
            </w:r>
          </w:p>
        </w:tc>
      </w:tr>
      <w:tr w:rsidR="00C50027" w:rsidRPr="00C71E6A" w:rsidTr="00C50027">
        <w:trPr>
          <w:trHeight w:val="255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19,49%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18,95%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18,90%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18,45%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17,00%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6,70%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4,50%</w:t>
            </w:r>
          </w:p>
        </w:tc>
      </w:tr>
      <w:tr w:rsidR="00C50027" w:rsidRPr="00C71E6A" w:rsidTr="00C50027">
        <w:trPr>
          <w:trHeight w:val="255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6,70%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4,50%</w:t>
            </w:r>
          </w:p>
        </w:tc>
      </w:tr>
      <w:tr w:rsidR="00C50027" w:rsidRPr="00C71E6A" w:rsidTr="00C50027">
        <w:trPr>
          <w:trHeight w:val="255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19,50%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18,98%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18,96%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18,47%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0,00%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6,50%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6,70%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7,25%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4,50%</w:t>
            </w:r>
          </w:p>
        </w:tc>
      </w:tr>
      <w:tr w:rsidR="00C50027" w:rsidRPr="00C71E6A" w:rsidTr="00C50027">
        <w:trPr>
          <w:trHeight w:val="630"/>
        </w:trPr>
        <w:tc>
          <w:tcPr>
            <w:tcW w:w="729" w:type="pct"/>
            <w:shd w:val="clear" w:color="000000" w:fill="FFFFFF"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C71E6A">
              <w:rPr>
                <w:rFonts w:eastAsia="Times New Roman"/>
                <w:color w:val="000000"/>
                <w:sz w:val="12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3 691 796 490,24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1 974 604 991,16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1 806 019 848,00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1 338 787 600,20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175 279 598,28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285 590 911,14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37 590 425,82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487 560,00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7 030 721,73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9C1D76" w:rsidRPr="00C71E6A" w:rsidRDefault="009C1D76" w:rsidP="009C1D76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C71E6A">
              <w:rPr>
                <w:rFonts w:eastAsia="Times New Roman"/>
                <w:sz w:val="12"/>
                <w:szCs w:val="22"/>
                <w:lang w:val="uk-UA" w:eastAsia="uk-UA"/>
              </w:rPr>
              <w:t>5 633 362,08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 w:rsidRPr="00CB05E2"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CB05E2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9-01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04843">
            <w:rPr>
              <w:sz w:val="28"/>
              <w:szCs w:val="28"/>
              <w:lang w:val="uk-UA"/>
            </w:rPr>
            <w:t>29 січня 2019 року</w:t>
          </w:r>
        </w:sdtContent>
      </w:sdt>
      <w:r w:rsidRPr="00CB05E2">
        <w:rPr>
          <w:sz w:val="28"/>
          <w:szCs w:val="28"/>
          <w:lang w:val="uk-UA"/>
        </w:rPr>
        <w:t>, до державного бюджету залучено</w:t>
      </w:r>
      <w:r w:rsidR="00472D2C" w:rsidRPr="00CB05E2">
        <w:rPr>
          <w:sz w:val="28"/>
          <w:szCs w:val="28"/>
          <w:lang w:val="uk-UA"/>
        </w:rPr>
        <w:t xml:space="preserve"> </w:t>
      </w:r>
      <w:r w:rsidR="00981D5B" w:rsidRPr="003A15FE">
        <w:rPr>
          <w:sz w:val="28"/>
          <w:szCs w:val="28"/>
          <w:lang w:val="uk-UA"/>
        </w:rPr>
        <w:t>1</w:t>
      </w:r>
      <w:r w:rsidR="00C37DF0" w:rsidRPr="003A15FE">
        <w:rPr>
          <w:sz w:val="28"/>
          <w:szCs w:val="28"/>
          <w:lang w:val="uk-UA"/>
        </w:rPr>
        <w:t>8</w:t>
      </w:r>
      <w:r w:rsidR="003A15FE" w:rsidRPr="003A15FE">
        <w:rPr>
          <w:sz w:val="28"/>
          <w:szCs w:val="28"/>
          <w:lang w:val="uk-UA"/>
        </w:rPr>
        <w:t> 355 413 717,19 </w:t>
      </w:r>
      <w:r w:rsidRPr="003A15FE">
        <w:rPr>
          <w:sz w:val="28"/>
          <w:szCs w:val="28"/>
          <w:lang w:val="uk-UA"/>
        </w:rPr>
        <w:t>гривень</w:t>
      </w:r>
      <w:r w:rsidR="009A7721" w:rsidRPr="003A15FE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981D5B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981D5B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2C" w:rsidRDefault="00B3752C" w:rsidP="009014ED">
      <w:r>
        <w:separator/>
      </w:r>
    </w:p>
  </w:endnote>
  <w:endnote w:type="continuationSeparator" w:id="0">
    <w:p w:rsidR="00B3752C" w:rsidRDefault="00B3752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2C" w:rsidRDefault="00B3752C" w:rsidP="009014ED">
      <w:r>
        <w:separator/>
      </w:r>
    </w:p>
  </w:footnote>
  <w:footnote w:type="continuationSeparator" w:id="0">
    <w:p w:rsidR="00B3752C" w:rsidRDefault="00B3752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D63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295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52C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1DB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2FC3"/>
    <w:rsid w:val="00212F9A"/>
    <w:rsid w:val="003F16EC"/>
    <w:rsid w:val="003F56A0"/>
    <w:rsid w:val="00754DC3"/>
    <w:rsid w:val="008505B0"/>
    <w:rsid w:val="00B3787D"/>
    <w:rsid w:val="00CF4146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8EBD60-DB33-457B-AA20-FD53188E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</Characters>
  <Application>Microsoft Office Word</Application>
  <DocSecurity>4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2019-01-29T13:54:00Z</cp:lastPrinted>
  <dcterms:created xsi:type="dcterms:W3CDTF">2019-07-10T14:00:00Z</dcterms:created>
  <dcterms:modified xsi:type="dcterms:W3CDTF">2019-07-10T14:00:00Z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