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411BE" w14:textId="77777777" w:rsidR="0083126D" w:rsidRPr="00FF0EDF" w:rsidRDefault="00FF0EDF">
      <w:pPr>
        <w:pStyle w:val="a3"/>
        <w:ind w:left="114"/>
        <w:rPr>
          <w:sz w:val="20"/>
          <w:lang w:val="uk-UA"/>
        </w:rPr>
      </w:pPr>
      <w:r>
        <w:rPr>
          <w:sz w:val="20"/>
          <w:lang w:val="uk-UA"/>
        </w:rPr>
        <w:t xml:space="preserve">    </w:t>
      </w:r>
      <w:r>
        <w:rPr>
          <w:rFonts w:ascii="Arial" w:eastAsiaTheme="minorHAnsi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6AF63E6A" wp14:editId="03C552D6">
            <wp:extent cx="2726690" cy="676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lang w:val="uk-UA"/>
        </w:rPr>
        <w:t xml:space="preserve">         </w:t>
      </w:r>
      <w:r>
        <w:rPr>
          <w:rFonts w:ascii="Arial" w:eastAsiaTheme="minorHAnsi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440785A1" wp14:editId="6F9E3991">
            <wp:extent cx="288798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977C5" w14:textId="77777777" w:rsidR="0083126D" w:rsidRDefault="0083126D">
      <w:pPr>
        <w:pStyle w:val="a3"/>
        <w:spacing w:before="3"/>
        <w:rPr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8"/>
      </w:tblGrid>
      <w:tr w:rsidR="00972861" w:rsidRPr="00C25F95" w14:paraId="1E868D05" w14:textId="77777777">
        <w:trPr>
          <w:trHeight w:val="727"/>
        </w:trPr>
        <w:tc>
          <w:tcPr>
            <w:tcW w:w="4818" w:type="dxa"/>
          </w:tcPr>
          <w:p w14:paraId="6514A0EC" w14:textId="6E8D31A1" w:rsidR="00972861" w:rsidRPr="00C25F95" w:rsidRDefault="00972861" w:rsidP="00972861">
            <w:pPr>
              <w:pStyle w:val="TableParagraph"/>
              <w:spacing w:before="84"/>
              <w:ind w:left="916" w:right="884" w:firstLine="112"/>
              <w:jc w:val="center"/>
              <w:rPr>
                <w:b/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>Public Finance Management Sector Working Group</w:t>
            </w:r>
          </w:p>
        </w:tc>
        <w:tc>
          <w:tcPr>
            <w:tcW w:w="4818" w:type="dxa"/>
          </w:tcPr>
          <w:p w14:paraId="636E6E33" w14:textId="77777777" w:rsidR="00972861" w:rsidRPr="00DF3E9D" w:rsidRDefault="00972861" w:rsidP="00972861">
            <w:pPr>
              <w:pStyle w:val="TableParagraph"/>
              <w:spacing w:before="84"/>
              <w:jc w:val="center"/>
              <w:rPr>
                <w:b/>
                <w:sz w:val="20"/>
                <w:szCs w:val="20"/>
                <w:lang w:val="uk-UA"/>
              </w:rPr>
            </w:pPr>
            <w:r w:rsidRPr="00DF3E9D">
              <w:rPr>
                <w:b/>
                <w:sz w:val="20"/>
                <w:szCs w:val="20"/>
                <w:lang w:val="uk-UA"/>
              </w:rPr>
              <w:t>Міжвідомча робоча група питань розвитку системи управління державними фінансами України</w:t>
            </w:r>
          </w:p>
        </w:tc>
      </w:tr>
      <w:tr w:rsidR="00972861" w14:paraId="08440426" w14:textId="77777777">
        <w:trPr>
          <w:trHeight w:val="230"/>
        </w:trPr>
        <w:tc>
          <w:tcPr>
            <w:tcW w:w="4818" w:type="dxa"/>
          </w:tcPr>
          <w:p w14:paraId="2ADCC146" w14:textId="77777777" w:rsidR="00972861" w:rsidRPr="00C25F95" w:rsidRDefault="00972861" w:rsidP="00972861">
            <w:pPr>
              <w:pStyle w:val="TableParagraph"/>
              <w:spacing w:line="210" w:lineRule="exact"/>
              <w:ind w:left="1399"/>
              <w:jc w:val="left"/>
              <w:rPr>
                <w:sz w:val="20"/>
                <w:szCs w:val="20"/>
              </w:rPr>
            </w:pPr>
            <w:r w:rsidRPr="00C25F95">
              <w:rPr>
                <w:sz w:val="20"/>
                <w:szCs w:val="20"/>
              </w:rPr>
              <w:t>Minutes of the meeting</w:t>
            </w:r>
          </w:p>
        </w:tc>
        <w:tc>
          <w:tcPr>
            <w:tcW w:w="4818" w:type="dxa"/>
          </w:tcPr>
          <w:p w14:paraId="71EF66B4" w14:textId="77777777" w:rsidR="00972861" w:rsidRPr="00DF3E9D" w:rsidRDefault="00972861" w:rsidP="00972861">
            <w:pPr>
              <w:pStyle w:val="TableParagraph"/>
              <w:spacing w:line="210" w:lineRule="exact"/>
              <w:ind w:left="1595"/>
              <w:jc w:val="left"/>
              <w:rPr>
                <w:sz w:val="20"/>
                <w:szCs w:val="20"/>
                <w:lang w:val="uk-UA"/>
              </w:rPr>
            </w:pPr>
            <w:r w:rsidRPr="00DF3E9D">
              <w:rPr>
                <w:sz w:val="20"/>
                <w:szCs w:val="20"/>
                <w:lang w:val="uk-UA"/>
              </w:rPr>
              <w:t>Протокол зустрічі</w:t>
            </w:r>
          </w:p>
        </w:tc>
      </w:tr>
      <w:tr w:rsidR="00972861" w14:paraId="5E482221" w14:textId="77777777">
        <w:trPr>
          <w:trHeight w:val="438"/>
        </w:trPr>
        <w:tc>
          <w:tcPr>
            <w:tcW w:w="4818" w:type="dxa"/>
          </w:tcPr>
          <w:p w14:paraId="345FE9EA" w14:textId="77777777" w:rsidR="00972861" w:rsidRPr="00C25F95" w:rsidRDefault="00972861" w:rsidP="00972861">
            <w:pPr>
              <w:pStyle w:val="TableParagraph"/>
              <w:spacing w:before="102"/>
              <w:ind w:left="1041"/>
              <w:jc w:val="left"/>
              <w:rPr>
                <w:sz w:val="20"/>
                <w:szCs w:val="20"/>
              </w:rPr>
            </w:pPr>
            <w:r w:rsidRPr="00C25F95">
              <w:rPr>
                <w:sz w:val="20"/>
                <w:szCs w:val="20"/>
              </w:rPr>
              <w:t>22 September 2020, 16.00 – 17.30</w:t>
            </w:r>
          </w:p>
        </w:tc>
        <w:tc>
          <w:tcPr>
            <w:tcW w:w="4818" w:type="dxa"/>
          </w:tcPr>
          <w:p w14:paraId="5E9D941E" w14:textId="77777777" w:rsidR="00972861" w:rsidRPr="00DF3E9D" w:rsidRDefault="00972861" w:rsidP="00972861">
            <w:pPr>
              <w:pStyle w:val="TableParagraph"/>
              <w:spacing w:before="102"/>
              <w:ind w:left="794"/>
              <w:jc w:val="left"/>
              <w:rPr>
                <w:sz w:val="20"/>
                <w:szCs w:val="20"/>
                <w:lang w:val="uk-UA"/>
              </w:rPr>
            </w:pPr>
            <w:r w:rsidRPr="00DF3E9D">
              <w:rPr>
                <w:sz w:val="20"/>
                <w:szCs w:val="20"/>
                <w:lang w:val="uk-UA"/>
              </w:rPr>
              <w:t>22 вересня 2020 року, 16.00 – 17.30</w:t>
            </w:r>
          </w:p>
        </w:tc>
      </w:tr>
      <w:tr w:rsidR="00972861" w14:paraId="7D4701E3" w14:textId="77777777">
        <w:trPr>
          <w:trHeight w:val="417"/>
        </w:trPr>
        <w:tc>
          <w:tcPr>
            <w:tcW w:w="4818" w:type="dxa"/>
          </w:tcPr>
          <w:p w14:paraId="10524706" w14:textId="77777777" w:rsidR="00972861" w:rsidRPr="00C25F95" w:rsidRDefault="00972861" w:rsidP="00972861">
            <w:pPr>
              <w:pStyle w:val="TableParagraph"/>
              <w:spacing w:before="93"/>
              <w:ind w:left="1569" w:right="1745"/>
              <w:jc w:val="center"/>
              <w:rPr>
                <w:sz w:val="20"/>
                <w:szCs w:val="20"/>
              </w:rPr>
            </w:pPr>
            <w:r w:rsidRPr="00C25F95">
              <w:rPr>
                <w:sz w:val="20"/>
                <w:szCs w:val="20"/>
              </w:rPr>
              <w:t>Venue: Online</w:t>
            </w:r>
          </w:p>
        </w:tc>
        <w:tc>
          <w:tcPr>
            <w:tcW w:w="4818" w:type="dxa"/>
          </w:tcPr>
          <w:p w14:paraId="3F7B6E65" w14:textId="77777777" w:rsidR="00972861" w:rsidRPr="00DF3E9D" w:rsidRDefault="00972861" w:rsidP="00972861">
            <w:pPr>
              <w:pStyle w:val="TableParagraph"/>
              <w:spacing w:before="93"/>
              <w:ind w:left="1147"/>
              <w:jc w:val="left"/>
              <w:rPr>
                <w:sz w:val="20"/>
                <w:szCs w:val="20"/>
                <w:lang w:val="uk-UA"/>
              </w:rPr>
            </w:pPr>
            <w:r w:rsidRPr="00DF3E9D">
              <w:rPr>
                <w:sz w:val="20"/>
                <w:szCs w:val="20"/>
                <w:lang w:val="uk-UA"/>
              </w:rPr>
              <w:t>Місце проведення: Онлайн</w:t>
            </w:r>
          </w:p>
        </w:tc>
      </w:tr>
      <w:tr w:rsidR="00972861" w14:paraId="204151B2" w14:textId="77777777">
        <w:trPr>
          <w:trHeight w:val="230"/>
        </w:trPr>
        <w:tc>
          <w:tcPr>
            <w:tcW w:w="4818" w:type="dxa"/>
          </w:tcPr>
          <w:p w14:paraId="28206291" w14:textId="77777777" w:rsidR="00972861" w:rsidRPr="00C25F95" w:rsidRDefault="00972861" w:rsidP="00972861">
            <w:pPr>
              <w:pStyle w:val="TableParagraph"/>
              <w:spacing w:line="210" w:lineRule="exact"/>
              <w:jc w:val="left"/>
              <w:rPr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 xml:space="preserve">Meeting agenda </w:t>
            </w:r>
            <w:r w:rsidRPr="00C25F95">
              <w:rPr>
                <w:sz w:val="20"/>
                <w:szCs w:val="20"/>
              </w:rPr>
              <w:t>(Annex 1)</w:t>
            </w:r>
          </w:p>
        </w:tc>
        <w:tc>
          <w:tcPr>
            <w:tcW w:w="4818" w:type="dxa"/>
          </w:tcPr>
          <w:p w14:paraId="7D722D50" w14:textId="77777777" w:rsidR="00972861" w:rsidRPr="00DF3E9D" w:rsidRDefault="00972861" w:rsidP="00972861">
            <w:pPr>
              <w:pStyle w:val="TableParagraph"/>
              <w:spacing w:line="210" w:lineRule="exact"/>
              <w:jc w:val="left"/>
              <w:rPr>
                <w:sz w:val="20"/>
                <w:szCs w:val="20"/>
                <w:lang w:val="uk-UA"/>
              </w:rPr>
            </w:pPr>
            <w:r w:rsidRPr="00DF3E9D">
              <w:rPr>
                <w:b/>
                <w:sz w:val="20"/>
                <w:szCs w:val="20"/>
                <w:lang w:val="uk-UA"/>
              </w:rPr>
              <w:t xml:space="preserve">Порядок денний зустрічі </w:t>
            </w:r>
            <w:r w:rsidRPr="00DF3E9D">
              <w:rPr>
                <w:sz w:val="20"/>
                <w:szCs w:val="20"/>
                <w:lang w:val="uk-UA"/>
              </w:rPr>
              <w:t>(додаток 1)</w:t>
            </w:r>
          </w:p>
        </w:tc>
      </w:tr>
      <w:tr w:rsidR="00972861" w14:paraId="6042C257" w14:textId="77777777">
        <w:trPr>
          <w:trHeight w:val="265"/>
        </w:trPr>
        <w:tc>
          <w:tcPr>
            <w:tcW w:w="4818" w:type="dxa"/>
          </w:tcPr>
          <w:p w14:paraId="04E7E86B" w14:textId="77777777" w:rsidR="00972861" w:rsidRPr="00C25F95" w:rsidRDefault="00972861" w:rsidP="00972861">
            <w:pPr>
              <w:pStyle w:val="TableParagraph"/>
              <w:spacing w:line="227" w:lineRule="exact"/>
              <w:jc w:val="left"/>
              <w:rPr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 xml:space="preserve">List of participants </w:t>
            </w:r>
            <w:r w:rsidRPr="00C25F95">
              <w:rPr>
                <w:sz w:val="20"/>
                <w:szCs w:val="20"/>
              </w:rPr>
              <w:t>(Annex 2)</w:t>
            </w:r>
          </w:p>
        </w:tc>
        <w:tc>
          <w:tcPr>
            <w:tcW w:w="4818" w:type="dxa"/>
          </w:tcPr>
          <w:p w14:paraId="4FCC00AD" w14:textId="77777777" w:rsidR="00972861" w:rsidRPr="00DF3E9D" w:rsidRDefault="00972861" w:rsidP="00972861">
            <w:pPr>
              <w:pStyle w:val="TableParagraph"/>
              <w:spacing w:line="227" w:lineRule="exact"/>
              <w:jc w:val="left"/>
              <w:rPr>
                <w:sz w:val="20"/>
                <w:szCs w:val="20"/>
                <w:lang w:val="uk-UA"/>
              </w:rPr>
            </w:pPr>
            <w:r w:rsidRPr="00DF3E9D">
              <w:rPr>
                <w:b/>
                <w:sz w:val="20"/>
                <w:szCs w:val="20"/>
                <w:lang w:val="uk-UA"/>
              </w:rPr>
              <w:t xml:space="preserve">Список учасників </w:t>
            </w:r>
            <w:r w:rsidRPr="00DF3E9D">
              <w:rPr>
                <w:sz w:val="20"/>
                <w:szCs w:val="20"/>
                <w:lang w:val="uk-UA"/>
              </w:rPr>
              <w:t>(додаток 2)</w:t>
            </w:r>
          </w:p>
        </w:tc>
      </w:tr>
      <w:tr w:rsidR="00972861" w:rsidRPr="00C25F95" w14:paraId="76386BD1" w14:textId="77777777">
        <w:trPr>
          <w:trHeight w:val="1380"/>
        </w:trPr>
        <w:tc>
          <w:tcPr>
            <w:tcW w:w="4818" w:type="dxa"/>
          </w:tcPr>
          <w:p w14:paraId="6FA501BE" w14:textId="27A9DFE6" w:rsidR="00972861" w:rsidRPr="00C25F95" w:rsidRDefault="00972861" w:rsidP="00972861">
            <w:pPr>
              <w:pStyle w:val="TableParagraph"/>
              <w:ind w:right="92"/>
              <w:rPr>
                <w:sz w:val="20"/>
                <w:szCs w:val="20"/>
              </w:rPr>
            </w:pPr>
            <w:r w:rsidRPr="00C25F95">
              <w:rPr>
                <w:b/>
                <w:i/>
                <w:sz w:val="20"/>
                <w:szCs w:val="20"/>
              </w:rPr>
              <w:t>Summary:</w:t>
            </w:r>
            <w:r w:rsidRPr="00C25F95">
              <w:rPr>
                <w:b/>
                <w:sz w:val="20"/>
                <w:szCs w:val="20"/>
              </w:rPr>
              <w:t xml:space="preserve"> </w:t>
            </w:r>
            <w:r w:rsidRPr="00C25F95">
              <w:rPr>
                <w:sz w:val="20"/>
                <w:szCs w:val="20"/>
              </w:rPr>
              <w:t>Participants of the meeting supported:</w:t>
            </w:r>
          </w:p>
          <w:p w14:paraId="0C8F6256" w14:textId="4AAF7590" w:rsidR="000B50BC" w:rsidRPr="00C25F95" w:rsidRDefault="00516071" w:rsidP="00972861">
            <w:pPr>
              <w:pStyle w:val="TableParagraph"/>
              <w:ind w:left="152" w:right="92"/>
              <w:rPr>
                <w:sz w:val="20"/>
                <w:szCs w:val="20"/>
              </w:rPr>
            </w:pPr>
            <w:r w:rsidRPr="00C25F95">
              <w:rPr>
                <w:sz w:val="20"/>
                <w:szCs w:val="20"/>
              </w:rPr>
              <w:t xml:space="preserve">- </w:t>
            </w:r>
            <w:r w:rsidR="00C25F95" w:rsidRPr="00C25F95">
              <w:rPr>
                <w:sz w:val="20"/>
                <w:szCs w:val="20"/>
              </w:rPr>
              <w:t xml:space="preserve">Finalization </w:t>
            </w:r>
            <w:r w:rsidR="000B50BC" w:rsidRPr="00C25F95">
              <w:rPr>
                <w:sz w:val="20"/>
                <w:szCs w:val="20"/>
              </w:rPr>
              <w:t xml:space="preserve">of the </w:t>
            </w:r>
            <w:r w:rsidR="006B6DA5" w:rsidRPr="00C25F95">
              <w:rPr>
                <w:sz w:val="20"/>
                <w:szCs w:val="20"/>
              </w:rPr>
              <w:t>draft PFM Reform Strategy</w:t>
            </w:r>
            <w:r w:rsidR="000B50BC" w:rsidRPr="00C25F95">
              <w:rPr>
                <w:sz w:val="20"/>
                <w:szCs w:val="20"/>
              </w:rPr>
              <w:t xml:space="preserve"> 2021-2024 in </w:t>
            </w:r>
            <w:r w:rsidR="00267B21" w:rsidRPr="00C25F95">
              <w:rPr>
                <w:sz w:val="20"/>
                <w:szCs w:val="20"/>
              </w:rPr>
              <w:t xml:space="preserve">the </w:t>
            </w:r>
            <w:r w:rsidR="000B50BC" w:rsidRPr="00C25F95">
              <w:rPr>
                <w:sz w:val="20"/>
                <w:szCs w:val="20"/>
              </w:rPr>
              <w:t>thematic subgroups based on the consolidated matrix of comments;</w:t>
            </w:r>
          </w:p>
          <w:p w14:paraId="425B68DB" w14:textId="40188D35" w:rsidR="00972861" w:rsidRPr="00C25F95" w:rsidRDefault="00972861" w:rsidP="00C25F95">
            <w:pPr>
              <w:pStyle w:val="TableParagraph"/>
              <w:ind w:right="92"/>
            </w:pPr>
            <w:r w:rsidRPr="00C25F95">
              <w:rPr>
                <w:sz w:val="20"/>
                <w:szCs w:val="20"/>
              </w:rPr>
              <w:t>-</w:t>
            </w:r>
            <w:r w:rsidR="00516071" w:rsidRPr="00C25F95">
              <w:rPr>
                <w:sz w:val="20"/>
                <w:szCs w:val="20"/>
              </w:rPr>
              <w:t xml:space="preserve"> </w:t>
            </w:r>
            <w:r w:rsidRPr="00C25F95">
              <w:rPr>
                <w:sz w:val="20"/>
                <w:szCs w:val="20"/>
              </w:rPr>
              <w:t xml:space="preserve">The need to update </w:t>
            </w:r>
            <w:r w:rsidR="00C25F95" w:rsidRPr="00C25F95">
              <w:rPr>
                <w:sz w:val="20"/>
                <w:szCs w:val="20"/>
              </w:rPr>
              <w:t xml:space="preserve">the Matrix of </w:t>
            </w:r>
            <w:r w:rsidRPr="00C25F95">
              <w:rPr>
                <w:sz w:val="20"/>
                <w:szCs w:val="20"/>
              </w:rPr>
              <w:t>PFM priorities</w:t>
            </w:r>
            <w:r w:rsidR="00C25F95" w:rsidRPr="00C25F95">
              <w:rPr>
                <w:sz w:val="20"/>
                <w:szCs w:val="20"/>
              </w:rPr>
              <w:t xml:space="preserve"> that require </w:t>
            </w:r>
            <w:r w:rsidRPr="00C25F95">
              <w:rPr>
                <w:sz w:val="20"/>
                <w:szCs w:val="20"/>
              </w:rPr>
              <w:t xml:space="preserve">support </w:t>
            </w:r>
            <w:r w:rsidR="00C25F95" w:rsidRPr="00C25F95">
              <w:rPr>
                <w:sz w:val="20"/>
                <w:szCs w:val="20"/>
              </w:rPr>
              <w:t xml:space="preserve">from development </w:t>
            </w:r>
            <w:proofErr w:type="gramStart"/>
            <w:r w:rsidR="00C25F95" w:rsidRPr="00C25F95">
              <w:rPr>
                <w:sz w:val="20"/>
                <w:szCs w:val="20"/>
              </w:rPr>
              <w:t>partners</w:t>
            </w:r>
            <w:proofErr w:type="gramEnd"/>
            <w:r w:rsidR="00C25F95">
              <w:rPr>
                <w:sz w:val="20"/>
                <w:szCs w:val="20"/>
              </w:rPr>
              <w:t xml:space="preserve"> (DPs)</w:t>
            </w:r>
            <w:r w:rsidRPr="00C25F95">
              <w:rPr>
                <w:sz w:val="20"/>
                <w:szCs w:val="20"/>
              </w:rPr>
              <w:t>.</w:t>
            </w:r>
          </w:p>
        </w:tc>
        <w:tc>
          <w:tcPr>
            <w:tcW w:w="4818" w:type="dxa"/>
          </w:tcPr>
          <w:p w14:paraId="232CEE52" w14:textId="342DC310" w:rsidR="00267B21" w:rsidRPr="00DF3E9D" w:rsidRDefault="00267B21" w:rsidP="00267B21">
            <w:pPr>
              <w:pStyle w:val="TableParagraph"/>
              <w:ind w:right="96"/>
              <w:rPr>
                <w:b/>
                <w:i/>
                <w:spacing w:val="-14"/>
                <w:sz w:val="20"/>
                <w:szCs w:val="20"/>
                <w:lang w:val="uk-UA"/>
              </w:rPr>
            </w:pPr>
            <w:r w:rsidRPr="00DF3E9D">
              <w:rPr>
                <w:b/>
                <w:i/>
                <w:sz w:val="20"/>
                <w:szCs w:val="20"/>
                <w:lang w:val="uk-UA"/>
              </w:rPr>
              <w:t>Резюме:</w:t>
            </w:r>
            <w:r w:rsidRPr="00DF3E9D">
              <w:rPr>
                <w:b/>
                <w:i/>
                <w:spacing w:val="-14"/>
                <w:sz w:val="20"/>
                <w:szCs w:val="20"/>
                <w:lang w:val="uk-UA"/>
              </w:rPr>
              <w:t xml:space="preserve"> </w:t>
            </w:r>
            <w:r w:rsidRPr="00DF3E9D">
              <w:rPr>
                <w:spacing w:val="-14"/>
                <w:sz w:val="20"/>
                <w:szCs w:val="20"/>
                <w:lang w:val="uk-UA"/>
              </w:rPr>
              <w:t>Учасники зустрічі підтримали:</w:t>
            </w:r>
            <w:r w:rsidRPr="00DF3E9D">
              <w:rPr>
                <w:b/>
                <w:i/>
                <w:spacing w:val="-14"/>
                <w:sz w:val="20"/>
                <w:szCs w:val="20"/>
                <w:lang w:val="uk-UA"/>
              </w:rPr>
              <w:t xml:space="preserve"> </w:t>
            </w:r>
          </w:p>
          <w:p w14:paraId="0DBF9223" w14:textId="77777777" w:rsidR="00267B21" w:rsidRPr="00F451DA" w:rsidRDefault="00267B21" w:rsidP="00267B21">
            <w:pPr>
              <w:pStyle w:val="TableParagraph"/>
              <w:ind w:right="96"/>
              <w:rPr>
                <w:sz w:val="20"/>
                <w:szCs w:val="20"/>
              </w:rPr>
            </w:pPr>
            <w:r w:rsidRPr="00DF3E9D">
              <w:rPr>
                <w:b/>
                <w:i/>
                <w:spacing w:val="-14"/>
                <w:sz w:val="20"/>
                <w:szCs w:val="20"/>
                <w:lang w:val="uk-UA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Подальше</w:t>
            </w:r>
            <w:r w:rsidRPr="00DF3E9D">
              <w:rPr>
                <w:sz w:val="20"/>
                <w:szCs w:val="20"/>
                <w:lang w:val="uk-UA"/>
              </w:rPr>
              <w:t xml:space="preserve"> доопрацювання проекту Стратегії реформування системи управління державними фінансами на 2021-2024 роки у тематичних підгрупах</w:t>
            </w:r>
            <w:r>
              <w:rPr>
                <w:sz w:val="20"/>
                <w:szCs w:val="20"/>
                <w:lang w:val="uk-UA"/>
              </w:rPr>
              <w:t xml:space="preserve"> на основі консолідованої матриці коментарів</w:t>
            </w:r>
            <w:r w:rsidRPr="00DF3E9D">
              <w:rPr>
                <w:sz w:val="20"/>
                <w:szCs w:val="20"/>
                <w:lang w:val="uk-UA"/>
              </w:rPr>
              <w:t>;</w:t>
            </w:r>
          </w:p>
          <w:p w14:paraId="67CE73AC" w14:textId="09561419" w:rsidR="00972861" w:rsidRPr="00DF3E9D" w:rsidRDefault="00267B21" w:rsidP="00267B21">
            <w:pPr>
              <w:pStyle w:val="TableParagraph"/>
              <w:ind w:right="96"/>
              <w:rPr>
                <w:sz w:val="20"/>
                <w:szCs w:val="20"/>
                <w:lang w:val="uk-UA"/>
              </w:rPr>
            </w:pPr>
            <w:r w:rsidRPr="00DF3E9D">
              <w:rPr>
                <w:sz w:val="20"/>
                <w:szCs w:val="20"/>
                <w:lang w:val="uk-UA"/>
              </w:rPr>
              <w:t>- Необхідність оновлення матриці пріоритетів у сфері управління державними фінансами, які потребують підтримки партнерів з розвитку.</w:t>
            </w:r>
          </w:p>
        </w:tc>
      </w:tr>
      <w:tr w:rsidR="00972861" w:rsidRPr="00C25F95" w14:paraId="0951A435" w14:textId="77777777">
        <w:trPr>
          <w:trHeight w:val="1838"/>
        </w:trPr>
        <w:tc>
          <w:tcPr>
            <w:tcW w:w="4818" w:type="dxa"/>
          </w:tcPr>
          <w:p w14:paraId="6D8D2510" w14:textId="555BD87E" w:rsidR="006B6DA5" w:rsidRPr="00C25F95" w:rsidRDefault="00972861" w:rsidP="00C25F95">
            <w:pPr>
              <w:pStyle w:val="TableParagraph"/>
              <w:ind w:right="95"/>
              <w:rPr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 xml:space="preserve">1. Mr. Denys </w:t>
            </w:r>
            <w:proofErr w:type="spellStart"/>
            <w:r w:rsidRPr="00C25F95">
              <w:rPr>
                <w:b/>
                <w:sz w:val="20"/>
                <w:szCs w:val="20"/>
              </w:rPr>
              <w:t>Ulyutin</w:t>
            </w:r>
            <w:proofErr w:type="spellEnd"/>
            <w:r w:rsidRPr="00C25F95">
              <w:rPr>
                <w:b/>
                <w:sz w:val="20"/>
                <w:szCs w:val="20"/>
              </w:rPr>
              <w:t xml:space="preserve">, First Deputy Finance Minister of Ukraine, Chair, </w:t>
            </w:r>
            <w:r w:rsidRPr="00C25F95">
              <w:rPr>
                <w:sz w:val="20"/>
                <w:szCs w:val="20"/>
              </w:rPr>
              <w:t xml:space="preserve">opened the meeting and thanked the </w:t>
            </w:r>
            <w:r w:rsidR="00C25F95">
              <w:rPr>
                <w:sz w:val="20"/>
                <w:szCs w:val="20"/>
              </w:rPr>
              <w:t xml:space="preserve">DPs </w:t>
            </w:r>
            <w:r w:rsidRPr="00C25F95">
              <w:rPr>
                <w:sz w:val="20"/>
                <w:szCs w:val="20"/>
              </w:rPr>
              <w:t>for their support in develop</w:t>
            </w:r>
            <w:r w:rsidR="006B6DA5" w:rsidRPr="00C25F95">
              <w:rPr>
                <w:sz w:val="20"/>
                <w:szCs w:val="20"/>
              </w:rPr>
              <w:t>ing the PFM Reform Strategy</w:t>
            </w:r>
            <w:r w:rsidRPr="00C25F95">
              <w:rPr>
                <w:sz w:val="20"/>
                <w:szCs w:val="20"/>
              </w:rPr>
              <w:t xml:space="preserve">. </w:t>
            </w:r>
            <w:r w:rsidR="006B6DA5" w:rsidRPr="00C25F95">
              <w:rPr>
                <w:sz w:val="20"/>
                <w:szCs w:val="20"/>
              </w:rPr>
              <w:t xml:space="preserve">Mr. </w:t>
            </w:r>
            <w:proofErr w:type="spellStart"/>
            <w:r w:rsidR="006B6DA5" w:rsidRPr="00C25F95">
              <w:rPr>
                <w:sz w:val="20"/>
                <w:szCs w:val="20"/>
              </w:rPr>
              <w:t>Ulyutin</w:t>
            </w:r>
            <w:proofErr w:type="spellEnd"/>
            <w:r w:rsidR="006B6DA5" w:rsidRPr="00C25F95">
              <w:rPr>
                <w:sz w:val="20"/>
                <w:szCs w:val="20"/>
              </w:rPr>
              <w:t xml:space="preserve"> </w:t>
            </w:r>
            <w:r w:rsidR="00C25F95">
              <w:rPr>
                <w:sz w:val="20"/>
                <w:szCs w:val="20"/>
              </w:rPr>
              <w:t xml:space="preserve">emphasized </w:t>
            </w:r>
            <w:r w:rsidR="006B6DA5" w:rsidRPr="00C25F95">
              <w:rPr>
                <w:sz w:val="20"/>
                <w:szCs w:val="20"/>
              </w:rPr>
              <w:t>that this reform remains a priority for the Ministry of Finance, despite</w:t>
            </w:r>
            <w:r w:rsidR="00565015" w:rsidRPr="00C25F95">
              <w:rPr>
                <w:sz w:val="20"/>
                <w:szCs w:val="20"/>
              </w:rPr>
              <w:t xml:space="preserve"> the difficult times, and that </w:t>
            </w:r>
            <w:r w:rsidR="00C25F95">
              <w:rPr>
                <w:sz w:val="20"/>
                <w:szCs w:val="20"/>
              </w:rPr>
              <w:t>having a</w:t>
            </w:r>
            <w:r w:rsidR="006B6DA5" w:rsidRPr="00C25F95">
              <w:rPr>
                <w:sz w:val="20"/>
                <w:szCs w:val="20"/>
              </w:rPr>
              <w:t xml:space="preserve"> comprehensive, harmonized and realistic Strategy </w:t>
            </w:r>
            <w:r w:rsidR="00C47E34" w:rsidRPr="00C25F95">
              <w:rPr>
                <w:sz w:val="20"/>
                <w:szCs w:val="20"/>
              </w:rPr>
              <w:t>is more important than ever.</w:t>
            </w:r>
          </w:p>
        </w:tc>
        <w:tc>
          <w:tcPr>
            <w:tcW w:w="4818" w:type="dxa"/>
          </w:tcPr>
          <w:p w14:paraId="5AD3C5A1" w14:textId="5365286B" w:rsidR="006B6DA5" w:rsidRPr="00DF3E9D" w:rsidRDefault="00267B21" w:rsidP="00C47E34">
            <w:pPr>
              <w:pStyle w:val="TableParagraph"/>
              <w:ind w:right="94"/>
              <w:rPr>
                <w:sz w:val="20"/>
                <w:szCs w:val="20"/>
                <w:lang w:val="uk-UA"/>
              </w:rPr>
            </w:pPr>
            <w:r w:rsidRPr="00DF3E9D">
              <w:rPr>
                <w:b/>
                <w:sz w:val="20"/>
                <w:szCs w:val="20"/>
                <w:lang w:val="uk-UA"/>
              </w:rPr>
              <w:t>1.</w:t>
            </w:r>
            <w:r w:rsidRPr="00DF3E9D">
              <w:rPr>
                <w:b/>
                <w:spacing w:val="-3"/>
                <w:sz w:val="20"/>
                <w:szCs w:val="20"/>
                <w:lang w:val="uk-UA"/>
              </w:rPr>
              <w:t xml:space="preserve"> </w:t>
            </w:r>
            <w:r w:rsidRPr="00DF3E9D">
              <w:rPr>
                <w:b/>
                <w:sz w:val="20"/>
                <w:szCs w:val="20"/>
                <w:lang w:val="uk-UA"/>
              </w:rPr>
              <w:t xml:space="preserve">Денис </w:t>
            </w:r>
            <w:proofErr w:type="spellStart"/>
            <w:r w:rsidRPr="00DF3E9D">
              <w:rPr>
                <w:b/>
                <w:sz w:val="20"/>
                <w:szCs w:val="20"/>
                <w:lang w:val="uk-UA"/>
              </w:rPr>
              <w:t>Улютін</w:t>
            </w:r>
            <w:proofErr w:type="spellEnd"/>
            <w:r w:rsidRPr="00DF3E9D">
              <w:rPr>
                <w:b/>
                <w:sz w:val="20"/>
                <w:szCs w:val="20"/>
                <w:lang w:val="uk-UA"/>
              </w:rPr>
              <w:t>,</w:t>
            </w:r>
            <w:r w:rsidRPr="00DF3E9D">
              <w:rPr>
                <w:b/>
                <w:spacing w:val="-14"/>
                <w:sz w:val="20"/>
                <w:szCs w:val="20"/>
                <w:lang w:val="uk-UA"/>
              </w:rPr>
              <w:t xml:space="preserve"> Перший </w:t>
            </w:r>
            <w:r w:rsidRPr="00DF3E9D">
              <w:rPr>
                <w:b/>
                <w:sz w:val="20"/>
                <w:szCs w:val="20"/>
                <w:lang w:val="uk-UA"/>
              </w:rPr>
              <w:t>заступник</w:t>
            </w:r>
            <w:r w:rsidRPr="00DF3E9D">
              <w:rPr>
                <w:b/>
                <w:spacing w:val="-17"/>
                <w:sz w:val="20"/>
                <w:szCs w:val="20"/>
                <w:lang w:val="uk-UA"/>
              </w:rPr>
              <w:t xml:space="preserve"> </w:t>
            </w:r>
            <w:r w:rsidRPr="00DF3E9D">
              <w:rPr>
                <w:b/>
                <w:sz w:val="20"/>
                <w:szCs w:val="20"/>
                <w:lang w:val="uk-UA"/>
              </w:rPr>
              <w:t>Міністра фінансів України,</w:t>
            </w:r>
            <w:r w:rsidRPr="00DF3E9D">
              <w:rPr>
                <w:b/>
                <w:spacing w:val="-17"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pacing w:val="-17"/>
                <w:sz w:val="20"/>
                <w:szCs w:val="20"/>
                <w:lang w:val="uk-UA"/>
              </w:rPr>
              <w:t>Г</w:t>
            </w:r>
            <w:r w:rsidRPr="00DF3E9D">
              <w:rPr>
                <w:b/>
                <w:sz w:val="20"/>
                <w:szCs w:val="20"/>
                <w:lang w:val="uk-UA"/>
              </w:rPr>
              <w:t>олова РГ,</w:t>
            </w:r>
            <w:r w:rsidRPr="00DF3E9D">
              <w:rPr>
                <w:sz w:val="20"/>
                <w:szCs w:val="20"/>
                <w:lang w:val="uk-UA"/>
              </w:rPr>
              <w:t xml:space="preserve"> відкрив засідання та подякував партнерам з розвитку за підтримку у розробці </w:t>
            </w:r>
            <w:r w:rsidR="00F86E2B">
              <w:rPr>
                <w:sz w:val="20"/>
                <w:szCs w:val="20"/>
                <w:lang w:val="uk-UA"/>
              </w:rPr>
              <w:t>Стратегії реформування</w:t>
            </w:r>
            <w:r w:rsidRPr="00DF3E9D">
              <w:rPr>
                <w:sz w:val="20"/>
                <w:szCs w:val="20"/>
                <w:lang w:val="uk-UA"/>
              </w:rPr>
              <w:t xml:space="preserve"> СУДФ. Пан </w:t>
            </w:r>
            <w:proofErr w:type="spellStart"/>
            <w:r w:rsidRPr="00DF3E9D">
              <w:rPr>
                <w:sz w:val="20"/>
                <w:szCs w:val="20"/>
                <w:lang w:val="uk-UA"/>
              </w:rPr>
              <w:t>Улютін</w:t>
            </w:r>
            <w:proofErr w:type="spellEnd"/>
            <w:r w:rsidRPr="00DF3E9D">
              <w:rPr>
                <w:sz w:val="20"/>
                <w:szCs w:val="20"/>
                <w:lang w:val="uk-UA"/>
              </w:rPr>
              <w:t xml:space="preserve"> наголосив, що </w:t>
            </w:r>
            <w:r>
              <w:rPr>
                <w:sz w:val="20"/>
                <w:szCs w:val="20"/>
                <w:lang w:val="uk-UA"/>
              </w:rPr>
              <w:t xml:space="preserve">ця реформа залишається пріоритетом для </w:t>
            </w:r>
            <w:r w:rsidRPr="00DF3E9D">
              <w:rPr>
                <w:sz w:val="20"/>
                <w:szCs w:val="20"/>
                <w:lang w:val="uk-UA"/>
              </w:rPr>
              <w:t>Міністерств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DF3E9D">
              <w:rPr>
                <w:sz w:val="20"/>
                <w:szCs w:val="20"/>
                <w:lang w:val="uk-UA"/>
              </w:rPr>
              <w:t xml:space="preserve"> фінансів, незважаючи на складний час</w:t>
            </w:r>
            <w:r>
              <w:rPr>
                <w:sz w:val="20"/>
                <w:szCs w:val="20"/>
                <w:lang w:val="uk-UA"/>
              </w:rPr>
              <w:t>, і наявність комплексної, гармонізованої та реалістичної стратегії є як ніколи важливою.</w:t>
            </w:r>
          </w:p>
        </w:tc>
      </w:tr>
      <w:tr w:rsidR="00972861" w:rsidRPr="00C25F95" w14:paraId="46D2978F" w14:textId="77777777">
        <w:trPr>
          <w:trHeight w:val="1840"/>
        </w:trPr>
        <w:tc>
          <w:tcPr>
            <w:tcW w:w="4818" w:type="dxa"/>
          </w:tcPr>
          <w:p w14:paraId="1C153C41" w14:textId="398348FC" w:rsidR="001B7D8D" w:rsidRPr="00C25F95" w:rsidRDefault="00972861" w:rsidP="00B15B9F">
            <w:pPr>
              <w:pStyle w:val="TableParagraph"/>
              <w:ind w:right="94"/>
            </w:pPr>
            <w:r w:rsidRPr="00C25F95">
              <w:rPr>
                <w:b/>
                <w:sz w:val="20"/>
                <w:szCs w:val="20"/>
              </w:rPr>
              <w:t>2. Mr. Xavier Camus, Head of Governance Section</w:t>
            </w:r>
            <w:r w:rsidR="00B15B9F">
              <w:rPr>
                <w:b/>
                <w:sz w:val="20"/>
                <w:szCs w:val="20"/>
              </w:rPr>
              <w:t>,</w:t>
            </w:r>
            <w:r w:rsidRPr="00C25F95">
              <w:rPr>
                <w:b/>
                <w:sz w:val="20"/>
                <w:szCs w:val="20"/>
              </w:rPr>
              <w:t xml:space="preserve"> </w:t>
            </w:r>
            <w:r w:rsidR="00C25F95">
              <w:rPr>
                <w:b/>
                <w:sz w:val="20"/>
                <w:szCs w:val="20"/>
              </w:rPr>
              <w:t xml:space="preserve">EU </w:t>
            </w:r>
            <w:r w:rsidRPr="00C25F95">
              <w:rPr>
                <w:b/>
                <w:sz w:val="20"/>
                <w:szCs w:val="20"/>
              </w:rPr>
              <w:t xml:space="preserve">Delegation to Ukraine, Co-Chair, </w:t>
            </w:r>
            <w:r w:rsidR="00C25F95">
              <w:rPr>
                <w:sz w:val="20"/>
                <w:szCs w:val="20"/>
              </w:rPr>
              <w:t>welcom</w:t>
            </w:r>
            <w:r w:rsidRPr="00C25F95">
              <w:rPr>
                <w:sz w:val="20"/>
                <w:szCs w:val="20"/>
              </w:rPr>
              <w:t xml:space="preserve">ed participants of the meeting and </w:t>
            </w:r>
            <w:r w:rsidR="00C25F95">
              <w:rPr>
                <w:sz w:val="20"/>
                <w:szCs w:val="20"/>
              </w:rPr>
              <w:t>under</w:t>
            </w:r>
            <w:r w:rsidRPr="00C25F95">
              <w:rPr>
                <w:sz w:val="20"/>
                <w:szCs w:val="20"/>
              </w:rPr>
              <w:t xml:space="preserve">lined the importance </w:t>
            </w:r>
            <w:r w:rsidR="00C13383" w:rsidRPr="00C25F95">
              <w:rPr>
                <w:sz w:val="20"/>
                <w:szCs w:val="20"/>
              </w:rPr>
              <w:t>of the correct sequence of the PFM</w:t>
            </w:r>
            <w:r w:rsidR="00292558" w:rsidRPr="00C25F95">
              <w:rPr>
                <w:sz w:val="20"/>
                <w:szCs w:val="20"/>
              </w:rPr>
              <w:t xml:space="preserve"> System</w:t>
            </w:r>
            <w:r w:rsidR="00C13383" w:rsidRPr="00C25F95">
              <w:rPr>
                <w:sz w:val="20"/>
                <w:szCs w:val="20"/>
              </w:rPr>
              <w:t xml:space="preserve"> </w:t>
            </w:r>
            <w:r w:rsidR="00C25F95" w:rsidRPr="00C25F95">
              <w:rPr>
                <w:sz w:val="20"/>
                <w:szCs w:val="20"/>
              </w:rPr>
              <w:t>reforms</w:t>
            </w:r>
            <w:r w:rsidR="00C13383" w:rsidRPr="00C25F95">
              <w:rPr>
                <w:sz w:val="20"/>
                <w:szCs w:val="20"/>
              </w:rPr>
              <w:t xml:space="preserve">, </w:t>
            </w:r>
            <w:r w:rsidR="00292558" w:rsidRPr="00C25F95">
              <w:rPr>
                <w:sz w:val="20"/>
                <w:szCs w:val="20"/>
              </w:rPr>
              <w:t xml:space="preserve">proper </w:t>
            </w:r>
            <w:r w:rsidR="00C25F95">
              <w:rPr>
                <w:sz w:val="20"/>
                <w:szCs w:val="20"/>
              </w:rPr>
              <w:t xml:space="preserve">system for </w:t>
            </w:r>
            <w:r w:rsidR="00292558" w:rsidRPr="00C25F95">
              <w:rPr>
                <w:sz w:val="20"/>
                <w:szCs w:val="20"/>
              </w:rPr>
              <w:t xml:space="preserve">monitoring </w:t>
            </w:r>
            <w:r w:rsidR="00C13383" w:rsidRPr="00C25F95">
              <w:rPr>
                <w:sz w:val="20"/>
                <w:szCs w:val="20"/>
              </w:rPr>
              <w:t>effectiveness of their implementation and coordination of activities in further implementation of the Strategy.</w:t>
            </w:r>
          </w:p>
        </w:tc>
        <w:tc>
          <w:tcPr>
            <w:tcW w:w="4818" w:type="dxa"/>
          </w:tcPr>
          <w:p w14:paraId="75B54986" w14:textId="088546D1" w:rsidR="00C13383" w:rsidRPr="00C13383" w:rsidRDefault="00267B21" w:rsidP="00C13383">
            <w:pPr>
              <w:pStyle w:val="TableParagraph"/>
              <w:ind w:right="96"/>
              <w:rPr>
                <w:sz w:val="20"/>
                <w:szCs w:val="20"/>
                <w:lang w:val="uk-UA"/>
              </w:rPr>
            </w:pPr>
            <w:r w:rsidRPr="003166F2">
              <w:rPr>
                <w:b/>
                <w:sz w:val="20"/>
                <w:szCs w:val="20"/>
                <w:lang w:val="uk-UA"/>
              </w:rPr>
              <w:t>2. Ксав’є</w:t>
            </w:r>
            <w:r w:rsidRPr="00DF3E9D">
              <w:rPr>
                <w:b/>
                <w:sz w:val="20"/>
                <w:szCs w:val="20"/>
                <w:lang w:val="uk-UA"/>
              </w:rPr>
              <w:t xml:space="preserve"> Камю, Керівник Відділу з питань урядування Представництва Європейського Союзу в Україні, Співголова РГ, </w:t>
            </w:r>
            <w:r w:rsidRPr="00DF3E9D">
              <w:rPr>
                <w:sz w:val="20"/>
                <w:szCs w:val="20"/>
                <w:lang w:val="uk-UA"/>
              </w:rPr>
              <w:t xml:space="preserve">звернувся з вітальним словом до учасників зустрічі та наголосив на важливості </w:t>
            </w:r>
            <w:r>
              <w:rPr>
                <w:sz w:val="20"/>
                <w:szCs w:val="20"/>
                <w:lang w:val="uk-UA"/>
              </w:rPr>
              <w:t xml:space="preserve">правильної послідовності реформ СУДФ, належної системи моніторингу ефективності їх реалізації та </w:t>
            </w:r>
            <w:r w:rsidRPr="00DF3E9D">
              <w:rPr>
                <w:sz w:val="20"/>
                <w:szCs w:val="20"/>
                <w:lang w:val="uk-UA"/>
              </w:rPr>
              <w:t xml:space="preserve">координації діяльності у подальшому втіленні </w:t>
            </w:r>
            <w:r>
              <w:rPr>
                <w:sz w:val="20"/>
                <w:szCs w:val="20"/>
                <w:lang w:val="uk-UA"/>
              </w:rPr>
              <w:t>Стратегії</w:t>
            </w:r>
            <w:r w:rsidRPr="00DF3E9D">
              <w:rPr>
                <w:sz w:val="20"/>
                <w:szCs w:val="20"/>
                <w:lang w:val="uk-UA"/>
              </w:rPr>
              <w:t>.</w:t>
            </w:r>
          </w:p>
        </w:tc>
      </w:tr>
      <w:tr w:rsidR="00972861" w:rsidRPr="00C25F95" w14:paraId="478B16BA" w14:textId="77777777">
        <w:trPr>
          <w:trHeight w:val="1149"/>
        </w:trPr>
        <w:tc>
          <w:tcPr>
            <w:tcW w:w="4818" w:type="dxa"/>
          </w:tcPr>
          <w:p w14:paraId="180D28C9" w14:textId="08BD40EB" w:rsidR="00972861" w:rsidRPr="00C25F95" w:rsidRDefault="00972861" w:rsidP="00972861">
            <w:pPr>
              <w:pStyle w:val="TableParagraph"/>
              <w:spacing w:line="242" w:lineRule="auto"/>
              <w:ind w:right="96"/>
            </w:pPr>
            <w:r w:rsidRPr="00C25F95">
              <w:rPr>
                <w:b/>
                <w:sz w:val="20"/>
                <w:szCs w:val="20"/>
              </w:rPr>
              <w:t xml:space="preserve">3. Mr. Denys </w:t>
            </w:r>
            <w:proofErr w:type="spellStart"/>
            <w:r w:rsidRPr="00C25F95">
              <w:rPr>
                <w:b/>
                <w:sz w:val="20"/>
                <w:szCs w:val="20"/>
              </w:rPr>
              <w:t>Ulyutin</w:t>
            </w:r>
            <w:proofErr w:type="spellEnd"/>
            <w:r w:rsidRPr="00C25F95">
              <w:rPr>
                <w:b/>
                <w:sz w:val="20"/>
                <w:szCs w:val="20"/>
              </w:rPr>
              <w:t xml:space="preserve">, First Deputy Finance Minister of Ukraine, Chair, </w:t>
            </w:r>
            <w:r w:rsidRPr="00C25F95">
              <w:rPr>
                <w:sz w:val="20"/>
                <w:szCs w:val="20"/>
              </w:rPr>
              <w:t>presented PFM Reform Priorities</w:t>
            </w:r>
            <w:r w:rsidR="009F21C7" w:rsidRPr="00C25F95">
              <w:rPr>
                <w:sz w:val="20"/>
                <w:szCs w:val="20"/>
              </w:rPr>
              <w:t xml:space="preserve"> for</w:t>
            </w:r>
            <w:r w:rsidRPr="00C25F95">
              <w:rPr>
                <w:sz w:val="20"/>
                <w:szCs w:val="20"/>
              </w:rPr>
              <w:t xml:space="preserve"> 2021-2024 (Annex 3, p. 1-4).</w:t>
            </w:r>
          </w:p>
        </w:tc>
        <w:tc>
          <w:tcPr>
            <w:tcW w:w="4818" w:type="dxa"/>
          </w:tcPr>
          <w:p w14:paraId="4BE266B5" w14:textId="77D5F0C0" w:rsidR="00972861" w:rsidRPr="00DF3E9D" w:rsidRDefault="00972861" w:rsidP="00C25F95">
            <w:pPr>
              <w:pStyle w:val="TableParagraph"/>
              <w:spacing w:line="242" w:lineRule="auto"/>
              <w:ind w:right="96"/>
              <w:rPr>
                <w:sz w:val="20"/>
                <w:szCs w:val="20"/>
                <w:lang w:val="uk-UA"/>
              </w:rPr>
            </w:pPr>
            <w:r w:rsidRPr="00516071">
              <w:rPr>
                <w:b/>
                <w:sz w:val="20"/>
                <w:szCs w:val="20"/>
                <w:lang w:val="uk-UA"/>
              </w:rPr>
              <w:t xml:space="preserve">3. Денис </w:t>
            </w:r>
            <w:proofErr w:type="spellStart"/>
            <w:r w:rsidRPr="00516071">
              <w:rPr>
                <w:b/>
                <w:sz w:val="20"/>
                <w:szCs w:val="20"/>
                <w:lang w:val="uk-UA"/>
              </w:rPr>
              <w:t>Улютін</w:t>
            </w:r>
            <w:proofErr w:type="spellEnd"/>
            <w:r w:rsidRPr="00DF3E9D">
              <w:rPr>
                <w:b/>
                <w:sz w:val="20"/>
                <w:szCs w:val="20"/>
                <w:lang w:val="uk-UA"/>
              </w:rPr>
              <w:t xml:space="preserve">, Перший заступник Міністра фінансів України, </w:t>
            </w:r>
            <w:r>
              <w:rPr>
                <w:b/>
                <w:sz w:val="20"/>
                <w:szCs w:val="20"/>
                <w:lang w:val="uk-UA"/>
              </w:rPr>
              <w:t>Г</w:t>
            </w:r>
            <w:r w:rsidRPr="00DF3E9D">
              <w:rPr>
                <w:b/>
                <w:sz w:val="20"/>
                <w:szCs w:val="20"/>
                <w:lang w:val="uk-UA"/>
              </w:rPr>
              <w:t>олова РГ</w:t>
            </w:r>
            <w:r w:rsidRPr="00DF3E9D">
              <w:rPr>
                <w:sz w:val="20"/>
                <w:szCs w:val="20"/>
                <w:lang w:val="uk-UA"/>
              </w:rPr>
              <w:t xml:space="preserve">, презентував пріоритети реформи </w:t>
            </w:r>
            <w:r w:rsidR="00C25F95">
              <w:rPr>
                <w:sz w:val="20"/>
                <w:szCs w:val="20"/>
                <w:lang w:val="uk-UA"/>
              </w:rPr>
              <w:t xml:space="preserve">СУДФ </w:t>
            </w:r>
            <w:r w:rsidRPr="00DF3E9D">
              <w:rPr>
                <w:sz w:val="20"/>
                <w:szCs w:val="20"/>
                <w:lang w:val="uk-UA"/>
              </w:rPr>
              <w:t>на 2021-2024 роки (додаток</w:t>
            </w:r>
            <w:r w:rsidRPr="00DF3E9D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DF3E9D">
              <w:rPr>
                <w:sz w:val="20"/>
                <w:szCs w:val="20"/>
                <w:lang w:val="uk-UA"/>
              </w:rPr>
              <w:t>3, ст. 1-4).</w:t>
            </w:r>
          </w:p>
        </w:tc>
      </w:tr>
      <w:tr w:rsidR="00972861" w:rsidRPr="000C77DE" w14:paraId="56526A87" w14:textId="77777777">
        <w:trPr>
          <w:trHeight w:val="1149"/>
        </w:trPr>
        <w:tc>
          <w:tcPr>
            <w:tcW w:w="4818" w:type="dxa"/>
          </w:tcPr>
          <w:p w14:paraId="3DF3C9C4" w14:textId="73DA2CE6" w:rsidR="00972861" w:rsidRPr="00C25F95" w:rsidRDefault="00972861" w:rsidP="00C25F95">
            <w:pPr>
              <w:pStyle w:val="TableParagraph"/>
              <w:spacing w:line="242" w:lineRule="auto"/>
              <w:ind w:right="96"/>
            </w:pPr>
            <w:r w:rsidRPr="00C25F95">
              <w:rPr>
                <w:b/>
                <w:sz w:val="20"/>
                <w:szCs w:val="20"/>
              </w:rPr>
              <w:t xml:space="preserve">4. Ms. Alina </w:t>
            </w:r>
            <w:proofErr w:type="spellStart"/>
            <w:r w:rsidRPr="00C25F95">
              <w:rPr>
                <w:b/>
                <w:sz w:val="20"/>
                <w:szCs w:val="20"/>
              </w:rPr>
              <w:t>Chernomaz</w:t>
            </w:r>
            <w:proofErr w:type="spellEnd"/>
            <w:r w:rsidRPr="00C25F95">
              <w:rPr>
                <w:b/>
                <w:sz w:val="20"/>
                <w:szCs w:val="20"/>
              </w:rPr>
              <w:t xml:space="preserve">, PFM Coordinator for the Ministry of Finance, EU4PFM, </w:t>
            </w:r>
            <w:r w:rsidR="00C25F95">
              <w:rPr>
                <w:sz w:val="20"/>
                <w:szCs w:val="20"/>
              </w:rPr>
              <w:t xml:space="preserve">made a presentation about the </w:t>
            </w:r>
            <w:r w:rsidR="001663F6" w:rsidRPr="00C25F95">
              <w:rPr>
                <w:sz w:val="20"/>
                <w:szCs w:val="20"/>
              </w:rPr>
              <w:t>process of</w:t>
            </w:r>
            <w:r w:rsidRPr="00C25F95">
              <w:rPr>
                <w:sz w:val="20"/>
                <w:szCs w:val="20"/>
              </w:rPr>
              <w:t xml:space="preserve"> </w:t>
            </w:r>
            <w:r w:rsidR="001663F6" w:rsidRPr="00C25F95">
              <w:rPr>
                <w:sz w:val="20"/>
                <w:szCs w:val="20"/>
              </w:rPr>
              <w:t>the PFM System Reform</w:t>
            </w:r>
            <w:r w:rsidRPr="00C25F95">
              <w:rPr>
                <w:sz w:val="20"/>
                <w:szCs w:val="20"/>
              </w:rPr>
              <w:t xml:space="preserve"> </w:t>
            </w:r>
            <w:r w:rsidR="00C25F95" w:rsidRPr="00C25F95">
              <w:rPr>
                <w:sz w:val="20"/>
                <w:szCs w:val="20"/>
              </w:rPr>
              <w:t>coordination and monitoring</w:t>
            </w:r>
            <w:r w:rsidR="00C25F95">
              <w:rPr>
                <w:sz w:val="20"/>
                <w:szCs w:val="20"/>
              </w:rPr>
              <w:t>,</w:t>
            </w:r>
            <w:r w:rsidR="00C25F95" w:rsidRPr="00C25F95">
              <w:rPr>
                <w:sz w:val="20"/>
                <w:szCs w:val="20"/>
              </w:rPr>
              <w:t xml:space="preserve"> </w:t>
            </w:r>
            <w:r w:rsidRPr="00C25F95">
              <w:rPr>
                <w:sz w:val="20"/>
                <w:szCs w:val="20"/>
              </w:rPr>
              <w:t xml:space="preserve">and </w:t>
            </w:r>
            <w:r w:rsidR="00C25F95">
              <w:rPr>
                <w:sz w:val="20"/>
                <w:szCs w:val="20"/>
              </w:rPr>
              <w:t>describe</w:t>
            </w:r>
            <w:r w:rsidRPr="00C25F95">
              <w:rPr>
                <w:sz w:val="20"/>
                <w:szCs w:val="20"/>
              </w:rPr>
              <w:t>d</w:t>
            </w:r>
            <w:r w:rsidR="001663F6" w:rsidRPr="00C25F95">
              <w:rPr>
                <w:sz w:val="20"/>
                <w:szCs w:val="20"/>
              </w:rPr>
              <w:t xml:space="preserve"> </w:t>
            </w:r>
            <w:r w:rsidRPr="00C25F95">
              <w:rPr>
                <w:sz w:val="20"/>
                <w:szCs w:val="20"/>
              </w:rPr>
              <w:t>next steps</w:t>
            </w:r>
            <w:r w:rsidR="001663F6" w:rsidRPr="00C25F95">
              <w:rPr>
                <w:sz w:val="20"/>
                <w:szCs w:val="20"/>
              </w:rPr>
              <w:t xml:space="preserve"> in developing the Strategy</w:t>
            </w:r>
            <w:r w:rsidRPr="00C25F95">
              <w:rPr>
                <w:sz w:val="20"/>
                <w:szCs w:val="20"/>
              </w:rPr>
              <w:t xml:space="preserve"> (Annex 3, p. 5-6).</w:t>
            </w:r>
          </w:p>
        </w:tc>
        <w:tc>
          <w:tcPr>
            <w:tcW w:w="4818" w:type="dxa"/>
          </w:tcPr>
          <w:p w14:paraId="4C904922" w14:textId="77777777" w:rsidR="00972861" w:rsidRPr="00DF3E9D" w:rsidRDefault="00972861" w:rsidP="00972861">
            <w:pPr>
              <w:pStyle w:val="TableParagraph"/>
              <w:spacing w:line="242" w:lineRule="auto"/>
              <w:ind w:right="96"/>
              <w:rPr>
                <w:sz w:val="20"/>
                <w:szCs w:val="20"/>
                <w:lang w:val="uk-UA"/>
              </w:rPr>
            </w:pPr>
            <w:r w:rsidRPr="00516071">
              <w:rPr>
                <w:b/>
                <w:sz w:val="20"/>
                <w:szCs w:val="20"/>
                <w:lang w:val="uk-UA"/>
              </w:rPr>
              <w:t>4. Аліна</w:t>
            </w:r>
            <w:r w:rsidRPr="00DF3E9D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3E9D">
              <w:rPr>
                <w:b/>
                <w:sz w:val="20"/>
                <w:szCs w:val="20"/>
                <w:lang w:val="uk-UA"/>
              </w:rPr>
              <w:t>Черномаз</w:t>
            </w:r>
            <w:proofErr w:type="spellEnd"/>
            <w:r w:rsidRPr="00DF3E9D">
              <w:rPr>
                <w:b/>
                <w:sz w:val="20"/>
                <w:szCs w:val="20"/>
                <w:lang w:val="uk-UA"/>
              </w:rPr>
              <w:t xml:space="preserve">, Координатор з питань управління державними фінансами при Міністерстві фінансів України, EU4PFM, </w:t>
            </w:r>
            <w:r w:rsidRPr="00DF3E9D">
              <w:rPr>
                <w:sz w:val="20"/>
                <w:szCs w:val="20"/>
                <w:lang w:val="uk-UA"/>
              </w:rPr>
              <w:t>розповіла про процес координації та моніторингу реалізації реформи СУДФ, а також про наступні кроки з розробки Стратегії (додаток 3, ст. 5-6).</w:t>
            </w:r>
          </w:p>
        </w:tc>
      </w:tr>
      <w:tr w:rsidR="00972861" w:rsidRPr="00C25F95" w14:paraId="00081E2F" w14:textId="77777777" w:rsidTr="0073063B">
        <w:trPr>
          <w:trHeight w:val="1266"/>
        </w:trPr>
        <w:tc>
          <w:tcPr>
            <w:tcW w:w="4818" w:type="dxa"/>
          </w:tcPr>
          <w:p w14:paraId="50A7DEC2" w14:textId="26034516" w:rsidR="00FC2415" w:rsidRPr="00C25F95" w:rsidRDefault="00972861" w:rsidP="00FC2415">
            <w:pPr>
              <w:pStyle w:val="TableParagraph"/>
              <w:ind w:right="94"/>
              <w:rPr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 xml:space="preserve">5. Ms. </w:t>
            </w:r>
            <w:proofErr w:type="spellStart"/>
            <w:r w:rsidRPr="00C25F95">
              <w:rPr>
                <w:b/>
                <w:sz w:val="20"/>
                <w:szCs w:val="20"/>
              </w:rPr>
              <w:t>Iryna</w:t>
            </w:r>
            <w:proofErr w:type="spellEnd"/>
            <w:r w:rsidRPr="00C25F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5F95">
              <w:rPr>
                <w:b/>
                <w:sz w:val="20"/>
                <w:szCs w:val="20"/>
              </w:rPr>
              <w:t>Shcherbyna</w:t>
            </w:r>
            <w:proofErr w:type="spellEnd"/>
            <w:r w:rsidRPr="00C25F95">
              <w:rPr>
                <w:b/>
                <w:sz w:val="20"/>
                <w:szCs w:val="20"/>
              </w:rPr>
              <w:t xml:space="preserve">, Senior Public Sector Specialist, World Bank, </w:t>
            </w:r>
            <w:r w:rsidR="003612AC" w:rsidRPr="00C25F95">
              <w:rPr>
                <w:sz w:val="20"/>
                <w:szCs w:val="20"/>
              </w:rPr>
              <w:t>noted the joint work of the World Bank with the Ministry of Finance and the EU Delegation on the current PFM Reform Strategy, and the draft Strategy for 202</w:t>
            </w:r>
            <w:r w:rsidR="001E27AC">
              <w:rPr>
                <w:sz w:val="20"/>
                <w:szCs w:val="20"/>
              </w:rPr>
              <w:t>1</w:t>
            </w:r>
            <w:r w:rsidR="003612AC" w:rsidRPr="00C25F95">
              <w:rPr>
                <w:sz w:val="20"/>
                <w:szCs w:val="20"/>
              </w:rPr>
              <w:t xml:space="preserve">-2024. She also thanked for the presentation and </w:t>
            </w:r>
            <w:r w:rsidR="001E27AC">
              <w:rPr>
                <w:sz w:val="20"/>
                <w:szCs w:val="20"/>
              </w:rPr>
              <w:t xml:space="preserve">expressed </w:t>
            </w:r>
            <w:r w:rsidR="003612AC" w:rsidRPr="00C25F95">
              <w:rPr>
                <w:sz w:val="20"/>
                <w:szCs w:val="20"/>
              </w:rPr>
              <w:t>support</w:t>
            </w:r>
            <w:r w:rsidR="001E27AC">
              <w:rPr>
                <w:sz w:val="20"/>
                <w:szCs w:val="20"/>
              </w:rPr>
              <w:t xml:space="preserve"> to</w:t>
            </w:r>
            <w:r w:rsidR="003612AC" w:rsidRPr="00C25F95">
              <w:rPr>
                <w:sz w:val="20"/>
                <w:szCs w:val="20"/>
              </w:rPr>
              <w:t xml:space="preserve"> all proposed areas of</w:t>
            </w:r>
            <w:r w:rsidR="009F21C7" w:rsidRPr="00C25F95">
              <w:rPr>
                <w:sz w:val="20"/>
                <w:szCs w:val="20"/>
              </w:rPr>
              <w:t xml:space="preserve"> the</w:t>
            </w:r>
            <w:r w:rsidR="003612AC" w:rsidRPr="00C25F95">
              <w:rPr>
                <w:sz w:val="20"/>
                <w:szCs w:val="20"/>
              </w:rPr>
              <w:t xml:space="preserve"> reform, as they are relevant and consistent with the diagnostic results and </w:t>
            </w:r>
            <w:r w:rsidR="001E27AC" w:rsidRPr="00C25F95">
              <w:rPr>
                <w:sz w:val="20"/>
                <w:szCs w:val="20"/>
              </w:rPr>
              <w:t xml:space="preserve">international </w:t>
            </w:r>
            <w:r w:rsidR="003612AC" w:rsidRPr="00C25F95">
              <w:rPr>
                <w:sz w:val="20"/>
                <w:szCs w:val="20"/>
              </w:rPr>
              <w:t xml:space="preserve">best practices. Ms. </w:t>
            </w:r>
            <w:proofErr w:type="spellStart"/>
            <w:r w:rsidR="003612AC" w:rsidRPr="00C25F95">
              <w:rPr>
                <w:sz w:val="20"/>
                <w:szCs w:val="20"/>
              </w:rPr>
              <w:t>Shcherbyna</w:t>
            </w:r>
            <w:proofErr w:type="spellEnd"/>
            <w:r w:rsidR="003612AC" w:rsidRPr="00C25F95">
              <w:rPr>
                <w:sz w:val="20"/>
                <w:szCs w:val="20"/>
              </w:rPr>
              <w:t xml:space="preserve"> suggested considering the possibility of </w:t>
            </w:r>
            <w:r w:rsidR="001E27AC">
              <w:rPr>
                <w:sz w:val="20"/>
                <w:szCs w:val="20"/>
              </w:rPr>
              <w:t xml:space="preserve">making </w:t>
            </w:r>
            <w:r w:rsidR="003612AC" w:rsidRPr="00C25F95">
              <w:rPr>
                <w:sz w:val="20"/>
                <w:szCs w:val="20"/>
              </w:rPr>
              <w:t>the PFM Reform at the local level a separate block, because, according to PEFA evaluations conducted by th</w:t>
            </w:r>
            <w:r w:rsidR="00FC2415" w:rsidRPr="00C25F95">
              <w:rPr>
                <w:sz w:val="20"/>
                <w:szCs w:val="20"/>
              </w:rPr>
              <w:t>e World Bank and the EU LOGICA P</w:t>
            </w:r>
            <w:r w:rsidR="003612AC" w:rsidRPr="00C25F95">
              <w:rPr>
                <w:sz w:val="20"/>
                <w:szCs w:val="20"/>
              </w:rPr>
              <w:t xml:space="preserve">roject with </w:t>
            </w:r>
            <w:r w:rsidR="003612AC" w:rsidRPr="00C25F95">
              <w:rPr>
                <w:sz w:val="20"/>
                <w:szCs w:val="20"/>
              </w:rPr>
              <w:lastRenderedPageBreak/>
              <w:t xml:space="preserve">the support of the EU, </w:t>
            </w:r>
            <w:r w:rsidR="001E27AC" w:rsidRPr="00C25F95">
              <w:rPr>
                <w:sz w:val="20"/>
                <w:szCs w:val="20"/>
              </w:rPr>
              <w:t xml:space="preserve">this area </w:t>
            </w:r>
            <w:r w:rsidR="001E27AC">
              <w:rPr>
                <w:sz w:val="20"/>
                <w:szCs w:val="20"/>
              </w:rPr>
              <w:t xml:space="preserve">has the highest number of </w:t>
            </w:r>
            <w:r w:rsidR="00FC2415" w:rsidRPr="00C25F95">
              <w:rPr>
                <w:sz w:val="20"/>
                <w:szCs w:val="20"/>
              </w:rPr>
              <w:t>problem</w:t>
            </w:r>
            <w:r w:rsidR="001E27AC">
              <w:rPr>
                <w:sz w:val="20"/>
                <w:szCs w:val="20"/>
              </w:rPr>
              <w:t>s and gaps</w:t>
            </w:r>
            <w:r w:rsidR="003612AC" w:rsidRPr="00C25F95">
              <w:rPr>
                <w:sz w:val="20"/>
                <w:szCs w:val="20"/>
              </w:rPr>
              <w:t xml:space="preserve">. Ms. </w:t>
            </w:r>
            <w:proofErr w:type="spellStart"/>
            <w:r w:rsidR="003612AC" w:rsidRPr="00C25F95">
              <w:rPr>
                <w:sz w:val="20"/>
                <w:szCs w:val="20"/>
              </w:rPr>
              <w:t>Shcherbyna</w:t>
            </w:r>
            <w:proofErr w:type="spellEnd"/>
            <w:r w:rsidR="003612AC" w:rsidRPr="00C25F95">
              <w:rPr>
                <w:sz w:val="20"/>
                <w:szCs w:val="20"/>
              </w:rPr>
              <w:t xml:space="preserve"> </w:t>
            </w:r>
            <w:r w:rsidR="001E27AC">
              <w:rPr>
                <w:sz w:val="20"/>
                <w:szCs w:val="20"/>
              </w:rPr>
              <w:t xml:space="preserve">mentioned </w:t>
            </w:r>
            <w:r w:rsidR="003612AC" w:rsidRPr="00C25F95">
              <w:rPr>
                <w:sz w:val="20"/>
                <w:szCs w:val="20"/>
              </w:rPr>
              <w:t xml:space="preserve">that, in general, the draft Strategy includes </w:t>
            </w:r>
            <w:r w:rsidR="001E27AC">
              <w:rPr>
                <w:sz w:val="20"/>
                <w:szCs w:val="20"/>
              </w:rPr>
              <w:t xml:space="preserve">all </w:t>
            </w:r>
            <w:r w:rsidR="003612AC" w:rsidRPr="00C25F95">
              <w:rPr>
                <w:sz w:val="20"/>
                <w:szCs w:val="20"/>
              </w:rPr>
              <w:t xml:space="preserve">key aspects of future reforms, </w:t>
            </w:r>
            <w:r w:rsidR="001E27AC">
              <w:rPr>
                <w:sz w:val="20"/>
                <w:szCs w:val="20"/>
              </w:rPr>
              <w:t xml:space="preserve">but some </w:t>
            </w:r>
            <w:r w:rsidR="003612AC" w:rsidRPr="00C25F95">
              <w:rPr>
                <w:sz w:val="20"/>
                <w:szCs w:val="20"/>
              </w:rPr>
              <w:t xml:space="preserve">components need to be </w:t>
            </w:r>
            <w:r w:rsidR="001E27AC">
              <w:rPr>
                <w:sz w:val="20"/>
                <w:szCs w:val="20"/>
              </w:rPr>
              <w:t>further elaborat</w:t>
            </w:r>
            <w:r w:rsidR="003612AC" w:rsidRPr="00C25F95">
              <w:rPr>
                <w:sz w:val="20"/>
                <w:szCs w:val="20"/>
              </w:rPr>
              <w:t>ed, in particular, strategic planning, medium-term budget planning, control and audit, public investment management, etc.</w:t>
            </w:r>
            <w:r w:rsidR="00FC2415" w:rsidRPr="00C25F95">
              <w:rPr>
                <w:sz w:val="20"/>
                <w:szCs w:val="20"/>
              </w:rPr>
              <w:t xml:space="preserve">                                                          </w:t>
            </w:r>
          </w:p>
          <w:p w14:paraId="32CD9A54" w14:textId="518B9339" w:rsidR="00972861" w:rsidRPr="00C25F95" w:rsidRDefault="00972861" w:rsidP="001E27AC">
            <w:pPr>
              <w:pStyle w:val="TableParagraph"/>
              <w:ind w:right="94"/>
              <w:rPr>
                <w:sz w:val="20"/>
                <w:szCs w:val="20"/>
              </w:rPr>
            </w:pPr>
            <w:r w:rsidRPr="00C25F95">
              <w:rPr>
                <w:sz w:val="20"/>
                <w:szCs w:val="20"/>
              </w:rPr>
              <w:t xml:space="preserve">Ms. </w:t>
            </w:r>
            <w:proofErr w:type="spellStart"/>
            <w:r w:rsidRPr="00C25F95">
              <w:rPr>
                <w:sz w:val="20"/>
                <w:szCs w:val="20"/>
              </w:rPr>
              <w:t>Shcherbyna</w:t>
            </w:r>
            <w:proofErr w:type="spellEnd"/>
            <w:r w:rsidRPr="00C25F95">
              <w:rPr>
                <w:sz w:val="20"/>
                <w:szCs w:val="20"/>
              </w:rPr>
              <w:t xml:space="preserve"> also informed that the World Bank team </w:t>
            </w:r>
            <w:r w:rsidR="001E27AC">
              <w:rPr>
                <w:sz w:val="20"/>
                <w:szCs w:val="20"/>
              </w:rPr>
              <w:t>i</w:t>
            </w:r>
            <w:r w:rsidRPr="00C25F95">
              <w:rPr>
                <w:sz w:val="20"/>
                <w:szCs w:val="20"/>
              </w:rPr>
              <w:t xml:space="preserve">s ready to participate in the work of the working subgroups, </w:t>
            </w:r>
            <w:r w:rsidR="001E27AC">
              <w:rPr>
                <w:sz w:val="20"/>
                <w:szCs w:val="20"/>
              </w:rPr>
              <w:t xml:space="preserve">and </w:t>
            </w:r>
            <w:r w:rsidRPr="00C25F95">
              <w:rPr>
                <w:sz w:val="20"/>
                <w:szCs w:val="20"/>
              </w:rPr>
              <w:t>provide additional clarifi</w:t>
            </w:r>
            <w:r w:rsidR="003612AC" w:rsidRPr="00C25F95">
              <w:rPr>
                <w:sz w:val="20"/>
                <w:szCs w:val="20"/>
              </w:rPr>
              <w:t xml:space="preserve">cations to the comments already </w:t>
            </w:r>
            <w:r w:rsidRPr="00C25F95">
              <w:rPr>
                <w:sz w:val="20"/>
                <w:szCs w:val="20"/>
              </w:rPr>
              <w:t xml:space="preserve">provided to the </w:t>
            </w:r>
            <w:r w:rsidR="00292558" w:rsidRPr="00C25F95">
              <w:rPr>
                <w:sz w:val="20"/>
                <w:szCs w:val="20"/>
              </w:rPr>
              <w:t>Ministry of Finance.</w:t>
            </w:r>
          </w:p>
        </w:tc>
        <w:tc>
          <w:tcPr>
            <w:tcW w:w="4818" w:type="dxa"/>
          </w:tcPr>
          <w:p w14:paraId="3EC4CC9D" w14:textId="012451DC" w:rsidR="00267B21" w:rsidRPr="00267B21" w:rsidRDefault="00267B21" w:rsidP="00267B21">
            <w:pPr>
              <w:pStyle w:val="TableParagraph"/>
              <w:ind w:left="168" w:right="117"/>
              <w:rPr>
                <w:sz w:val="20"/>
                <w:szCs w:val="20"/>
                <w:lang w:val="uk-UA"/>
              </w:rPr>
            </w:pPr>
            <w:r w:rsidRPr="00267B21">
              <w:rPr>
                <w:b/>
                <w:sz w:val="20"/>
                <w:szCs w:val="20"/>
                <w:lang w:val="uk-UA"/>
              </w:rPr>
              <w:lastRenderedPageBreak/>
              <w:t xml:space="preserve">5. Ірина Щербина, Старший спеціаліст з питань державного сектору Представництва Світового банку в Україні, </w:t>
            </w:r>
            <w:r w:rsidRPr="00267B21">
              <w:rPr>
                <w:sz w:val="20"/>
                <w:szCs w:val="20"/>
                <w:lang w:val="uk-UA"/>
              </w:rPr>
              <w:t>відзначила спільну роботу Світового банку з Міністерством фінансів та Представництвом ЄС над чинною Стратегією</w:t>
            </w:r>
            <w:r w:rsidR="00F86E2B">
              <w:rPr>
                <w:sz w:val="20"/>
                <w:szCs w:val="20"/>
                <w:lang w:val="uk-UA"/>
              </w:rPr>
              <w:t xml:space="preserve"> реформування</w:t>
            </w:r>
            <w:r w:rsidRPr="00267B21">
              <w:rPr>
                <w:sz w:val="20"/>
                <w:szCs w:val="20"/>
                <w:lang w:val="uk-UA"/>
              </w:rPr>
              <w:t xml:space="preserve"> СУДФ, а також проектом Стратегії на 202</w:t>
            </w:r>
            <w:r w:rsidR="001E27AC">
              <w:rPr>
                <w:sz w:val="20"/>
                <w:szCs w:val="20"/>
              </w:rPr>
              <w:t>1</w:t>
            </w:r>
            <w:r w:rsidRPr="00267B21">
              <w:rPr>
                <w:sz w:val="20"/>
                <w:szCs w:val="20"/>
                <w:lang w:val="uk-UA"/>
              </w:rPr>
              <w:t xml:space="preserve">-2024 роки. Вона також подякувала за представлену презентацію та наголосила, що підтримує усі запропоновані напрямки реалізації реформ, адже вони є актуальними та відповідають результатам діагностик та кращим міжнародним практикам. Пані Щербина запропонувала розглянути </w:t>
            </w:r>
            <w:r w:rsidRPr="00267B21">
              <w:rPr>
                <w:sz w:val="20"/>
                <w:szCs w:val="20"/>
                <w:lang w:val="uk-UA"/>
              </w:rPr>
              <w:lastRenderedPageBreak/>
              <w:t xml:space="preserve">можливість виокремлення реформи управління публічними фінансами на місцевому рівні в окремий блок, адже,  як свідчать результати оцінювань PEFA, проведених Світовим Банком та проектом EU LOGICA за підтримки ЄС, найбільша кількість проблемних питань залишаються саме в цій площині. Пані Щербина повідомила, що, в цілому, проект Стратегії включає ключові аспекти майбутніх реформ, а також відзначила компоненти, що потребують посилення, зокрема, стратегічне планування, середньострокове бюджетне планування, контроль та аудит, управління державними інвестиціями, тощо. </w:t>
            </w:r>
          </w:p>
          <w:p w14:paraId="7E0E2757" w14:textId="1EEA78D5" w:rsidR="00972861" w:rsidRPr="00DF3E9D" w:rsidRDefault="00267B21" w:rsidP="00267B21">
            <w:pPr>
              <w:pStyle w:val="TableParagraph"/>
              <w:ind w:left="159" w:right="117"/>
              <w:rPr>
                <w:sz w:val="20"/>
                <w:szCs w:val="20"/>
                <w:lang w:val="uk-UA"/>
              </w:rPr>
            </w:pPr>
            <w:r w:rsidRPr="00267B21">
              <w:rPr>
                <w:sz w:val="20"/>
                <w:szCs w:val="20"/>
                <w:lang w:val="uk-UA"/>
              </w:rPr>
              <w:t>Також пані Щербина повідомила, що команда Світового банку готова брати участь у роботі робочих підгруп, надавати додаткові роз’яснення до коментарів, які вже надано Міністерству фінансів.</w:t>
            </w:r>
          </w:p>
        </w:tc>
      </w:tr>
      <w:tr w:rsidR="00972861" w:rsidRPr="00C25F95" w14:paraId="0474D5F0" w14:textId="77777777" w:rsidTr="00DE5543">
        <w:trPr>
          <w:trHeight w:val="1881"/>
        </w:trPr>
        <w:tc>
          <w:tcPr>
            <w:tcW w:w="4818" w:type="dxa"/>
          </w:tcPr>
          <w:p w14:paraId="527AA200" w14:textId="2C4C67D5" w:rsidR="00972861" w:rsidRPr="00C25F95" w:rsidRDefault="00972861" w:rsidP="00C654C2">
            <w:pPr>
              <w:pStyle w:val="TableParagraph"/>
              <w:ind w:right="94"/>
              <w:rPr>
                <w:sz w:val="20"/>
              </w:rPr>
            </w:pPr>
            <w:r w:rsidRPr="00C25F95">
              <w:rPr>
                <w:b/>
                <w:sz w:val="20"/>
                <w:szCs w:val="20"/>
              </w:rPr>
              <w:lastRenderedPageBreak/>
              <w:t>6. Mr. Thomas Meyer, Program Director</w:t>
            </w:r>
            <w:r w:rsidR="00AF13F6">
              <w:rPr>
                <w:b/>
                <w:sz w:val="20"/>
                <w:szCs w:val="20"/>
              </w:rPr>
              <w:t>,</w:t>
            </w:r>
            <w:r w:rsidRPr="00C25F95">
              <w:rPr>
                <w:b/>
                <w:sz w:val="20"/>
                <w:szCs w:val="20"/>
              </w:rPr>
              <w:t xml:space="preserve"> Good Governance, GIZ, </w:t>
            </w:r>
            <w:r w:rsidR="00BE0A0E" w:rsidRPr="00C25F95">
              <w:rPr>
                <w:sz w:val="20"/>
                <w:szCs w:val="20"/>
              </w:rPr>
              <w:t xml:space="preserve">noted that the additional proposals </w:t>
            </w:r>
            <w:r w:rsidR="00AF13F6">
              <w:rPr>
                <w:sz w:val="20"/>
                <w:szCs w:val="20"/>
              </w:rPr>
              <w:t xml:space="preserve">GIZ provided </w:t>
            </w:r>
            <w:r w:rsidR="00BE0A0E" w:rsidRPr="00C25F95">
              <w:rPr>
                <w:sz w:val="20"/>
                <w:szCs w:val="20"/>
              </w:rPr>
              <w:t xml:space="preserve">to the draft PFM Reform Strategy have already been included in </w:t>
            </w:r>
            <w:r w:rsidR="004665CB" w:rsidRPr="00C25F95">
              <w:rPr>
                <w:sz w:val="20"/>
                <w:szCs w:val="20"/>
              </w:rPr>
              <w:t xml:space="preserve">the </w:t>
            </w:r>
            <w:r w:rsidR="00AF13F6" w:rsidRPr="00C25F95">
              <w:rPr>
                <w:sz w:val="20"/>
                <w:szCs w:val="20"/>
              </w:rPr>
              <w:t xml:space="preserve">GIZ </w:t>
            </w:r>
            <w:r w:rsidR="00AF13F6">
              <w:rPr>
                <w:sz w:val="20"/>
                <w:szCs w:val="20"/>
              </w:rPr>
              <w:t xml:space="preserve">Project </w:t>
            </w:r>
            <w:r w:rsidR="004665CB" w:rsidRPr="00C25F95">
              <w:rPr>
                <w:sz w:val="20"/>
                <w:szCs w:val="20"/>
              </w:rPr>
              <w:t>work plan</w:t>
            </w:r>
            <w:r w:rsidR="00AF13F6">
              <w:rPr>
                <w:sz w:val="20"/>
                <w:szCs w:val="20"/>
              </w:rPr>
              <w:t>, their implementation is underway</w:t>
            </w:r>
            <w:r w:rsidR="004665CB" w:rsidRPr="00C25F95">
              <w:rPr>
                <w:sz w:val="20"/>
                <w:szCs w:val="20"/>
              </w:rPr>
              <w:t xml:space="preserve">, </w:t>
            </w:r>
            <w:proofErr w:type="gramStart"/>
            <w:r w:rsidR="004665CB" w:rsidRPr="00C25F95">
              <w:rPr>
                <w:sz w:val="20"/>
                <w:szCs w:val="20"/>
              </w:rPr>
              <w:t>so</w:t>
            </w:r>
            <w:proofErr w:type="gramEnd"/>
            <w:r w:rsidR="004665CB" w:rsidRPr="00C25F95">
              <w:rPr>
                <w:sz w:val="20"/>
                <w:szCs w:val="20"/>
              </w:rPr>
              <w:t xml:space="preserve"> </w:t>
            </w:r>
            <w:r w:rsidR="00AF13F6">
              <w:rPr>
                <w:sz w:val="20"/>
                <w:szCs w:val="20"/>
              </w:rPr>
              <w:t xml:space="preserve">they </w:t>
            </w:r>
            <w:r w:rsidR="004665CB" w:rsidRPr="00C25F95">
              <w:rPr>
                <w:sz w:val="20"/>
                <w:szCs w:val="20"/>
              </w:rPr>
              <w:t xml:space="preserve">will not require additional efforts from the Ministry of Finance. This applies in particular to dual education in the tax sphere and increasing transparency. He also noted that </w:t>
            </w:r>
            <w:r w:rsidR="00AF13F6">
              <w:rPr>
                <w:sz w:val="20"/>
                <w:szCs w:val="20"/>
              </w:rPr>
              <w:t xml:space="preserve">while fiscal </w:t>
            </w:r>
            <w:r w:rsidR="004665CB" w:rsidRPr="00C25F95">
              <w:rPr>
                <w:sz w:val="20"/>
                <w:szCs w:val="20"/>
              </w:rPr>
              <w:t xml:space="preserve">decentralization aspect </w:t>
            </w:r>
            <w:r w:rsidR="00C654C2">
              <w:rPr>
                <w:sz w:val="20"/>
                <w:szCs w:val="20"/>
              </w:rPr>
              <w:t xml:space="preserve">have </w:t>
            </w:r>
            <w:r w:rsidR="004665CB" w:rsidRPr="00C25F95">
              <w:rPr>
                <w:sz w:val="20"/>
                <w:szCs w:val="20"/>
              </w:rPr>
              <w:t xml:space="preserve">due attention in the </w:t>
            </w:r>
            <w:r w:rsidR="00C654C2">
              <w:rPr>
                <w:sz w:val="20"/>
                <w:szCs w:val="20"/>
              </w:rPr>
              <w:t xml:space="preserve">draft </w:t>
            </w:r>
            <w:r w:rsidR="004665CB" w:rsidRPr="00C25F95">
              <w:rPr>
                <w:sz w:val="20"/>
                <w:szCs w:val="20"/>
              </w:rPr>
              <w:t>Strategy, role and functions of the Accounting Chamber and the State Audit Service of Ukraine at the local level should be further considered</w:t>
            </w:r>
            <w:r w:rsidR="00C654C2">
              <w:rPr>
                <w:sz w:val="20"/>
                <w:szCs w:val="20"/>
              </w:rPr>
              <w:t xml:space="preserve">. This issue was </w:t>
            </w:r>
            <w:r w:rsidR="004665CB" w:rsidRPr="00C25F95">
              <w:rPr>
                <w:sz w:val="20"/>
                <w:szCs w:val="20"/>
              </w:rPr>
              <w:t>raised several times before but has not been resolved.</w:t>
            </w:r>
          </w:p>
        </w:tc>
        <w:tc>
          <w:tcPr>
            <w:tcW w:w="4818" w:type="dxa"/>
          </w:tcPr>
          <w:p w14:paraId="45A5CB4B" w14:textId="476C3B0A" w:rsidR="00BE0A0E" w:rsidRPr="00DF3E9D" w:rsidRDefault="00267B21" w:rsidP="00C13383">
            <w:pPr>
              <w:pStyle w:val="TableParagraph"/>
              <w:ind w:left="168" w:right="117"/>
              <w:rPr>
                <w:sz w:val="20"/>
                <w:szCs w:val="20"/>
                <w:lang w:val="uk-UA"/>
              </w:rPr>
            </w:pPr>
            <w:r w:rsidRPr="00267B21">
              <w:rPr>
                <w:b/>
                <w:sz w:val="20"/>
                <w:szCs w:val="20"/>
                <w:lang w:val="uk-UA"/>
              </w:rPr>
              <w:t xml:space="preserve">6. Томас </w:t>
            </w:r>
            <w:proofErr w:type="spellStart"/>
            <w:r w:rsidRPr="00267B21">
              <w:rPr>
                <w:b/>
                <w:sz w:val="20"/>
                <w:szCs w:val="20"/>
                <w:lang w:val="uk-UA"/>
              </w:rPr>
              <w:t>Майєр</w:t>
            </w:r>
            <w:proofErr w:type="spellEnd"/>
            <w:r w:rsidRPr="00267B21">
              <w:rPr>
                <w:b/>
                <w:sz w:val="20"/>
                <w:szCs w:val="20"/>
                <w:lang w:val="uk-UA"/>
              </w:rPr>
              <w:t xml:space="preserve">, Керівник програм напрямку урядування GIZ, </w:t>
            </w:r>
            <w:r w:rsidRPr="00267B21">
              <w:rPr>
                <w:sz w:val="20"/>
                <w:szCs w:val="20"/>
                <w:lang w:val="uk-UA"/>
              </w:rPr>
              <w:t>зазначив, що додаткові пропозиції, надані до проекту Стратегії</w:t>
            </w:r>
            <w:r w:rsidR="00F86E2B">
              <w:rPr>
                <w:sz w:val="20"/>
                <w:szCs w:val="20"/>
                <w:lang w:val="uk-UA"/>
              </w:rPr>
              <w:t xml:space="preserve"> реформування</w:t>
            </w:r>
            <w:r w:rsidRPr="00267B21">
              <w:rPr>
                <w:sz w:val="20"/>
                <w:szCs w:val="20"/>
                <w:lang w:val="uk-UA"/>
              </w:rPr>
              <w:t xml:space="preserve"> СУДФ, вже включені до робочих планів GIZ та по ним вже ведеться робота, тому це не вимагатиме від Міністерства фінансів додаткових зусиль. Це, зокрема, стосується, дуальної освіти у податковій сфері та підвищення рівня прозорості. Також він відзначив, що аспекту децентралізації приділена належна увага у Стратегії, при цьому варто додатково розглянути питання про роль та функції Рахункової палати і Державної аудиторської служби України на місцевому рівні, яке вже неодноразово піднімалося раніше, але так і не було вирішене.</w:t>
            </w:r>
          </w:p>
        </w:tc>
      </w:tr>
      <w:tr w:rsidR="00972861" w:rsidRPr="00C25F95" w14:paraId="293FF9A0" w14:textId="77777777" w:rsidTr="00DE5543">
        <w:trPr>
          <w:trHeight w:val="1881"/>
        </w:trPr>
        <w:tc>
          <w:tcPr>
            <w:tcW w:w="4818" w:type="dxa"/>
          </w:tcPr>
          <w:p w14:paraId="11401BED" w14:textId="5C237786" w:rsidR="00972861" w:rsidRPr="00C25F95" w:rsidRDefault="00972861" w:rsidP="002E17DC">
            <w:pPr>
              <w:pStyle w:val="TableParagraph"/>
              <w:ind w:right="94"/>
              <w:rPr>
                <w:sz w:val="20"/>
              </w:rPr>
            </w:pPr>
            <w:r w:rsidRPr="00C25F95">
              <w:rPr>
                <w:b/>
                <w:sz w:val="20"/>
                <w:szCs w:val="20"/>
              </w:rPr>
              <w:t xml:space="preserve">7. </w:t>
            </w:r>
            <w:r w:rsidR="00C13383" w:rsidRPr="00C25F95">
              <w:rPr>
                <w:b/>
                <w:sz w:val="20"/>
                <w:szCs w:val="20"/>
              </w:rPr>
              <w:t xml:space="preserve">Ms. </w:t>
            </w:r>
            <w:r w:rsidR="00D04D16">
              <w:rPr>
                <w:b/>
                <w:sz w:val="20"/>
                <w:szCs w:val="20"/>
              </w:rPr>
              <w:t xml:space="preserve">Ekaterina </w:t>
            </w:r>
            <w:proofErr w:type="spellStart"/>
            <w:r w:rsidR="00D04D16">
              <w:rPr>
                <w:b/>
                <w:sz w:val="20"/>
                <w:szCs w:val="20"/>
              </w:rPr>
              <w:t>Yakovleva</w:t>
            </w:r>
            <w:proofErr w:type="spellEnd"/>
            <w:r w:rsidR="00D04D16">
              <w:rPr>
                <w:b/>
                <w:sz w:val="20"/>
                <w:szCs w:val="20"/>
              </w:rPr>
              <w:t>, PFM Sector Manager,</w:t>
            </w:r>
            <w:r w:rsidR="00D04D16">
              <w:rPr>
                <w:b/>
                <w:sz w:val="20"/>
                <w:szCs w:val="20"/>
                <w:lang w:val="uk-UA"/>
              </w:rPr>
              <w:t xml:space="preserve"> </w:t>
            </w:r>
            <w:r w:rsidR="00C654C2">
              <w:rPr>
                <w:b/>
                <w:sz w:val="20"/>
                <w:szCs w:val="20"/>
              </w:rPr>
              <w:t xml:space="preserve">EU </w:t>
            </w:r>
            <w:r w:rsidRPr="00C25F95">
              <w:rPr>
                <w:b/>
                <w:sz w:val="20"/>
                <w:szCs w:val="20"/>
              </w:rPr>
              <w:t xml:space="preserve">Delegation to Ukraine, </w:t>
            </w:r>
            <w:r w:rsidR="0005061C" w:rsidRPr="00C25F95">
              <w:rPr>
                <w:sz w:val="20"/>
                <w:szCs w:val="20"/>
              </w:rPr>
              <w:t xml:space="preserve">outlined that the European Union </w:t>
            </w:r>
            <w:r w:rsidR="00BE0A0E" w:rsidRPr="00C25F95">
              <w:rPr>
                <w:sz w:val="20"/>
                <w:szCs w:val="20"/>
              </w:rPr>
              <w:t>pays particular attention to the link between the Public Administration Reform and PFM Reform and suggested that, as the updated PAR Strategy, which is currently being prepared,</w:t>
            </w:r>
            <w:r w:rsidR="00292558" w:rsidRPr="00C25F95">
              <w:rPr>
                <w:sz w:val="20"/>
                <w:szCs w:val="20"/>
              </w:rPr>
              <w:t xml:space="preserve"> will </w:t>
            </w:r>
            <w:r w:rsidR="002E17DC">
              <w:rPr>
                <w:sz w:val="20"/>
                <w:szCs w:val="20"/>
              </w:rPr>
              <w:t xml:space="preserve">cover </w:t>
            </w:r>
            <w:r w:rsidR="00292558" w:rsidRPr="00C25F95">
              <w:rPr>
                <w:sz w:val="20"/>
                <w:szCs w:val="20"/>
              </w:rPr>
              <w:t xml:space="preserve">the period </w:t>
            </w:r>
            <w:r w:rsidR="002E17DC">
              <w:rPr>
                <w:sz w:val="20"/>
                <w:szCs w:val="20"/>
              </w:rPr>
              <w:t xml:space="preserve">of </w:t>
            </w:r>
            <w:r w:rsidR="00292558" w:rsidRPr="00C25F95">
              <w:rPr>
                <w:sz w:val="20"/>
                <w:szCs w:val="20"/>
              </w:rPr>
              <w:t>2021</w:t>
            </w:r>
            <w:r w:rsidR="002E17DC">
              <w:rPr>
                <w:sz w:val="20"/>
                <w:szCs w:val="20"/>
              </w:rPr>
              <w:t xml:space="preserve"> to </w:t>
            </w:r>
            <w:r w:rsidR="00292558" w:rsidRPr="00C25F95">
              <w:rPr>
                <w:sz w:val="20"/>
                <w:szCs w:val="20"/>
              </w:rPr>
              <w:t>2025,</w:t>
            </w:r>
            <w:r w:rsidR="002E17DC">
              <w:rPr>
                <w:sz w:val="20"/>
                <w:szCs w:val="20"/>
              </w:rPr>
              <w:t xml:space="preserve"> </w:t>
            </w:r>
            <w:r w:rsidR="00BE0A0E" w:rsidRPr="00C25F95">
              <w:rPr>
                <w:sz w:val="20"/>
                <w:szCs w:val="20"/>
              </w:rPr>
              <w:t xml:space="preserve">PFM Reform Strategy </w:t>
            </w:r>
            <w:r w:rsidR="002E17DC">
              <w:rPr>
                <w:sz w:val="20"/>
                <w:szCs w:val="20"/>
              </w:rPr>
              <w:t xml:space="preserve">could cover the </w:t>
            </w:r>
            <w:r w:rsidR="00BE0A0E" w:rsidRPr="00C25F95">
              <w:rPr>
                <w:sz w:val="20"/>
                <w:szCs w:val="20"/>
              </w:rPr>
              <w:t xml:space="preserve">period </w:t>
            </w:r>
            <w:r w:rsidR="002E17DC">
              <w:rPr>
                <w:sz w:val="20"/>
                <w:szCs w:val="20"/>
              </w:rPr>
              <w:t xml:space="preserve">until 2025 </w:t>
            </w:r>
            <w:r w:rsidR="00292558" w:rsidRPr="00C25F95">
              <w:rPr>
                <w:sz w:val="20"/>
                <w:szCs w:val="20"/>
              </w:rPr>
              <w:t>too</w:t>
            </w:r>
            <w:r w:rsidR="00BE0A0E" w:rsidRPr="00C25F95">
              <w:rPr>
                <w:sz w:val="20"/>
                <w:szCs w:val="20"/>
              </w:rPr>
              <w:t>.</w:t>
            </w:r>
            <w:r w:rsidR="00BE0A0E" w:rsidRPr="00C25F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</w:tcPr>
          <w:p w14:paraId="637C0E5D" w14:textId="203F9CF6" w:rsidR="00BE0A0E" w:rsidRPr="00DF3E9D" w:rsidRDefault="00267B21" w:rsidP="00BE0A0E">
            <w:pPr>
              <w:pStyle w:val="TableParagraph"/>
              <w:ind w:right="95"/>
              <w:rPr>
                <w:sz w:val="20"/>
                <w:szCs w:val="20"/>
                <w:lang w:val="uk-UA"/>
              </w:rPr>
            </w:pPr>
            <w:r w:rsidRPr="00267B21">
              <w:rPr>
                <w:b/>
                <w:sz w:val="20"/>
                <w:szCs w:val="20"/>
                <w:lang w:val="uk-UA"/>
              </w:rPr>
              <w:t xml:space="preserve">7. </w:t>
            </w:r>
            <w:proofErr w:type="spellStart"/>
            <w:r w:rsidRPr="00267B21">
              <w:rPr>
                <w:b/>
                <w:sz w:val="20"/>
                <w:szCs w:val="20"/>
                <w:lang w:val="uk-UA"/>
              </w:rPr>
              <w:t>Єкатеріна</w:t>
            </w:r>
            <w:proofErr w:type="spellEnd"/>
            <w:r w:rsidRPr="00DF3E9D">
              <w:rPr>
                <w:b/>
                <w:sz w:val="20"/>
                <w:szCs w:val="20"/>
                <w:lang w:val="uk-UA"/>
              </w:rPr>
              <w:t xml:space="preserve"> Яковлєва, </w:t>
            </w:r>
            <w:r w:rsidR="00D04D16">
              <w:rPr>
                <w:b/>
                <w:sz w:val="20"/>
                <w:szCs w:val="20"/>
                <w:lang w:val="uk-UA"/>
              </w:rPr>
              <w:t>Менеджер Сектору</w:t>
            </w:r>
            <w:r w:rsidR="007F784F">
              <w:rPr>
                <w:b/>
                <w:sz w:val="20"/>
                <w:szCs w:val="20"/>
                <w:lang w:val="uk-UA"/>
              </w:rPr>
              <w:t xml:space="preserve"> СУДФ</w:t>
            </w:r>
            <w:r w:rsidR="00D04D1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DF3E9D">
              <w:rPr>
                <w:b/>
                <w:sz w:val="20"/>
                <w:szCs w:val="20"/>
                <w:lang w:val="uk-UA"/>
              </w:rPr>
              <w:t>Представництво ЄС в Україні</w:t>
            </w:r>
            <w:r w:rsidRPr="00DF3E9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відмітила</w:t>
            </w:r>
            <w:r w:rsidRPr="00DF3E9D">
              <w:rPr>
                <w:sz w:val="20"/>
                <w:szCs w:val="20"/>
                <w:lang w:val="uk-UA"/>
              </w:rPr>
              <w:t xml:space="preserve">, що </w:t>
            </w:r>
            <w:r>
              <w:rPr>
                <w:sz w:val="20"/>
                <w:szCs w:val="20"/>
                <w:lang w:val="uk-UA"/>
              </w:rPr>
              <w:t>ЄС приділяє особливу увагу зв</w:t>
            </w:r>
            <w:r w:rsidRPr="008C585C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 xml:space="preserve">язку між реформами державного управління та державних фінансів та запропонувала, що оскільки </w:t>
            </w:r>
            <w:r w:rsidRPr="00DF3E9D">
              <w:rPr>
                <w:sz w:val="20"/>
                <w:szCs w:val="20"/>
                <w:lang w:val="uk-UA"/>
              </w:rPr>
              <w:t xml:space="preserve">оновлена Стратегія реформування державного управління, яка наразі готується, буде на період 2021-2025 років, </w:t>
            </w:r>
            <w:r>
              <w:rPr>
                <w:sz w:val="20"/>
                <w:szCs w:val="20"/>
                <w:lang w:val="uk-UA"/>
              </w:rPr>
              <w:t xml:space="preserve">щоб </w:t>
            </w:r>
            <w:r w:rsidRPr="00DF3E9D">
              <w:rPr>
                <w:sz w:val="20"/>
                <w:szCs w:val="20"/>
                <w:lang w:val="uk-UA"/>
              </w:rPr>
              <w:t>Стратегія реформування СУДФ теж охоплювала період до 2025 року.</w:t>
            </w:r>
          </w:p>
        </w:tc>
      </w:tr>
      <w:tr w:rsidR="003166F2" w:rsidRPr="00C25F95" w14:paraId="55A027BA" w14:textId="77777777" w:rsidTr="00DE5543">
        <w:trPr>
          <w:trHeight w:val="1881"/>
        </w:trPr>
        <w:tc>
          <w:tcPr>
            <w:tcW w:w="4818" w:type="dxa"/>
          </w:tcPr>
          <w:p w14:paraId="792EFDC3" w14:textId="0C88542F" w:rsidR="003166F2" w:rsidRPr="00C25F95" w:rsidRDefault="003166F2" w:rsidP="003166F2">
            <w:pPr>
              <w:pStyle w:val="TableParagraph"/>
              <w:ind w:right="94"/>
              <w:rPr>
                <w:b/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 xml:space="preserve">8. Ms. </w:t>
            </w:r>
            <w:proofErr w:type="spellStart"/>
            <w:r w:rsidRPr="00C25F95">
              <w:rPr>
                <w:b/>
                <w:sz w:val="20"/>
                <w:szCs w:val="20"/>
              </w:rPr>
              <w:t>Ganna</w:t>
            </w:r>
            <w:proofErr w:type="spellEnd"/>
            <w:r w:rsidRPr="00C25F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5F95">
              <w:rPr>
                <w:b/>
                <w:sz w:val="20"/>
                <w:szCs w:val="20"/>
              </w:rPr>
              <w:t>Tsarenko</w:t>
            </w:r>
            <w:proofErr w:type="spellEnd"/>
            <w:r w:rsidRPr="00C25F95">
              <w:rPr>
                <w:b/>
                <w:sz w:val="20"/>
                <w:szCs w:val="20"/>
              </w:rPr>
              <w:t>, Project Coordinator</w:t>
            </w:r>
            <w:r>
              <w:rPr>
                <w:b/>
                <w:sz w:val="20"/>
                <w:szCs w:val="20"/>
              </w:rPr>
              <w:t>,</w:t>
            </w:r>
            <w:r w:rsidRPr="00C25F95">
              <w:rPr>
                <w:b/>
                <w:sz w:val="20"/>
                <w:szCs w:val="20"/>
              </w:rPr>
              <w:t xml:space="preserve"> SIDA, the Embassy of Sweden in Ukraine, </w:t>
            </w:r>
            <w:r w:rsidRPr="00C25F95">
              <w:rPr>
                <w:sz w:val="20"/>
                <w:szCs w:val="20"/>
              </w:rPr>
              <w:t xml:space="preserve">informed that «Gender Budgeting in Ukraine» and «Support to Decentralization in Ukraine» Projects </w:t>
            </w:r>
            <w:r>
              <w:rPr>
                <w:sz w:val="20"/>
                <w:szCs w:val="20"/>
              </w:rPr>
              <w:t xml:space="preserve">provided </w:t>
            </w:r>
            <w:r w:rsidRPr="00C25F95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>ir</w:t>
            </w:r>
            <w:r w:rsidRPr="00C25F95">
              <w:rPr>
                <w:sz w:val="20"/>
                <w:szCs w:val="20"/>
              </w:rPr>
              <w:t xml:space="preserve"> comments to the Strategy on budget planning and fiscal decentralization</w:t>
            </w:r>
            <w:r>
              <w:rPr>
                <w:sz w:val="20"/>
                <w:szCs w:val="20"/>
              </w:rPr>
              <w:t xml:space="preserve">. She </w:t>
            </w:r>
            <w:r w:rsidRPr="00C25F95">
              <w:rPr>
                <w:sz w:val="20"/>
                <w:szCs w:val="20"/>
              </w:rPr>
              <w:t>expressed the hope that the issue of the gender</w:t>
            </w:r>
            <w:r>
              <w:rPr>
                <w:sz w:val="20"/>
                <w:szCs w:val="20"/>
              </w:rPr>
              <w:t xml:space="preserve"> responsive </w:t>
            </w:r>
            <w:r w:rsidRPr="00C25F95">
              <w:rPr>
                <w:sz w:val="20"/>
                <w:szCs w:val="20"/>
              </w:rPr>
              <w:t>budgeting w</w:t>
            </w:r>
            <w:r>
              <w:rPr>
                <w:sz w:val="20"/>
                <w:szCs w:val="20"/>
              </w:rPr>
              <w:t>ill</w:t>
            </w:r>
            <w:r w:rsidRPr="00C25F95">
              <w:rPr>
                <w:sz w:val="20"/>
                <w:szCs w:val="20"/>
              </w:rPr>
              <w:t xml:space="preserve"> remain on the agenda of the Ministry of Finance. </w:t>
            </w:r>
            <w:r>
              <w:rPr>
                <w:sz w:val="20"/>
                <w:szCs w:val="20"/>
              </w:rPr>
              <w:t xml:space="preserve">They will send their </w:t>
            </w:r>
            <w:r w:rsidRPr="00C25F95">
              <w:rPr>
                <w:sz w:val="20"/>
                <w:szCs w:val="20"/>
              </w:rPr>
              <w:t>proposals about the candidates for the working subgroups later.</w:t>
            </w:r>
          </w:p>
        </w:tc>
        <w:tc>
          <w:tcPr>
            <w:tcW w:w="4818" w:type="dxa"/>
          </w:tcPr>
          <w:p w14:paraId="33345C1D" w14:textId="77777777" w:rsidR="003166F2" w:rsidRPr="00462295" w:rsidRDefault="003166F2" w:rsidP="003166F2">
            <w:pPr>
              <w:pStyle w:val="TableParagraph"/>
              <w:ind w:right="95"/>
              <w:rPr>
                <w:sz w:val="20"/>
                <w:szCs w:val="20"/>
                <w:lang w:val="uk-UA"/>
              </w:rPr>
            </w:pPr>
            <w:r w:rsidRPr="00267B21">
              <w:rPr>
                <w:b/>
                <w:sz w:val="20"/>
                <w:szCs w:val="20"/>
                <w:lang w:val="uk-UA"/>
              </w:rPr>
              <w:t>8. Ганна</w:t>
            </w:r>
            <w:r w:rsidRPr="00DF3E9D">
              <w:rPr>
                <w:b/>
                <w:sz w:val="20"/>
                <w:szCs w:val="20"/>
                <w:lang w:val="uk-UA"/>
              </w:rPr>
              <w:t xml:space="preserve"> Царенко, Координатор проектів SIDA від Посольства Швеції в Україні, </w:t>
            </w:r>
            <w:r w:rsidRPr="00DF3E9D">
              <w:rPr>
                <w:sz w:val="20"/>
                <w:szCs w:val="20"/>
                <w:lang w:val="uk-UA"/>
              </w:rPr>
              <w:t>повідомила, що проект</w:t>
            </w:r>
            <w:r>
              <w:rPr>
                <w:sz w:val="20"/>
                <w:szCs w:val="20"/>
                <w:lang w:val="uk-UA"/>
              </w:rPr>
              <w:t>и «</w:t>
            </w:r>
            <w:proofErr w:type="spellStart"/>
            <w:r>
              <w:rPr>
                <w:sz w:val="20"/>
                <w:szCs w:val="20"/>
                <w:lang w:val="uk-UA"/>
              </w:rPr>
              <w:t>Гендерно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DF3E9D">
              <w:rPr>
                <w:sz w:val="20"/>
                <w:szCs w:val="20"/>
                <w:lang w:val="uk-UA"/>
              </w:rPr>
              <w:t>орієнтоване бюджетування»</w:t>
            </w:r>
            <w:r>
              <w:rPr>
                <w:sz w:val="20"/>
                <w:szCs w:val="20"/>
                <w:lang w:val="uk-UA"/>
              </w:rPr>
              <w:t xml:space="preserve"> та «</w:t>
            </w:r>
            <w:r w:rsidRPr="00462295">
              <w:rPr>
                <w:sz w:val="20"/>
                <w:szCs w:val="20"/>
                <w:lang w:val="uk-UA"/>
              </w:rPr>
              <w:t>Підтримка децентралізації в</w:t>
            </w:r>
          </w:p>
          <w:p w14:paraId="1ACA154F" w14:textId="7ABE960E" w:rsidR="003166F2" w:rsidRPr="00267B21" w:rsidRDefault="003166F2" w:rsidP="003166F2">
            <w:pPr>
              <w:pStyle w:val="TableParagraph"/>
              <w:ind w:right="95"/>
              <w:rPr>
                <w:b/>
                <w:sz w:val="20"/>
                <w:szCs w:val="20"/>
                <w:lang w:val="uk-UA"/>
              </w:rPr>
            </w:pPr>
            <w:r w:rsidRPr="00462295">
              <w:rPr>
                <w:sz w:val="20"/>
                <w:szCs w:val="20"/>
                <w:lang w:val="uk-UA"/>
              </w:rPr>
              <w:t>Україні</w:t>
            </w:r>
            <w:r>
              <w:rPr>
                <w:sz w:val="20"/>
                <w:szCs w:val="20"/>
                <w:lang w:val="uk-UA"/>
              </w:rPr>
              <w:t>»</w:t>
            </w:r>
            <w:r w:rsidRPr="00DF3E9D">
              <w:rPr>
                <w:sz w:val="20"/>
                <w:szCs w:val="20"/>
                <w:lang w:val="uk-UA"/>
              </w:rPr>
              <w:t xml:space="preserve"> над</w:t>
            </w:r>
            <w:r>
              <w:rPr>
                <w:sz w:val="20"/>
                <w:szCs w:val="20"/>
                <w:lang w:val="uk-UA"/>
              </w:rPr>
              <w:t xml:space="preserve">али </w:t>
            </w:r>
            <w:r w:rsidRPr="00DF3E9D">
              <w:rPr>
                <w:sz w:val="20"/>
                <w:szCs w:val="20"/>
                <w:lang w:val="uk-UA"/>
              </w:rPr>
              <w:t xml:space="preserve">коментарі до Стратегії щодо бюджетного планування та </w:t>
            </w:r>
            <w:r>
              <w:rPr>
                <w:sz w:val="20"/>
                <w:szCs w:val="20"/>
                <w:lang w:val="uk-UA"/>
              </w:rPr>
              <w:t xml:space="preserve">фіскальної </w:t>
            </w:r>
            <w:r w:rsidRPr="00DF3E9D">
              <w:rPr>
                <w:sz w:val="20"/>
                <w:szCs w:val="20"/>
                <w:lang w:val="uk-UA"/>
              </w:rPr>
              <w:t xml:space="preserve">децентралізації, і висловила </w:t>
            </w:r>
            <w:r>
              <w:rPr>
                <w:sz w:val="20"/>
                <w:szCs w:val="20"/>
                <w:lang w:val="uk-UA"/>
              </w:rPr>
              <w:t xml:space="preserve">сподівання, що питання </w:t>
            </w:r>
            <w:proofErr w:type="spellStart"/>
            <w:r>
              <w:rPr>
                <w:sz w:val="20"/>
                <w:szCs w:val="20"/>
                <w:lang w:val="uk-UA"/>
              </w:rPr>
              <w:t>гендерно</w:t>
            </w:r>
            <w:proofErr w:type="spellEnd"/>
            <w:r w:rsidRPr="00C25F95">
              <w:rPr>
                <w:sz w:val="20"/>
                <w:szCs w:val="20"/>
                <w:lang w:val="uk-UA"/>
              </w:rPr>
              <w:t xml:space="preserve"> </w:t>
            </w:r>
            <w:r w:rsidRPr="00DF3E9D">
              <w:rPr>
                <w:sz w:val="20"/>
                <w:szCs w:val="20"/>
                <w:lang w:val="uk-UA"/>
              </w:rPr>
              <w:t>орієнтованого бюджетування залишиться на порядку денному роботи Міністерства фінансів. Пропозиції щодо кандидатур до робочих підгруп буде надано пізніше.</w:t>
            </w:r>
          </w:p>
        </w:tc>
      </w:tr>
      <w:tr w:rsidR="003166F2" w:rsidRPr="00C25F95" w14:paraId="0E9ECB5D" w14:textId="77777777" w:rsidTr="00DE5543">
        <w:trPr>
          <w:trHeight w:val="1881"/>
        </w:trPr>
        <w:tc>
          <w:tcPr>
            <w:tcW w:w="4818" w:type="dxa"/>
          </w:tcPr>
          <w:p w14:paraId="42AD6CEA" w14:textId="553ED5F3" w:rsidR="003166F2" w:rsidRPr="00C25F95" w:rsidRDefault="003166F2" w:rsidP="003166F2">
            <w:pPr>
              <w:pStyle w:val="TableParagraph"/>
              <w:ind w:right="94"/>
              <w:rPr>
                <w:b/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>9. Mr. Xavier Camus, Head of Governance Section</w:t>
            </w:r>
            <w:r>
              <w:rPr>
                <w:b/>
                <w:sz w:val="20"/>
                <w:szCs w:val="20"/>
              </w:rPr>
              <w:t xml:space="preserve">, EU </w:t>
            </w:r>
            <w:r w:rsidRPr="00C25F95">
              <w:rPr>
                <w:b/>
                <w:sz w:val="20"/>
                <w:szCs w:val="20"/>
              </w:rPr>
              <w:t xml:space="preserve">Delegation to Ukraine, Co-Chair, </w:t>
            </w:r>
            <w:r w:rsidRPr="00C25F95">
              <w:rPr>
                <w:sz w:val="20"/>
                <w:szCs w:val="20"/>
              </w:rPr>
              <w:t xml:space="preserve">asked the Ukrainian side how the Strategy </w:t>
            </w:r>
            <w:r>
              <w:rPr>
                <w:sz w:val="20"/>
                <w:szCs w:val="20"/>
              </w:rPr>
              <w:t xml:space="preserve">addressed </w:t>
            </w:r>
            <w:r w:rsidRPr="00C25F95">
              <w:rPr>
                <w:sz w:val="20"/>
                <w:szCs w:val="20"/>
              </w:rPr>
              <w:t xml:space="preserve">«the Green </w:t>
            </w:r>
            <w:r>
              <w:rPr>
                <w:sz w:val="20"/>
                <w:szCs w:val="20"/>
              </w:rPr>
              <w:t>Deal</w:t>
            </w:r>
            <w:r w:rsidRPr="00C25F95">
              <w:rPr>
                <w:sz w:val="20"/>
                <w:szCs w:val="20"/>
              </w:rPr>
              <w:t xml:space="preserve">» which provides for the environmental dimension of the PFM System. </w:t>
            </w:r>
            <w:r>
              <w:rPr>
                <w:sz w:val="20"/>
                <w:szCs w:val="20"/>
              </w:rPr>
              <w:t xml:space="preserve">The Ukrainian side answered they </w:t>
            </w:r>
            <w:r w:rsidRPr="00C25F9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ill carefully</w:t>
            </w:r>
            <w:r w:rsidRPr="00C25F95">
              <w:rPr>
                <w:sz w:val="20"/>
                <w:szCs w:val="20"/>
              </w:rPr>
              <w:t xml:space="preserve"> study the possibility of considering «the Green Deal» in the PFM Reform Strategy.</w:t>
            </w:r>
          </w:p>
        </w:tc>
        <w:tc>
          <w:tcPr>
            <w:tcW w:w="4818" w:type="dxa"/>
          </w:tcPr>
          <w:p w14:paraId="123822E1" w14:textId="20165BE4" w:rsidR="003166F2" w:rsidRPr="00267B21" w:rsidRDefault="003166F2" w:rsidP="003166F2">
            <w:pPr>
              <w:pStyle w:val="TableParagraph"/>
              <w:ind w:right="95"/>
              <w:rPr>
                <w:b/>
                <w:sz w:val="20"/>
                <w:szCs w:val="20"/>
                <w:lang w:val="uk-UA"/>
              </w:rPr>
            </w:pPr>
            <w:r w:rsidRPr="00267B21">
              <w:rPr>
                <w:b/>
                <w:sz w:val="20"/>
                <w:szCs w:val="20"/>
                <w:lang w:val="uk-UA"/>
              </w:rPr>
              <w:t>9. Ксав’є</w:t>
            </w:r>
            <w:r w:rsidRPr="00DF3E9D">
              <w:rPr>
                <w:b/>
                <w:sz w:val="20"/>
                <w:szCs w:val="20"/>
                <w:lang w:val="uk-UA"/>
              </w:rPr>
              <w:t xml:space="preserve"> Камю, Керівник Відділу з питань урядування Представництва Європейського Союзу в Україні, Співголова РГ,</w:t>
            </w:r>
            <w:r w:rsidRPr="00DF3E9D">
              <w:rPr>
                <w:sz w:val="20"/>
                <w:szCs w:val="20"/>
                <w:lang w:val="uk-UA"/>
              </w:rPr>
              <w:t xml:space="preserve"> поставив питання українській стороні про те, яким чином у Стратегії був врахований «зелений аспект», який передбачає екологічний вимір СУДФ. Українська сторона відповіла, що детально вивчить питання</w:t>
            </w:r>
            <w:r>
              <w:rPr>
                <w:sz w:val="20"/>
                <w:szCs w:val="20"/>
                <w:lang w:val="uk-UA"/>
              </w:rPr>
              <w:t xml:space="preserve"> щодо можливості</w:t>
            </w:r>
            <w:r w:rsidRPr="00DF3E9D">
              <w:rPr>
                <w:sz w:val="20"/>
                <w:szCs w:val="20"/>
                <w:lang w:val="uk-UA"/>
              </w:rPr>
              <w:t xml:space="preserve"> врахування «зеленого аспекту» у Стратегії управління державними фінансами.</w:t>
            </w:r>
          </w:p>
        </w:tc>
      </w:tr>
    </w:tbl>
    <w:p w14:paraId="32008E81" w14:textId="77777777" w:rsidR="00CE52E0" w:rsidRDefault="00CE52E0">
      <w:r>
        <w:br w:type="page"/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8"/>
      </w:tblGrid>
      <w:tr w:rsidR="00972861" w:rsidRPr="00C25F95" w14:paraId="4DE3AEC5" w14:textId="77777777" w:rsidTr="0044548A">
        <w:trPr>
          <w:trHeight w:val="556"/>
        </w:trPr>
        <w:tc>
          <w:tcPr>
            <w:tcW w:w="4818" w:type="dxa"/>
          </w:tcPr>
          <w:p w14:paraId="206F49DA" w14:textId="4BF0E36D" w:rsidR="00972861" w:rsidRPr="00C25F95" w:rsidRDefault="00972861" w:rsidP="00F1583C">
            <w:pPr>
              <w:pStyle w:val="TableParagraph"/>
              <w:ind w:right="94"/>
              <w:rPr>
                <w:sz w:val="20"/>
              </w:rPr>
            </w:pPr>
            <w:r w:rsidRPr="00C25F95">
              <w:rPr>
                <w:b/>
                <w:sz w:val="20"/>
                <w:szCs w:val="20"/>
              </w:rPr>
              <w:lastRenderedPageBreak/>
              <w:t xml:space="preserve">10. </w:t>
            </w:r>
            <w:r w:rsidR="00C13383" w:rsidRPr="00C25F95">
              <w:rPr>
                <w:b/>
                <w:sz w:val="20"/>
                <w:szCs w:val="20"/>
              </w:rPr>
              <w:t xml:space="preserve">Ms. </w:t>
            </w:r>
            <w:r w:rsidRPr="00C25F95">
              <w:rPr>
                <w:b/>
                <w:sz w:val="20"/>
                <w:szCs w:val="20"/>
              </w:rPr>
              <w:t xml:space="preserve">Michelle Stone, Senior Economist, International Monetary Fund, </w:t>
            </w:r>
            <w:r w:rsidR="00B15B9F">
              <w:rPr>
                <w:sz w:val="20"/>
                <w:szCs w:val="20"/>
              </w:rPr>
              <w:t>confirm</w:t>
            </w:r>
            <w:r w:rsidR="00FF6C65" w:rsidRPr="00C25F95">
              <w:rPr>
                <w:sz w:val="20"/>
                <w:szCs w:val="20"/>
              </w:rPr>
              <w:t>ed</w:t>
            </w:r>
            <w:r w:rsidR="002261DF" w:rsidRPr="00C25F95">
              <w:rPr>
                <w:sz w:val="20"/>
                <w:szCs w:val="20"/>
              </w:rPr>
              <w:t xml:space="preserve"> </w:t>
            </w:r>
            <w:r w:rsidR="00B15B9F">
              <w:rPr>
                <w:sz w:val="20"/>
                <w:szCs w:val="20"/>
              </w:rPr>
              <w:t xml:space="preserve">that </w:t>
            </w:r>
            <w:r w:rsidR="00B15B9F" w:rsidRPr="00C25F95">
              <w:rPr>
                <w:sz w:val="20"/>
                <w:szCs w:val="20"/>
              </w:rPr>
              <w:t xml:space="preserve">the Ministry </w:t>
            </w:r>
            <w:r w:rsidR="00B15B9F">
              <w:rPr>
                <w:sz w:val="20"/>
                <w:szCs w:val="20"/>
              </w:rPr>
              <w:t xml:space="preserve">correctly </w:t>
            </w:r>
            <w:r w:rsidR="00B15B9F" w:rsidRPr="00C25F95">
              <w:rPr>
                <w:sz w:val="20"/>
                <w:szCs w:val="20"/>
              </w:rPr>
              <w:t xml:space="preserve">identified </w:t>
            </w:r>
            <w:r w:rsidR="00E5274D" w:rsidRPr="00C25F95">
              <w:rPr>
                <w:sz w:val="20"/>
                <w:szCs w:val="20"/>
              </w:rPr>
              <w:t>the main challenges</w:t>
            </w:r>
            <w:r w:rsidR="002261DF" w:rsidRPr="00C25F95">
              <w:rPr>
                <w:sz w:val="20"/>
                <w:szCs w:val="20"/>
              </w:rPr>
              <w:t xml:space="preserve"> for </w:t>
            </w:r>
            <w:r w:rsidR="00E5274D" w:rsidRPr="00C25F95">
              <w:rPr>
                <w:sz w:val="20"/>
                <w:szCs w:val="20"/>
              </w:rPr>
              <w:t xml:space="preserve">the PFM Reform and noted that the plans for the reform </w:t>
            </w:r>
            <w:r w:rsidR="00B15B9F" w:rsidRPr="00C25F95">
              <w:rPr>
                <w:sz w:val="20"/>
                <w:szCs w:val="20"/>
              </w:rPr>
              <w:t xml:space="preserve">implementation </w:t>
            </w:r>
            <w:r w:rsidR="00E5274D" w:rsidRPr="00C25F95">
              <w:rPr>
                <w:sz w:val="20"/>
                <w:szCs w:val="20"/>
              </w:rPr>
              <w:t xml:space="preserve">are ambitious and require </w:t>
            </w:r>
            <w:r w:rsidR="00B15B9F">
              <w:rPr>
                <w:sz w:val="20"/>
                <w:szCs w:val="20"/>
              </w:rPr>
              <w:t>proper</w:t>
            </w:r>
            <w:r w:rsidR="00E5274D" w:rsidRPr="00C25F95">
              <w:rPr>
                <w:sz w:val="20"/>
                <w:szCs w:val="20"/>
              </w:rPr>
              <w:t xml:space="preserve"> coordination and management. Ms. Stone also confirmed the intention of the IMF to continue supporting the reform, in particular medium-term budget planning, fiscal risk management, and the reform of the State Tax Service.</w:t>
            </w:r>
          </w:p>
        </w:tc>
        <w:tc>
          <w:tcPr>
            <w:tcW w:w="4818" w:type="dxa"/>
          </w:tcPr>
          <w:p w14:paraId="6870E3E5" w14:textId="4B755C95" w:rsidR="002261DF" w:rsidRPr="00DF3E9D" w:rsidRDefault="00972861" w:rsidP="00E5274D">
            <w:pPr>
              <w:pStyle w:val="TableParagraph"/>
              <w:ind w:right="95"/>
              <w:rPr>
                <w:sz w:val="20"/>
                <w:szCs w:val="20"/>
                <w:lang w:val="uk-UA"/>
              </w:rPr>
            </w:pPr>
            <w:r w:rsidRPr="00516071">
              <w:rPr>
                <w:b/>
                <w:sz w:val="20"/>
                <w:szCs w:val="20"/>
                <w:lang w:val="uk-UA"/>
              </w:rPr>
              <w:t>10. Мішель</w:t>
            </w:r>
            <w:r w:rsidR="00516071">
              <w:rPr>
                <w:b/>
                <w:sz w:val="20"/>
                <w:szCs w:val="20"/>
                <w:lang w:val="uk-UA"/>
              </w:rPr>
              <w:t xml:space="preserve"> Стоун, Старший економіст</w:t>
            </w:r>
            <w:r w:rsidRPr="00DF3E9D">
              <w:rPr>
                <w:b/>
                <w:sz w:val="20"/>
                <w:szCs w:val="20"/>
                <w:lang w:val="uk-UA"/>
              </w:rPr>
              <w:t xml:space="preserve"> М</w:t>
            </w:r>
            <w:r w:rsidR="00F9723B">
              <w:rPr>
                <w:b/>
                <w:sz w:val="20"/>
                <w:szCs w:val="20"/>
                <w:lang w:val="uk-UA"/>
              </w:rPr>
              <w:t>іжнародного валютного фонду</w:t>
            </w:r>
            <w:r w:rsidRPr="00DF3E9D">
              <w:rPr>
                <w:b/>
                <w:sz w:val="20"/>
                <w:szCs w:val="20"/>
                <w:lang w:val="uk-UA"/>
              </w:rPr>
              <w:t>,</w:t>
            </w:r>
            <w:r w:rsidRPr="00DF3E9D">
              <w:rPr>
                <w:sz w:val="20"/>
                <w:szCs w:val="20"/>
                <w:lang w:val="uk-UA"/>
              </w:rPr>
              <w:t xml:space="preserve"> </w:t>
            </w:r>
            <w:r w:rsidR="00267B21" w:rsidRPr="00267B21">
              <w:rPr>
                <w:sz w:val="20"/>
                <w:szCs w:val="20"/>
                <w:lang w:val="uk-UA"/>
              </w:rPr>
              <w:t>відзначила правильність визначених Міністерством основних викликів для реформи СУДФ та зазначила, що плани з реалізації реформи є амбітними та вимагають ретельної координації та управління. Пані Стоун також підтвердила наміри МВФ продовжувати надання підтримки у сфері бюджетної реформи, передусім середньострокового бюджетного планування, управління фіскальними ризиками, а також реформування Державної податкової служби.</w:t>
            </w:r>
          </w:p>
        </w:tc>
      </w:tr>
      <w:tr w:rsidR="00972861" w:rsidRPr="00C25F95" w14:paraId="4F7AE83A" w14:textId="77777777" w:rsidTr="00DE5543">
        <w:trPr>
          <w:trHeight w:val="1881"/>
        </w:trPr>
        <w:tc>
          <w:tcPr>
            <w:tcW w:w="4818" w:type="dxa"/>
          </w:tcPr>
          <w:p w14:paraId="7A64A9C2" w14:textId="54EFD8C1" w:rsidR="00972861" w:rsidRPr="00C25F95" w:rsidRDefault="00972861" w:rsidP="00972861">
            <w:pPr>
              <w:pStyle w:val="TableParagraph"/>
              <w:ind w:right="94"/>
              <w:rPr>
                <w:sz w:val="20"/>
                <w:szCs w:val="20"/>
              </w:rPr>
            </w:pPr>
            <w:r w:rsidRPr="00C25F95">
              <w:rPr>
                <w:b/>
                <w:sz w:val="20"/>
                <w:szCs w:val="20"/>
              </w:rPr>
              <w:t xml:space="preserve">11. Mr. Denys </w:t>
            </w:r>
            <w:proofErr w:type="spellStart"/>
            <w:r w:rsidRPr="00C25F95">
              <w:rPr>
                <w:b/>
                <w:sz w:val="20"/>
                <w:szCs w:val="20"/>
              </w:rPr>
              <w:t>Ulyutin</w:t>
            </w:r>
            <w:proofErr w:type="spellEnd"/>
            <w:r w:rsidRPr="00C25F95">
              <w:rPr>
                <w:b/>
                <w:sz w:val="20"/>
                <w:szCs w:val="20"/>
              </w:rPr>
              <w:t xml:space="preserve">, First Deputy Finance Minister of Ukraine, Chair, </w:t>
            </w:r>
            <w:r w:rsidRPr="00C25F95">
              <w:rPr>
                <w:sz w:val="20"/>
                <w:szCs w:val="20"/>
              </w:rPr>
              <w:t>in the closing remarks expressed hope for</w:t>
            </w:r>
            <w:r w:rsidR="00FF6C65" w:rsidRPr="00C25F95">
              <w:rPr>
                <w:sz w:val="20"/>
                <w:szCs w:val="20"/>
              </w:rPr>
              <w:t xml:space="preserve"> </w:t>
            </w:r>
            <w:r w:rsidRPr="00C25F95">
              <w:rPr>
                <w:sz w:val="20"/>
                <w:szCs w:val="20"/>
              </w:rPr>
              <w:t xml:space="preserve">further cooperation and </w:t>
            </w:r>
            <w:r w:rsidR="00F1583C">
              <w:rPr>
                <w:sz w:val="20"/>
                <w:szCs w:val="20"/>
              </w:rPr>
              <w:t>under</w:t>
            </w:r>
            <w:r w:rsidRPr="00C25F95">
              <w:rPr>
                <w:sz w:val="20"/>
                <w:szCs w:val="20"/>
              </w:rPr>
              <w:t>line</w:t>
            </w:r>
            <w:r w:rsidR="00B05527" w:rsidRPr="00C25F95">
              <w:rPr>
                <w:sz w:val="20"/>
                <w:szCs w:val="20"/>
              </w:rPr>
              <w:t>d the importance of the PFM Reform Strategy</w:t>
            </w:r>
            <w:r w:rsidRPr="00C25F95">
              <w:rPr>
                <w:sz w:val="20"/>
                <w:szCs w:val="20"/>
              </w:rPr>
              <w:t xml:space="preserve"> and </w:t>
            </w:r>
            <w:r w:rsidR="00F1583C">
              <w:rPr>
                <w:sz w:val="20"/>
                <w:szCs w:val="20"/>
              </w:rPr>
              <w:t xml:space="preserve">high </w:t>
            </w:r>
            <w:r w:rsidRPr="00C25F95">
              <w:rPr>
                <w:sz w:val="20"/>
                <w:szCs w:val="20"/>
              </w:rPr>
              <w:t>quality</w:t>
            </w:r>
            <w:r w:rsidR="00F1583C">
              <w:rPr>
                <w:sz w:val="20"/>
                <w:szCs w:val="20"/>
              </w:rPr>
              <w:t xml:space="preserve"> of</w:t>
            </w:r>
            <w:r w:rsidR="00F1583C" w:rsidRPr="00C25F95">
              <w:rPr>
                <w:sz w:val="20"/>
                <w:szCs w:val="20"/>
              </w:rPr>
              <w:t xml:space="preserve"> its preparation</w:t>
            </w:r>
            <w:r w:rsidRPr="00C25F95">
              <w:rPr>
                <w:sz w:val="20"/>
                <w:szCs w:val="20"/>
              </w:rPr>
              <w:t xml:space="preserve">, which will ensure </w:t>
            </w:r>
            <w:r w:rsidR="00F1583C">
              <w:rPr>
                <w:sz w:val="20"/>
                <w:szCs w:val="20"/>
              </w:rPr>
              <w:t xml:space="preserve">high </w:t>
            </w:r>
            <w:r w:rsidR="00F1583C" w:rsidRPr="00C25F95">
              <w:rPr>
                <w:sz w:val="20"/>
                <w:szCs w:val="20"/>
              </w:rPr>
              <w:t xml:space="preserve">quality </w:t>
            </w:r>
            <w:r w:rsidR="00F1583C">
              <w:rPr>
                <w:sz w:val="20"/>
                <w:szCs w:val="20"/>
              </w:rPr>
              <w:t xml:space="preserve">of </w:t>
            </w:r>
            <w:r w:rsidRPr="00C25F95">
              <w:rPr>
                <w:sz w:val="20"/>
                <w:szCs w:val="20"/>
              </w:rPr>
              <w:t xml:space="preserve">its further implementation. Mr. </w:t>
            </w:r>
            <w:proofErr w:type="spellStart"/>
            <w:r w:rsidRPr="00C25F95">
              <w:rPr>
                <w:sz w:val="20"/>
                <w:szCs w:val="20"/>
              </w:rPr>
              <w:t>Ulyutin</w:t>
            </w:r>
            <w:proofErr w:type="spellEnd"/>
            <w:r w:rsidRPr="00C25F95">
              <w:rPr>
                <w:sz w:val="20"/>
                <w:szCs w:val="20"/>
              </w:rPr>
              <w:t xml:space="preserve"> invited the </w:t>
            </w:r>
            <w:r w:rsidR="00F1583C">
              <w:rPr>
                <w:sz w:val="20"/>
                <w:szCs w:val="20"/>
              </w:rPr>
              <w:t>DP</w:t>
            </w:r>
            <w:r w:rsidRPr="00C25F95">
              <w:rPr>
                <w:sz w:val="20"/>
                <w:szCs w:val="20"/>
              </w:rPr>
              <w:t xml:space="preserve">s </w:t>
            </w:r>
            <w:proofErr w:type="gramStart"/>
            <w:r w:rsidRPr="00C25F95">
              <w:rPr>
                <w:sz w:val="20"/>
                <w:szCs w:val="20"/>
              </w:rPr>
              <w:t>to actively provide</w:t>
            </w:r>
            <w:proofErr w:type="gramEnd"/>
            <w:r w:rsidRPr="00C25F95">
              <w:rPr>
                <w:sz w:val="20"/>
                <w:szCs w:val="20"/>
              </w:rPr>
              <w:t xml:space="preserve"> their comments and suggestions, which will be further </w:t>
            </w:r>
            <w:r w:rsidR="00F1583C">
              <w:rPr>
                <w:sz w:val="20"/>
                <w:szCs w:val="20"/>
              </w:rPr>
              <w:t>address</w:t>
            </w:r>
            <w:r w:rsidRPr="00C25F95">
              <w:rPr>
                <w:sz w:val="20"/>
                <w:szCs w:val="20"/>
              </w:rPr>
              <w:t>ed in the working subgroups.</w:t>
            </w:r>
          </w:p>
          <w:p w14:paraId="32B48898" w14:textId="7DA04E88" w:rsidR="0039487D" w:rsidRPr="00C25F95" w:rsidRDefault="0039487D" w:rsidP="0039487D">
            <w:pPr>
              <w:pStyle w:val="TableParagraph"/>
              <w:ind w:left="0" w:right="94"/>
              <w:rPr>
                <w:sz w:val="20"/>
              </w:rPr>
            </w:pPr>
          </w:p>
        </w:tc>
        <w:tc>
          <w:tcPr>
            <w:tcW w:w="4818" w:type="dxa"/>
          </w:tcPr>
          <w:p w14:paraId="52E8FE91" w14:textId="3D7B6655" w:rsidR="00972861" w:rsidRPr="00DF3E9D" w:rsidRDefault="00267B21" w:rsidP="00972861">
            <w:pPr>
              <w:pStyle w:val="TableParagraph"/>
              <w:ind w:right="95"/>
              <w:rPr>
                <w:sz w:val="20"/>
                <w:szCs w:val="20"/>
                <w:lang w:val="uk-UA"/>
              </w:rPr>
            </w:pPr>
            <w:r w:rsidRPr="00DF3E9D">
              <w:rPr>
                <w:b/>
                <w:sz w:val="20"/>
                <w:szCs w:val="20"/>
                <w:lang w:val="uk-UA"/>
              </w:rPr>
              <w:t xml:space="preserve">11. Денис </w:t>
            </w:r>
            <w:proofErr w:type="spellStart"/>
            <w:r w:rsidRPr="00DF3E9D">
              <w:rPr>
                <w:b/>
                <w:sz w:val="20"/>
                <w:szCs w:val="20"/>
                <w:lang w:val="uk-UA"/>
              </w:rPr>
              <w:t>Улютін</w:t>
            </w:r>
            <w:proofErr w:type="spellEnd"/>
            <w:r w:rsidRPr="00DF3E9D">
              <w:rPr>
                <w:b/>
                <w:sz w:val="20"/>
                <w:szCs w:val="20"/>
                <w:lang w:val="uk-UA"/>
              </w:rPr>
              <w:t xml:space="preserve">, Перший заступник Міністра фінансів України, </w:t>
            </w:r>
            <w:r>
              <w:rPr>
                <w:b/>
                <w:sz w:val="20"/>
                <w:szCs w:val="20"/>
                <w:lang w:val="uk-UA"/>
              </w:rPr>
              <w:t>Г</w:t>
            </w:r>
            <w:r w:rsidRPr="00DF3E9D">
              <w:rPr>
                <w:b/>
                <w:sz w:val="20"/>
                <w:szCs w:val="20"/>
                <w:lang w:val="uk-UA"/>
              </w:rPr>
              <w:t>олова РГ,</w:t>
            </w:r>
            <w:r w:rsidRPr="00DF3E9D">
              <w:rPr>
                <w:sz w:val="20"/>
                <w:szCs w:val="20"/>
                <w:lang w:val="uk-UA"/>
              </w:rPr>
              <w:t xml:space="preserve"> у завершальному слові висловив сподівання на подальшу співпрацю і наголосив на важливості Стратегії </w:t>
            </w:r>
            <w:r w:rsidR="00F86E2B">
              <w:rPr>
                <w:sz w:val="20"/>
                <w:szCs w:val="20"/>
                <w:lang w:val="uk-UA"/>
              </w:rPr>
              <w:t>реформування</w:t>
            </w:r>
            <w:r w:rsidRPr="00DF3E9D">
              <w:rPr>
                <w:sz w:val="20"/>
                <w:szCs w:val="20"/>
                <w:lang w:val="uk-UA"/>
              </w:rPr>
              <w:t xml:space="preserve"> СУДФ та її якісної підготовки, яка забезпечить подальшу її якісну реалізацію. Пан </w:t>
            </w:r>
            <w:proofErr w:type="spellStart"/>
            <w:r w:rsidRPr="00DF3E9D">
              <w:rPr>
                <w:sz w:val="20"/>
                <w:szCs w:val="20"/>
                <w:lang w:val="uk-UA"/>
              </w:rPr>
              <w:t>Улютін</w:t>
            </w:r>
            <w:proofErr w:type="spellEnd"/>
            <w:r w:rsidRPr="00DF3E9D">
              <w:rPr>
                <w:sz w:val="20"/>
                <w:szCs w:val="20"/>
                <w:lang w:val="uk-UA"/>
              </w:rPr>
              <w:t xml:space="preserve"> запросив партнерів з розвитку активно надавати свої коментарі та пропозиції, які в подальшому будуть опрацьовані у робочих підгрупах.</w:t>
            </w:r>
          </w:p>
        </w:tc>
      </w:tr>
      <w:tr w:rsidR="003166F2" w:rsidRPr="00C25F95" w14:paraId="50526B1D" w14:textId="77777777" w:rsidTr="00DE5543">
        <w:trPr>
          <w:trHeight w:val="1881"/>
        </w:trPr>
        <w:tc>
          <w:tcPr>
            <w:tcW w:w="4818" w:type="dxa"/>
          </w:tcPr>
          <w:p w14:paraId="2527EB73" w14:textId="77777777" w:rsidR="003166F2" w:rsidRPr="00F1583C" w:rsidRDefault="003166F2" w:rsidP="003166F2">
            <w:pPr>
              <w:pStyle w:val="TableParagraph"/>
              <w:spacing w:line="242" w:lineRule="auto"/>
              <w:ind w:right="100"/>
              <w:rPr>
                <w:sz w:val="20"/>
              </w:rPr>
            </w:pPr>
            <w:r w:rsidRPr="00F1583C">
              <w:rPr>
                <w:i/>
                <w:sz w:val="20"/>
              </w:rPr>
              <w:t>Drafted by</w:t>
            </w:r>
            <w:r w:rsidRPr="00F1583C">
              <w:rPr>
                <w:sz w:val="20"/>
              </w:rPr>
              <w:t xml:space="preserve">: Mr. Igor </w:t>
            </w:r>
            <w:proofErr w:type="spellStart"/>
            <w:r w:rsidRPr="00F1583C">
              <w:rPr>
                <w:sz w:val="20"/>
              </w:rPr>
              <w:t>Shevliakov</w:t>
            </w:r>
            <w:proofErr w:type="spellEnd"/>
            <w:r w:rsidRPr="00F1583C">
              <w:rPr>
                <w:sz w:val="20"/>
              </w:rPr>
              <w:t>, Head of Expert Group on European Integration, the Directorate for Strategic Planning and European Integration of the Ministry</w:t>
            </w:r>
            <w:r w:rsidRPr="00F1583C">
              <w:rPr>
                <w:spacing w:val="-32"/>
                <w:sz w:val="20"/>
              </w:rPr>
              <w:t xml:space="preserve"> </w:t>
            </w:r>
            <w:r w:rsidRPr="00F1583C">
              <w:rPr>
                <w:sz w:val="20"/>
              </w:rPr>
              <w:t>of Finance of</w:t>
            </w:r>
            <w:r w:rsidRPr="00F1583C">
              <w:rPr>
                <w:spacing w:val="-2"/>
                <w:sz w:val="20"/>
              </w:rPr>
              <w:t xml:space="preserve"> </w:t>
            </w:r>
            <w:r w:rsidRPr="00F1583C">
              <w:rPr>
                <w:sz w:val="20"/>
              </w:rPr>
              <w:t>Ukraine</w:t>
            </w:r>
          </w:p>
          <w:p w14:paraId="078053E0" w14:textId="77777777" w:rsidR="003166F2" w:rsidRPr="00F1583C" w:rsidRDefault="003166F2" w:rsidP="003166F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  <w:p w14:paraId="611E7B96" w14:textId="77777777" w:rsidR="003166F2" w:rsidRPr="00F1583C" w:rsidRDefault="003166F2" w:rsidP="003166F2">
            <w:pPr>
              <w:pStyle w:val="TableParagraph"/>
              <w:spacing w:before="189"/>
              <w:rPr>
                <w:i/>
                <w:sz w:val="20"/>
                <w:szCs w:val="20"/>
              </w:rPr>
            </w:pPr>
            <w:r w:rsidRPr="00F1583C">
              <w:rPr>
                <w:i/>
                <w:sz w:val="20"/>
                <w:szCs w:val="20"/>
              </w:rPr>
              <w:t>Approved by:</w:t>
            </w:r>
          </w:p>
          <w:p w14:paraId="697800B5" w14:textId="77777777" w:rsidR="003166F2" w:rsidRPr="00F1583C" w:rsidRDefault="003166F2" w:rsidP="003166F2">
            <w:pPr>
              <w:pStyle w:val="TableParagraph"/>
              <w:spacing w:before="114"/>
              <w:ind w:right="124"/>
              <w:rPr>
                <w:b/>
                <w:sz w:val="20"/>
                <w:szCs w:val="20"/>
              </w:rPr>
            </w:pPr>
            <w:r w:rsidRPr="00F1583C">
              <w:rPr>
                <w:b/>
                <w:sz w:val="20"/>
                <w:szCs w:val="20"/>
              </w:rPr>
              <w:t xml:space="preserve">Mr. Denys </w:t>
            </w:r>
            <w:proofErr w:type="spellStart"/>
            <w:r w:rsidRPr="00F1583C">
              <w:rPr>
                <w:b/>
                <w:sz w:val="20"/>
                <w:szCs w:val="20"/>
              </w:rPr>
              <w:t>Ulyutin</w:t>
            </w:r>
            <w:proofErr w:type="spellEnd"/>
            <w:r w:rsidRPr="00F1583C">
              <w:rPr>
                <w:b/>
                <w:sz w:val="20"/>
                <w:szCs w:val="20"/>
              </w:rPr>
              <w:t xml:space="preserve">, </w:t>
            </w:r>
            <w:r w:rsidRPr="00F1583C">
              <w:rPr>
                <w:sz w:val="20"/>
                <w:szCs w:val="20"/>
              </w:rPr>
              <w:t>First Deputy Finance Minister of Ukraine, Chair</w:t>
            </w:r>
          </w:p>
          <w:p w14:paraId="6900BAD2" w14:textId="3BC00A14" w:rsidR="003166F2" w:rsidRPr="00C25F95" w:rsidRDefault="003166F2" w:rsidP="003166F2">
            <w:pPr>
              <w:pStyle w:val="TableParagraph"/>
              <w:ind w:right="94"/>
              <w:rPr>
                <w:b/>
                <w:sz w:val="20"/>
                <w:szCs w:val="20"/>
              </w:rPr>
            </w:pPr>
            <w:r w:rsidRPr="00F1583C">
              <w:rPr>
                <w:b/>
                <w:sz w:val="20"/>
                <w:szCs w:val="20"/>
              </w:rPr>
              <w:t xml:space="preserve">Mr. Xavier Camus, </w:t>
            </w:r>
            <w:r w:rsidRPr="00F1583C">
              <w:rPr>
                <w:sz w:val="20"/>
                <w:szCs w:val="20"/>
              </w:rPr>
              <w:t>Head of Governance Section, EU Delegation to Ukraine, Co-Chair</w:t>
            </w:r>
          </w:p>
        </w:tc>
        <w:tc>
          <w:tcPr>
            <w:tcW w:w="4818" w:type="dxa"/>
          </w:tcPr>
          <w:p w14:paraId="14B47441" w14:textId="77777777" w:rsidR="003166F2" w:rsidRPr="00DF3E9D" w:rsidRDefault="003166F2" w:rsidP="003166F2">
            <w:pPr>
              <w:pStyle w:val="TableParagraph"/>
              <w:ind w:right="94"/>
              <w:rPr>
                <w:sz w:val="20"/>
                <w:lang w:val="uk-UA"/>
              </w:rPr>
            </w:pPr>
            <w:r w:rsidRPr="00DF3E9D">
              <w:rPr>
                <w:i/>
                <w:sz w:val="20"/>
                <w:lang w:val="uk-UA"/>
              </w:rPr>
              <w:t xml:space="preserve">Підготовлено: </w:t>
            </w:r>
            <w:r w:rsidRPr="00DF3E9D">
              <w:rPr>
                <w:sz w:val="20"/>
                <w:lang w:val="uk-UA"/>
              </w:rPr>
              <w:t>Ігор Шевляков, керівник експертної групи з європейської інтеграції Директорату стратегічного планування та європейської інтеграції Міністерства фінансів України</w:t>
            </w:r>
          </w:p>
          <w:p w14:paraId="69DC977C" w14:textId="77777777" w:rsidR="003166F2" w:rsidRPr="00DF3E9D" w:rsidRDefault="003166F2" w:rsidP="003166F2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  <w:lang w:val="uk-UA"/>
              </w:rPr>
            </w:pPr>
          </w:p>
          <w:p w14:paraId="4EAC60E3" w14:textId="77777777" w:rsidR="003166F2" w:rsidRPr="00DF3E9D" w:rsidRDefault="003166F2" w:rsidP="003166F2">
            <w:pPr>
              <w:pStyle w:val="TableParagraph"/>
              <w:spacing w:before="1"/>
              <w:jc w:val="left"/>
              <w:rPr>
                <w:i/>
                <w:sz w:val="20"/>
                <w:lang w:val="uk-UA"/>
              </w:rPr>
            </w:pPr>
            <w:r w:rsidRPr="00DF3E9D">
              <w:rPr>
                <w:i/>
                <w:sz w:val="20"/>
                <w:lang w:val="uk-UA"/>
              </w:rPr>
              <w:t>Погоджено:</w:t>
            </w:r>
          </w:p>
          <w:p w14:paraId="460DD36F" w14:textId="77777777" w:rsidR="003166F2" w:rsidRPr="00DF3E9D" w:rsidRDefault="003166F2" w:rsidP="003166F2">
            <w:pPr>
              <w:pStyle w:val="TableParagraph"/>
              <w:spacing w:before="120" w:line="242" w:lineRule="auto"/>
              <w:ind w:right="95"/>
              <w:rPr>
                <w:sz w:val="20"/>
                <w:lang w:val="uk-UA"/>
              </w:rPr>
            </w:pPr>
            <w:r w:rsidRPr="00DF3E9D">
              <w:rPr>
                <w:b/>
                <w:sz w:val="20"/>
                <w:lang w:val="uk-UA"/>
              </w:rPr>
              <w:t xml:space="preserve">Денис </w:t>
            </w:r>
            <w:proofErr w:type="spellStart"/>
            <w:r w:rsidRPr="00DF3E9D">
              <w:rPr>
                <w:b/>
                <w:sz w:val="20"/>
                <w:lang w:val="uk-UA"/>
              </w:rPr>
              <w:t>Улютін</w:t>
            </w:r>
            <w:proofErr w:type="spellEnd"/>
            <w:r w:rsidRPr="00DF3E9D">
              <w:rPr>
                <w:sz w:val="20"/>
                <w:lang w:val="uk-UA"/>
              </w:rPr>
              <w:t xml:space="preserve">, Перший заступник </w:t>
            </w:r>
            <w:r>
              <w:rPr>
                <w:sz w:val="20"/>
                <w:lang w:val="uk-UA"/>
              </w:rPr>
              <w:t>Міністра фінансів України, Г</w:t>
            </w:r>
            <w:r w:rsidRPr="00DF3E9D">
              <w:rPr>
                <w:sz w:val="20"/>
                <w:lang w:val="uk-UA"/>
              </w:rPr>
              <w:t>олова РГ</w:t>
            </w:r>
          </w:p>
          <w:p w14:paraId="5C0BEB65" w14:textId="1B75238A" w:rsidR="003166F2" w:rsidRPr="00DF3E9D" w:rsidRDefault="003166F2" w:rsidP="003166F2">
            <w:pPr>
              <w:pStyle w:val="TableParagraph"/>
              <w:ind w:right="95"/>
              <w:rPr>
                <w:b/>
                <w:sz w:val="20"/>
                <w:szCs w:val="20"/>
                <w:lang w:val="uk-UA"/>
              </w:rPr>
            </w:pPr>
            <w:r w:rsidRPr="00DF3E9D">
              <w:rPr>
                <w:b/>
                <w:sz w:val="20"/>
                <w:lang w:val="uk-UA"/>
              </w:rPr>
              <w:t xml:space="preserve">Ксав’є Камю, </w:t>
            </w:r>
            <w:r w:rsidRPr="00DF3E9D">
              <w:rPr>
                <w:sz w:val="20"/>
                <w:lang w:val="uk-UA"/>
              </w:rPr>
              <w:t>Керівник Відділу з питань урядування Представництва Європейського Союзу в Україні, Співголова РГ</w:t>
            </w:r>
          </w:p>
        </w:tc>
      </w:tr>
    </w:tbl>
    <w:p w14:paraId="247D9663" w14:textId="18EA4414" w:rsidR="00CB67A5" w:rsidRPr="00F00260" w:rsidRDefault="00CB67A5" w:rsidP="00F00260">
      <w:pPr>
        <w:rPr>
          <w:lang w:val="ru-RU"/>
        </w:rPr>
      </w:pPr>
      <w:bookmarkStart w:id="0" w:name="_GoBack"/>
      <w:bookmarkEnd w:id="0"/>
    </w:p>
    <w:sectPr w:rsidR="00CB67A5" w:rsidRPr="00F00260">
      <w:pgSz w:w="11910" w:h="16840"/>
      <w:pgMar w:top="84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63EE"/>
    <w:multiLevelType w:val="hybridMultilevel"/>
    <w:tmpl w:val="EEBA19DC"/>
    <w:lvl w:ilvl="0" w:tplc="81D66E7E">
      <w:numFmt w:val="bullet"/>
      <w:lvlText w:val="•"/>
      <w:lvlJc w:val="left"/>
      <w:pPr>
        <w:ind w:left="110" w:hanging="11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70A8160">
      <w:numFmt w:val="bullet"/>
      <w:lvlText w:val="•"/>
      <w:lvlJc w:val="left"/>
      <w:pPr>
        <w:ind w:left="588" w:hanging="116"/>
      </w:pPr>
      <w:rPr>
        <w:rFonts w:hint="default"/>
        <w:lang w:val="en-US" w:eastAsia="en-US" w:bidi="ar-SA"/>
      </w:rPr>
    </w:lvl>
    <w:lvl w:ilvl="2" w:tplc="DB6C7398">
      <w:numFmt w:val="bullet"/>
      <w:lvlText w:val="•"/>
      <w:lvlJc w:val="left"/>
      <w:pPr>
        <w:ind w:left="1057" w:hanging="116"/>
      </w:pPr>
      <w:rPr>
        <w:rFonts w:hint="default"/>
        <w:lang w:val="en-US" w:eastAsia="en-US" w:bidi="ar-SA"/>
      </w:rPr>
    </w:lvl>
    <w:lvl w:ilvl="3" w:tplc="207232BA">
      <w:numFmt w:val="bullet"/>
      <w:lvlText w:val="•"/>
      <w:lvlJc w:val="left"/>
      <w:pPr>
        <w:ind w:left="1526" w:hanging="116"/>
      </w:pPr>
      <w:rPr>
        <w:rFonts w:hint="default"/>
        <w:lang w:val="en-US" w:eastAsia="en-US" w:bidi="ar-SA"/>
      </w:rPr>
    </w:lvl>
    <w:lvl w:ilvl="4" w:tplc="92123A84">
      <w:numFmt w:val="bullet"/>
      <w:lvlText w:val="•"/>
      <w:lvlJc w:val="left"/>
      <w:pPr>
        <w:ind w:left="1995" w:hanging="116"/>
      </w:pPr>
      <w:rPr>
        <w:rFonts w:hint="default"/>
        <w:lang w:val="en-US" w:eastAsia="en-US" w:bidi="ar-SA"/>
      </w:rPr>
    </w:lvl>
    <w:lvl w:ilvl="5" w:tplc="43B60688">
      <w:numFmt w:val="bullet"/>
      <w:lvlText w:val="•"/>
      <w:lvlJc w:val="left"/>
      <w:pPr>
        <w:ind w:left="2464" w:hanging="116"/>
      </w:pPr>
      <w:rPr>
        <w:rFonts w:hint="default"/>
        <w:lang w:val="en-US" w:eastAsia="en-US" w:bidi="ar-SA"/>
      </w:rPr>
    </w:lvl>
    <w:lvl w:ilvl="6" w:tplc="F97A51E6">
      <w:numFmt w:val="bullet"/>
      <w:lvlText w:val="•"/>
      <w:lvlJc w:val="left"/>
      <w:pPr>
        <w:ind w:left="2932" w:hanging="116"/>
      </w:pPr>
      <w:rPr>
        <w:rFonts w:hint="default"/>
        <w:lang w:val="en-US" w:eastAsia="en-US" w:bidi="ar-SA"/>
      </w:rPr>
    </w:lvl>
    <w:lvl w:ilvl="7" w:tplc="3AA060B8">
      <w:numFmt w:val="bullet"/>
      <w:lvlText w:val="•"/>
      <w:lvlJc w:val="left"/>
      <w:pPr>
        <w:ind w:left="3401" w:hanging="116"/>
      </w:pPr>
      <w:rPr>
        <w:rFonts w:hint="default"/>
        <w:lang w:val="en-US" w:eastAsia="en-US" w:bidi="ar-SA"/>
      </w:rPr>
    </w:lvl>
    <w:lvl w:ilvl="8" w:tplc="DB1E9482">
      <w:numFmt w:val="bullet"/>
      <w:lvlText w:val="•"/>
      <w:lvlJc w:val="left"/>
      <w:pPr>
        <w:ind w:left="3870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55E448AD"/>
    <w:multiLevelType w:val="hybridMultilevel"/>
    <w:tmpl w:val="A536A76A"/>
    <w:lvl w:ilvl="0" w:tplc="39B2AC56">
      <w:start w:val="8"/>
      <w:numFmt w:val="decimal"/>
      <w:lvlText w:val="%1."/>
      <w:lvlJc w:val="left"/>
      <w:pPr>
        <w:ind w:left="110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F3C42E3E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7BC252C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3" w:tplc="8E3C0EF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4" w:tplc="7CEAA542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5" w:tplc="709A291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6" w:tplc="D9D0B84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7" w:tplc="4CC8E87E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8" w:tplc="DD8C01F2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6D"/>
    <w:rsid w:val="00003DBF"/>
    <w:rsid w:val="0005061C"/>
    <w:rsid w:val="0005612F"/>
    <w:rsid w:val="000A3785"/>
    <w:rsid w:val="000A4600"/>
    <w:rsid w:val="000B50BC"/>
    <w:rsid w:val="000C77DE"/>
    <w:rsid w:val="000E7E46"/>
    <w:rsid w:val="000F4579"/>
    <w:rsid w:val="0010265E"/>
    <w:rsid w:val="00133B84"/>
    <w:rsid w:val="001663F6"/>
    <w:rsid w:val="001B7D8D"/>
    <w:rsid w:val="001E27AC"/>
    <w:rsid w:val="001F064B"/>
    <w:rsid w:val="002217B5"/>
    <w:rsid w:val="002261DF"/>
    <w:rsid w:val="00267B21"/>
    <w:rsid w:val="00292558"/>
    <w:rsid w:val="002969CC"/>
    <w:rsid w:val="002A6A54"/>
    <w:rsid w:val="002E17DC"/>
    <w:rsid w:val="003166F2"/>
    <w:rsid w:val="0032358C"/>
    <w:rsid w:val="00346F55"/>
    <w:rsid w:val="00357139"/>
    <w:rsid w:val="003612AC"/>
    <w:rsid w:val="00383487"/>
    <w:rsid w:val="0039487D"/>
    <w:rsid w:val="0042705C"/>
    <w:rsid w:val="0044129F"/>
    <w:rsid w:val="0044548A"/>
    <w:rsid w:val="00462295"/>
    <w:rsid w:val="004665CB"/>
    <w:rsid w:val="00486880"/>
    <w:rsid w:val="00516071"/>
    <w:rsid w:val="00536A37"/>
    <w:rsid w:val="00565015"/>
    <w:rsid w:val="005D113F"/>
    <w:rsid w:val="006273A8"/>
    <w:rsid w:val="00687900"/>
    <w:rsid w:val="006B6DA5"/>
    <w:rsid w:val="006C76AE"/>
    <w:rsid w:val="00702079"/>
    <w:rsid w:val="00714974"/>
    <w:rsid w:val="0073063B"/>
    <w:rsid w:val="007F7426"/>
    <w:rsid w:val="007F784F"/>
    <w:rsid w:val="00825537"/>
    <w:rsid w:val="0083126D"/>
    <w:rsid w:val="0085184D"/>
    <w:rsid w:val="00956E70"/>
    <w:rsid w:val="00972861"/>
    <w:rsid w:val="009A1B68"/>
    <w:rsid w:val="009B14FB"/>
    <w:rsid w:val="009D3C18"/>
    <w:rsid w:val="009E0405"/>
    <w:rsid w:val="009E51AB"/>
    <w:rsid w:val="009F21C7"/>
    <w:rsid w:val="00A317A1"/>
    <w:rsid w:val="00A520BE"/>
    <w:rsid w:val="00AF13F6"/>
    <w:rsid w:val="00B05527"/>
    <w:rsid w:val="00B1050D"/>
    <w:rsid w:val="00B15B9F"/>
    <w:rsid w:val="00B36CDB"/>
    <w:rsid w:val="00BB2112"/>
    <w:rsid w:val="00BE0A0E"/>
    <w:rsid w:val="00C13383"/>
    <w:rsid w:val="00C25F95"/>
    <w:rsid w:val="00C47E34"/>
    <w:rsid w:val="00C654C2"/>
    <w:rsid w:val="00C8191C"/>
    <w:rsid w:val="00C91BE3"/>
    <w:rsid w:val="00CB67A5"/>
    <w:rsid w:val="00CC6C86"/>
    <w:rsid w:val="00CE4708"/>
    <w:rsid w:val="00CE52E0"/>
    <w:rsid w:val="00D04D16"/>
    <w:rsid w:val="00D23A52"/>
    <w:rsid w:val="00D27C3C"/>
    <w:rsid w:val="00D31B6C"/>
    <w:rsid w:val="00D36C30"/>
    <w:rsid w:val="00DB188D"/>
    <w:rsid w:val="00DE5543"/>
    <w:rsid w:val="00DF3E9D"/>
    <w:rsid w:val="00E063F8"/>
    <w:rsid w:val="00E5274D"/>
    <w:rsid w:val="00E673F6"/>
    <w:rsid w:val="00E71E36"/>
    <w:rsid w:val="00EA0F20"/>
    <w:rsid w:val="00EE4988"/>
    <w:rsid w:val="00F00260"/>
    <w:rsid w:val="00F1583C"/>
    <w:rsid w:val="00F451DA"/>
    <w:rsid w:val="00F86E2B"/>
    <w:rsid w:val="00F94E31"/>
    <w:rsid w:val="00F9723B"/>
    <w:rsid w:val="00FA49A9"/>
    <w:rsid w:val="00FC1D04"/>
    <w:rsid w:val="00FC2415"/>
    <w:rsid w:val="00FF0EDF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ADD1"/>
  <w15:docId w15:val="{11343C3C-6353-4E5E-B18B-F005059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5">
    <w:name w:val="No Spacing"/>
    <w:uiPriority w:val="1"/>
    <w:qFormat/>
    <w:rsid w:val="0044548A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B14F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14F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7780</Words>
  <Characters>4435</Characters>
  <Application>Microsoft Office Word</Application>
  <DocSecurity>0</DocSecurity>
  <Lines>36</Lines>
  <Paragraphs>24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 T.</dc:creator>
  <cp:lastModifiedBy>Дойонко Ольга Віталіївна</cp:lastModifiedBy>
  <cp:revision>15</cp:revision>
  <dcterms:created xsi:type="dcterms:W3CDTF">2020-10-02T08:44:00Z</dcterms:created>
  <dcterms:modified xsi:type="dcterms:W3CDTF">2020-10-28T16:25:00Z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