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77" w:rsidRPr="007268D7" w:rsidRDefault="00357A61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Повідомлення на сайт</w:t>
      </w:r>
      <w:r w:rsidRPr="007268D7">
        <w:rPr>
          <w:rFonts w:ascii="Arial" w:hAnsi="Arial" w:cs="Arial"/>
          <w:sz w:val="22"/>
          <w:szCs w:val="22"/>
          <w:lang w:val="uk-UA"/>
        </w:rPr>
        <w:br/>
      </w:r>
      <w:r w:rsidR="00FA6068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стосовно практичного семінару для колег з</w:t>
      </w:r>
    </w:p>
    <w:p w:rsidR="00FA6068" w:rsidRPr="007268D7" w:rsidRDefault="00502EE8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</w:t>
      </w:r>
      <w:r w:rsidR="00AD10EE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а</w:t>
      </w:r>
      <w:r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фінансів України</w:t>
      </w:r>
      <w:r w:rsidR="00185D0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та Державної податкової служби України</w:t>
      </w:r>
      <w:r w:rsidR="0081484A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,</w:t>
      </w:r>
    </w:p>
    <w:p w:rsidR="004919FF" w:rsidRPr="007268D7" w:rsidRDefault="00681F82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="00FA6068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:rsidR="65824011" w:rsidRPr="007268D7" w:rsidRDefault="00925426" w:rsidP="008102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«</w:t>
      </w:r>
      <w:r w:rsidR="00185D06" w:rsidRPr="007268D7">
        <w:rPr>
          <w:rFonts w:ascii="Arial" w:hAnsi="Arial" w:cs="Arial"/>
          <w:b/>
          <w:sz w:val="22"/>
          <w:szCs w:val="22"/>
          <w:lang w:val="uk-UA"/>
        </w:rPr>
        <w:t>Імплементація у національне податкове законодавство положень Директиви 2006/112/ЄС від 28.11.2006 про спільну систему ПДВ стосовно інвестиційного золота</w:t>
      </w:r>
      <w:r w:rsidR="008102CA" w:rsidRPr="007268D7">
        <w:rPr>
          <w:rStyle w:val="a5"/>
          <w:rFonts w:ascii="Arial" w:eastAsiaTheme="majorEastAsia" w:hAnsi="Arial" w:cs="Arial"/>
          <w:b/>
          <w:bCs/>
          <w:iCs/>
          <w:sz w:val="22"/>
          <w:szCs w:val="22"/>
          <w:lang w:val="uk-UA"/>
        </w:rPr>
        <w:t>»</w:t>
      </w:r>
      <w:r w:rsidR="008102CA" w:rsidRPr="007268D7">
        <w:rPr>
          <w:rStyle w:val="a5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FA6068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в онлайн-форматі в рамках співпраці </w:t>
      </w:r>
      <w:r w:rsidR="00185D0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Міністерства фінансів України </w:t>
      </w:r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з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про</w:t>
      </w:r>
      <w:r w:rsidR="00F91638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є</w:t>
      </w:r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кт</w:t>
      </w:r>
      <w:r w:rsidR="009E1BCD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ом</w:t>
      </w:r>
      <w:proofErr w:type="spellEnd"/>
      <w:r w:rsidR="00FF6FD8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«Ефективне управління державними фінансами III», що реалізується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Deutsche</w:t>
      </w:r>
      <w:proofErr w:type="spellEnd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Gesellschaft</w:t>
      </w:r>
      <w:proofErr w:type="spellEnd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für</w:t>
      </w:r>
      <w:proofErr w:type="spellEnd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Internationale</w:t>
      </w:r>
      <w:proofErr w:type="spellEnd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Zusammenarbeit</w:t>
      </w:r>
      <w:proofErr w:type="spellEnd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(GIZ) </w:t>
      </w:r>
      <w:proofErr w:type="spellStart"/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GmbH</w:t>
      </w:r>
      <w:proofErr w:type="spellEnd"/>
      <w:r w:rsidR="65824011" w:rsidRPr="007268D7">
        <w:rPr>
          <w:rFonts w:ascii="Arial" w:hAnsi="Arial" w:cs="Arial"/>
          <w:sz w:val="22"/>
          <w:szCs w:val="22"/>
          <w:lang w:val="uk-UA"/>
        </w:rPr>
        <w:br/>
      </w:r>
      <w:r w:rsidR="1297ECE6" w:rsidRPr="007268D7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за дорученням Уряду Німеччини</w:t>
      </w:r>
    </w:p>
    <w:p w:rsidR="00357A61" w:rsidRPr="007268D7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382885" w:rsidRPr="0002251F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ru-RU"/>
        </w:rPr>
      </w:pP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185D06" w:rsidRPr="007268D7">
        <w:rPr>
          <w:rStyle w:val="normaltextrun"/>
          <w:rFonts w:ascii="Arial" w:hAnsi="Arial" w:cs="Arial"/>
          <w:sz w:val="22"/>
          <w:szCs w:val="22"/>
          <w:lang w:val="uk-UA"/>
        </w:rPr>
        <w:t>03</w:t>
      </w:r>
      <w:r w:rsidR="000816C7" w:rsidRPr="007268D7">
        <w:rPr>
          <w:rStyle w:val="normaltextrun"/>
          <w:rFonts w:ascii="Arial" w:hAnsi="Arial" w:cs="Arial"/>
          <w:sz w:val="22"/>
          <w:szCs w:val="22"/>
          <w:lang w:val="uk-UA"/>
        </w:rPr>
        <w:t>-</w:t>
      </w:r>
      <w:r w:rsidR="00185D06" w:rsidRPr="007268D7">
        <w:rPr>
          <w:rStyle w:val="normaltextrun"/>
          <w:rFonts w:ascii="Arial" w:hAnsi="Arial" w:cs="Arial"/>
          <w:sz w:val="22"/>
          <w:szCs w:val="22"/>
          <w:lang w:val="uk-UA"/>
        </w:rPr>
        <w:t>04</w:t>
      </w:r>
      <w:r w:rsidR="005C4131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185D06" w:rsidRPr="007268D7">
        <w:rPr>
          <w:rStyle w:val="normaltextrun"/>
          <w:rFonts w:ascii="Arial" w:hAnsi="Arial" w:cs="Arial"/>
          <w:sz w:val="22"/>
          <w:szCs w:val="22"/>
          <w:lang w:val="uk-UA"/>
        </w:rPr>
        <w:t>чер</w:t>
      </w:r>
      <w:r w:rsidR="00823172" w:rsidRPr="007268D7">
        <w:rPr>
          <w:rStyle w:val="normaltextrun"/>
          <w:rFonts w:ascii="Arial" w:hAnsi="Arial" w:cs="Arial"/>
          <w:sz w:val="22"/>
          <w:szCs w:val="22"/>
          <w:lang w:val="uk-UA"/>
        </w:rPr>
        <w:t>вня</w:t>
      </w:r>
      <w:r w:rsidR="005C4131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B127BE" w:rsidRPr="007268D7">
        <w:rPr>
          <w:rStyle w:val="normaltextrun"/>
          <w:rFonts w:ascii="Arial" w:hAnsi="Arial" w:cs="Arial"/>
          <w:sz w:val="22"/>
          <w:szCs w:val="22"/>
          <w:lang w:val="uk-UA"/>
        </w:rPr>
        <w:t>1</w:t>
      </w:r>
      <w:r w:rsidR="005C4131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року </w:t>
      </w:r>
      <w:r w:rsidR="009E1BCD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B127BE" w:rsidRPr="007268D7">
        <w:rPr>
          <w:rStyle w:val="normaltextrun"/>
          <w:rFonts w:ascii="Arial" w:hAnsi="Arial" w:cs="Arial"/>
          <w:sz w:val="22"/>
          <w:szCs w:val="22"/>
          <w:lang w:val="uk-UA"/>
        </w:rPr>
        <w:t>черговий</w:t>
      </w:r>
      <w:r w:rsidR="0081484A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65895" w:rsidRPr="007268D7">
        <w:rPr>
          <w:rStyle w:val="normaltextrun"/>
          <w:rFonts w:ascii="Arial" w:hAnsi="Arial" w:cs="Arial"/>
          <w:sz w:val="22"/>
          <w:szCs w:val="22"/>
          <w:lang w:val="uk-UA"/>
        </w:rPr>
        <w:t>дво</w:t>
      </w:r>
      <w:r w:rsidR="00382885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денний практичний семінар та обговорення в он-лайн форматі з </w:t>
      </w:r>
      <w:r w:rsidR="00B127BE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представниками </w:t>
      </w:r>
      <w:r w:rsidR="00823172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Міністерства фінансів України та </w:t>
      </w:r>
      <w:r w:rsidR="00D218B1" w:rsidRPr="007268D7">
        <w:rPr>
          <w:rStyle w:val="normaltextrun"/>
          <w:rFonts w:ascii="Arial" w:hAnsi="Arial" w:cs="Arial"/>
          <w:sz w:val="22"/>
          <w:szCs w:val="22"/>
          <w:lang w:val="uk-UA"/>
        </w:rPr>
        <w:t>Д</w:t>
      </w:r>
      <w:r w:rsidR="00823172" w:rsidRPr="007268D7">
        <w:rPr>
          <w:rStyle w:val="normaltextrun"/>
          <w:rFonts w:ascii="Arial" w:hAnsi="Arial" w:cs="Arial"/>
          <w:sz w:val="22"/>
          <w:szCs w:val="22"/>
          <w:lang w:val="uk-UA"/>
        </w:rPr>
        <w:t>ержавної податкової служби України</w:t>
      </w:r>
      <w:r w:rsidR="00B127BE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82885" w:rsidRPr="007268D7">
        <w:rPr>
          <w:rStyle w:val="normaltextrun"/>
          <w:rFonts w:ascii="Arial" w:hAnsi="Arial" w:cs="Arial"/>
          <w:sz w:val="22"/>
          <w:szCs w:val="22"/>
          <w:lang w:val="uk-UA"/>
        </w:rPr>
        <w:t>на</w:t>
      </w:r>
      <w:r w:rsidR="00AD10EE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7268D7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D2918" w:rsidRPr="007268D7">
        <w:rPr>
          <w:rFonts w:ascii="Arial" w:hAnsi="Arial" w:cs="Arial"/>
          <w:sz w:val="22"/>
          <w:szCs w:val="22"/>
          <w:lang w:val="uk-UA"/>
        </w:rPr>
        <w:t>«</w:t>
      </w:r>
      <w:r w:rsidR="00185D06" w:rsidRPr="007268D7">
        <w:rPr>
          <w:rFonts w:ascii="Arial" w:hAnsi="Arial" w:cs="Arial"/>
          <w:bCs/>
          <w:sz w:val="22"/>
          <w:szCs w:val="22"/>
          <w:lang w:val="uk-UA"/>
        </w:rPr>
        <w:t>Імплементація у національне податкове законодавство положень Директиви 2006/112/ЄС від 28.11.2006 про спільну систему ПДВ стосовно інвестиційного золота</w:t>
      </w:r>
      <w:r w:rsidR="00823172" w:rsidRPr="007268D7">
        <w:rPr>
          <w:rStyle w:val="a5"/>
          <w:rFonts w:ascii="Arial" w:eastAsiaTheme="majorEastAsia" w:hAnsi="Arial" w:cs="Arial"/>
          <w:bCs/>
          <w:iCs/>
          <w:sz w:val="22"/>
          <w:szCs w:val="22"/>
          <w:lang w:val="uk-UA"/>
        </w:rPr>
        <w:t>»</w:t>
      </w:r>
      <w:r w:rsidR="002D2918" w:rsidRPr="007268D7">
        <w:rPr>
          <w:rFonts w:ascii="Arial" w:hAnsi="Arial" w:cs="Arial"/>
          <w:sz w:val="22"/>
          <w:szCs w:val="22"/>
          <w:lang w:val="uk-UA"/>
        </w:rPr>
        <w:t>.</w:t>
      </w:r>
    </w:p>
    <w:p w:rsidR="00B0250F" w:rsidRPr="007268D7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B0250F" w:rsidRPr="007268D7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Зазначений захід був організований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про</w:t>
      </w:r>
      <w:r w:rsidR="00F91638" w:rsidRPr="007268D7">
        <w:rPr>
          <w:rStyle w:val="normaltextrun"/>
          <w:rFonts w:ascii="Arial" w:hAnsi="Arial" w:cs="Arial"/>
          <w:sz w:val="22"/>
          <w:szCs w:val="22"/>
          <w:lang w:val="uk-UA"/>
        </w:rPr>
        <w:t>є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ктом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Pr="007268D7">
        <w:rPr>
          <w:rFonts w:ascii="Arial" w:hAnsi="Arial" w:cs="Arial"/>
          <w:sz w:val="22"/>
          <w:szCs w:val="22"/>
          <w:lang w:val="uk-UA" w:eastAsia="de-DE"/>
        </w:rPr>
        <w:t xml:space="preserve"> на прохання </w:t>
      </w:r>
      <w:r w:rsidR="00823172" w:rsidRPr="007268D7">
        <w:rPr>
          <w:rFonts w:ascii="Arial" w:hAnsi="Arial" w:cs="Arial"/>
          <w:sz w:val="22"/>
          <w:szCs w:val="22"/>
          <w:lang w:val="uk-UA" w:eastAsia="de-DE"/>
        </w:rPr>
        <w:t>Мінфіну</w:t>
      </w:r>
      <w:r w:rsidRPr="007268D7">
        <w:rPr>
          <w:rFonts w:ascii="Arial" w:hAnsi="Arial" w:cs="Arial"/>
          <w:sz w:val="22"/>
          <w:szCs w:val="22"/>
          <w:lang w:val="uk-UA" w:eastAsia="de-DE"/>
        </w:rPr>
        <w:t>.</w:t>
      </w:r>
    </w:p>
    <w:p w:rsidR="00EC3637" w:rsidRPr="007268D7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:rsidR="00E35225" w:rsidRPr="00E842E5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E842E5">
        <w:rPr>
          <w:rFonts w:ascii="Arial" w:hAnsi="Arial" w:cs="Arial"/>
          <w:sz w:val="22"/>
          <w:szCs w:val="22"/>
          <w:lang w:val="uk-UA"/>
        </w:rPr>
        <w:t>Німецьк</w:t>
      </w:r>
      <w:r w:rsidR="007268D7" w:rsidRPr="00E842E5">
        <w:rPr>
          <w:rFonts w:ascii="Arial" w:hAnsi="Arial" w:cs="Arial"/>
          <w:sz w:val="22"/>
          <w:szCs w:val="22"/>
          <w:lang w:val="uk-UA"/>
        </w:rPr>
        <w:t>ий</w:t>
      </w:r>
      <w:r w:rsidRPr="00E842E5">
        <w:rPr>
          <w:rFonts w:ascii="Arial" w:hAnsi="Arial" w:cs="Arial"/>
          <w:sz w:val="22"/>
          <w:szCs w:val="22"/>
          <w:lang w:val="uk-UA"/>
        </w:rPr>
        <w:t> експерт-практи</w:t>
      </w:r>
      <w:r w:rsidR="008D7D0F" w:rsidRPr="00E842E5">
        <w:rPr>
          <w:rFonts w:ascii="Arial" w:hAnsi="Arial" w:cs="Arial"/>
          <w:sz w:val="22"/>
          <w:szCs w:val="22"/>
          <w:lang w:val="uk-UA"/>
        </w:rPr>
        <w:t>к</w:t>
      </w:r>
      <w:r w:rsidRPr="00E842E5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7268D7" w:rsidRPr="00E842E5">
        <w:rPr>
          <w:rFonts w:ascii="Arial" w:hAnsi="Arial" w:cs="Arial"/>
          <w:sz w:val="22"/>
          <w:szCs w:val="22"/>
          <w:lang w:val="uk-UA"/>
        </w:rPr>
        <w:t>ПДВ</w:t>
      </w:r>
      <w:r w:rsidR="00B127BE" w:rsidRPr="00E842E5">
        <w:rPr>
          <w:rFonts w:ascii="Arial" w:hAnsi="Arial" w:cs="Arial"/>
          <w:sz w:val="22"/>
          <w:szCs w:val="22"/>
          <w:lang w:val="uk-UA"/>
        </w:rPr>
        <w:t xml:space="preserve"> оподаткування</w:t>
      </w:r>
      <w:r w:rsidRPr="00E842E5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E842E5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7268D7" w:rsidRPr="00E842E5"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 w:rsidR="007268D7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7268D7" w:rsidRPr="00E842E5">
        <w:rPr>
          <w:rFonts w:ascii="Arial" w:hAnsi="Arial" w:cs="Arial"/>
          <w:sz w:val="22"/>
          <w:szCs w:val="22"/>
          <w:lang w:val="uk-UA"/>
        </w:rPr>
        <w:t>Дрост</w:t>
      </w:r>
      <w:proofErr w:type="spellEnd"/>
      <w:r w:rsidR="00D4533F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Pr="00E842E5">
        <w:rPr>
          <w:rFonts w:ascii="Arial" w:hAnsi="Arial" w:cs="Arial"/>
          <w:sz w:val="22"/>
          <w:szCs w:val="22"/>
          <w:lang w:val="uk-UA"/>
        </w:rPr>
        <w:t>з</w:t>
      </w:r>
      <w:r w:rsidR="00AD10EE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E842E5">
        <w:rPr>
          <w:rFonts w:ascii="Arial" w:hAnsi="Arial" w:cs="Arial"/>
          <w:sz w:val="22"/>
          <w:szCs w:val="22"/>
          <w:lang w:val="uk-UA"/>
        </w:rPr>
        <w:t>Податкової адміністрації</w:t>
      </w:r>
      <w:r w:rsidR="00D4533F" w:rsidRPr="00E842E5">
        <w:rPr>
          <w:rFonts w:ascii="Arial" w:hAnsi="Arial" w:cs="Arial"/>
          <w:sz w:val="22"/>
          <w:szCs w:val="22"/>
          <w:lang w:val="uk-UA"/>
        </w:rPr>
        <w:t xml:space="preserve"> (</w:t>
      </w:r>
      <w:proofErr w:type="spellStart"/>
      <w:r w:rsidR="00D4533F" w:rsidRPr="00E842E5">
        <w:rPr>
          <w:rFonts w:ascii="Arial" w:hAnsi="Arial" w:cs="Arial"/>
          <w:sz w:val="22"/>
          <w:szCs w:val="22"/>
          <w:lang w:val="uk-UA"/>
        </w:rPr>
        <w:t>м.</w:t>
      </w:r>
      <w:r w:rsidR="007268D7" w:rsidRPr="00E842E5">
        <w:rPr>
          <w:rFonts w:ascii="Arial" w:hAnsi="Arial" w:cs="Arial"/>
          <w:sz w:val="22"/>
          <w:szCs w:val="22"/>
          <w:lang w:val="uk-UA"/>
        </w:rPr>
        <w:t>Дюссельдорф</w:t>
      </w:r>
      <w:proofErr w:type="spellEnd"/>
      <w:r w:rsidR="00D4533F" w:rsidRPr="00E842E5">
        <w:rPr>
          <w:rFonts w:ascii="Arial" w:hAnsi="Arial" w:cs="Arial"/>
          <w:sz w:val="22"/>
          <w:szCs w:val="22"/>
          <w:lang w:val="uk-UA"/>
        </w:rPr>
        <w:t>)</w:t>
      </w:r>
      <w:r w:rsidRPr="00E842E5">
        <w:rPr>
          <w:rFonts w:ascii="Arial" w:hAnsi="Arial" w:cs="Arial"/>
          <w:sz w:val="22"/>
          <w:szCs w:val="22"/>
          <w:lang w:val="uk-UA"/>
        </w:rPr>
        <w:t>, </w:t>
      </w:r>
      <w:r w:rsidR="00D4533F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Pr="00E842E5">
        <w:rPr>
          <w:rFonts w:ascii="Arial" w:hAnsi="Arial" w:cs="Arial"/>
          <w:sz w:val="22"/>
          <w:szCs w:val="22"/>
          <w:lang w:val="uk-UA"/>
        </w:rPr>
        <w:t>презентува</w:t>
      </w:r>
      <w:r w:rsidR="007268D7" w:rsidRPr="00E842E5">
        <w:rPr>
          <w:rFonts w:ascii="Arial" w:hAnsi="Arial" w:cs="Arial"/>
          <w:sz w:val="22"/>
          <w:szCs w:val="22"/>
          <w:lang w:val="uk-UA"/>
        </w:rPr>
        <w:t>в</w:t>
      </w:r>
      <w:r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="004D0D51" w:rsidRPr="00E842E5">
        <w:rPr>
          <w:rFonts w:ascii="Arial" w:hAnsi="Arial" w:cs="Arial"/>
          <w:sz w:val="22"/>
          <w:szCs w:val="22"/>
          <w:lang w:val="uk-UA"/>
        </w:rPr>
        <w:t xml:space="preserve">законодавство </w:t>
      </w:r>
      <w:r w:rsidR="00021B18" w:rsidRPr="00E842E5">
        <w:rPr>
          <w:rFonts w:ascii="Arial" w:hAnsi="Arial" w:cs="Arial"/>
          <w:sz w:val="22"/>
          <w:szCs w:val="22"/>
          <w:lang w:val="uk-UA"/>
        </w:rPr>
        <w:t>ЄС</w:t>
      </w:r>
      <w:r w:rsidR="00EE7325" w:rsidRPr="00E842E5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E842E5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E842E5">
        <w:rPr>
          <w:rFonts w:ascii="Arial" w:hAnsi="Arial" w:cs="Arial"/>
          <w:sz w:val="22"/>
          <w:szCs w:val="22"/>
          <w:lang w:val="uk-UA"/>
        </w:rPr>
        <w:t>и</w:t>
      </w:r>
      <w:r w:rsidR="00311B5F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Pr="00E842E5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E842E5">
        <w:rPr>
          <w:rFonts w:ascii="Arial" w:hAnsi="Arial" w:cs="Arial"/>
          <w:sz w:val="22"/>
          <w:szCs w:val="22"/>
          <w:lang w:val="uk-UA"/>
        </w:rPr>
        <w:t xml:space="preserve"> 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>Департамент</w:t>
      </w:r>
      <w:r w:rsidR="00607F6E" w:rsidRPr="00E842E5">
        <w:rPr>
          <w:rStyle w:val="normaltextrun"/>
          <w:rFonts w:ascii="Arial" w:hAnsi="Arial" w:cs="Arial"/>
          <w:sz w:val="22"/>
          <w:szCs w:val="22"/>
          <w:lang w:val="uk-UA"/>
        </w:rPr>
        <w:t>ів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E842E5">
        <w:rPr>
          <w:rStyle w:val="normaltextrun"/>
          <w:rFonts w:ascii="Arial" w:hAnsi="Arial" w:cs="Arial"/>
          <w:sz w:val="22"/>
          <w:szCs w:val="22"/>
          <w:lang w:val="uk-UA"/>
        </w:rPr>
        <w:t>податкової політики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оподаткування 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>,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Департамент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2251F" w:rsidRPr="00E842E5">
        <w:rPr>
          <w:rStyle w:val="normaltextrun"/>
          <w:rFonts w:ascii="Arial" w:hAnsi="Arial" w:cs="Arial"/>
          <w:sz w:val="22"/>
          <w:szCs w:val="22"/>
          <w:lang w:val="uk-UA"/>
        </w:rPr>
        <w:t>методол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>о</w:t>
      </w:r>
      <w:r w:rsidR="0002251F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гії </w:t>
      </w:r>
      <w:r w:rsidR="00641F0C" w:rsidRPr="00E842E5">
        <w:rPr>
          <w:rStyle w:val="normaltextrun"/>
          <w:rFonts w:ascii="Arial" w:hAnsi="Arial" w:cs="Arial"/>
          <w:sz w:val="22"/>
          <w:szCs w:val="22"/>
          <w:lang w:val="uk-UA"/>
        </w:rPr>
        <w:t>ДПС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 національни</w:t>
      </w:r>
      <w:r w:rsidR="004D0D51" w:rsidRPr="00E842E5">
        <w:rPr>
          <w:rStyle w:val="normaltextrun"/>
          <w:rFonts w:ascii="Arial" w:hAnsi="Arial" w:cs="Arial"/>
          <w:sz w:val="22"/>
          <w:szCs w:val="22"/>
          <w:lang w:val="uk-UA"/>
        </w:rPr>
        <w:t>м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</w:t>
      </w:r>
      <w:r w:rsidR="004D0D51" w:rsidRPr="00E842E5">
        <w:rPr>
          <w:rStyle w:val="normaltextrun"/>
          <w:rFonts w:ascii="Arial" w:hAnsi="Arial" w:cs="Arial"/>
          <w:sz w:val="22"/>
          <w:szCs w:val="22"/>
          <w:lang w:val="uk-UA"/>
        </w:rPr>
        <w:t>ам</w:t>
      </w:r>
      <w:r w:rsidR="005F2A40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4E04F5" w:rsidRPr="00E842E5">
        <w:rPr>
          <w:rStyle w:val="normaltextrun"/>
          <w:rFonts w:ascii="Arial" w:hAnsi="Arial" w:cs="Arial"/>
          <w:sz w:val="22"/>
          <w:szCs w:val="22"/>
          <w:lang w:val="uk-UA"/>
        </w:rPr>
        <w:t>з питань адаптації українського законодавства до положень Директиви 2006/112/ЄС від 28.11.2006 про спільну систему ПДВ</w:t>
      </w:r>
      <w:r w:rsidR="00C93BED" w:rsidRPr="00E842E5">
        <w:rPr>
          <w:rStyle w:val="normaltextrun"/>
          <w:lang w:val="uk-UA"/>
        </w:rPr>
        <w:t>.</w:t>
      </w:r>
    </w:p>
    <w:p w:rsidR="004B23E8" w:rsidRPr="00E842E5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53613F" w:rsidRPr="007268D7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  <w:lang w:val="uk-UA"/>
        </w:rPr>
      </w:pPr>
      <w:r w:rsidRPr="00E842E5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B11349" w:rsidRPr="00E842E5">
        <w:rPr>
          <w:rStyle w:val="normaltextrun"/>
          <w:rFonts w:ascii="Arial" w:hAnsi="Arial" w:cs="Arial"/>
          <w:sz w:val="22"/>
          <w:szCs w:val="22"/>
          <w:lang w:val="uk-UA"/>
        </w:rPr>
        <w:t>ПДВ оподаткування золотих зливків, пл</w:t>
      </w:r>
      <w:r w:rsidR="004D0D51" w:rsidRPr="00E842E5">
        <w:rPr>
          <w:rStyle w:val="normaltextrun"/>
          <w:rFonts w:ascii="Arial" w:hAnsi="Arial" w:cs="Arial"/>
          <w:sz w:val="22"/>
          <w:szCs w:val="22"/>
          <w:lang w:val="uk-UA"/>
        </w:rPr>
        <w:t>астин</w:t>
      </w:r>
      <w:r w:rsidR="00B11349" w:rsidRPr="00E842E5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 монет; питання норм для імплементації Системної Директиви ЄС; ЄС-реєстру золотих монет; ф’ючерсних та форвардних контрактів для зливкового золота, ринку золотих сертифікатів та ін.</w:t>
      </w:r>
    </w:p>
    <w:p w:rsidR="004B23E8" w:rsidRPr="007268D7" w:rsidRDefault="004B23E8" w:rsidP="004B23E8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0E59E4" w:rsidRPr="007268D7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9E77EE" w:rsidRPr="007268D7">
        <w:rPr>
          <w:rStyle w:val="normaltextrun"/>
          <w:rFonts w:ascii="Arial" w:hAnsi="Arial" w:cs="Arial"/>
          <w:sz w:val="22"/>
          <w:szCs w:val="22"/>
          <w:lang w:val="uk-UA"/>
        </w:rPr>
        <w:t>дв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ох днів презентації матеріалу та робочого обговорення в он-лайн режимі німецьк</w:t>
      </w:r>
      <w:r w:rsidR="007268D7">
        <w:rPr>
          <w:rStyle w:val="normaltextrun"/>
          <w:rFonts w:ascii="Arial" w:hAnsi="Arial" w:cs="Arial"/>
          <w:sz w:val="22"/>
          <w:szCs w:val="22"/>
          <w:lang w:val="uk-UA"/>
        </w:rPr>
        <w:t>ий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 разом з українськими колегами розглянули наступні питання</w:t>
      </w:r>
      <w:r w:rsidR="005C4131" w:rsidRPr="007268D7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:rsidR="00CC2518" w:rsidRPr="007268D7" w:rsidRDefault="00CC251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Положення Директиви 2006/112/ЄС від 28.11.2006 про спільну систему податку на додану вартість стосовно інвестиційного золота, які підлягають/не підлягають імплементації у національне податкове законодавство;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Запровадження норм щодо інвестиційного золота в загальному національному законодавстві (окрім податкового законодавс</w:t>
      </w:r>
      <w:bookmarkStart w:id="0" w:name="_GoBack"/>
      <w:bookmarkEnd w:id="0"/>
      <w:r w:rsidRPr="007268D7">
        <w:rPr>
          <w:b w:val="0"/>
          <w:sz w:val="22"/>
          <w:szCs w:val="22"/>
          <w:lang w:val="uk-UA"/>
        </w:rPr>
        <w:t>тва);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 xml:space="preserve">Визначення операцій з реалізації (постачання та/або ввезення) інвестиційного золота (включаючи інвестиційне золото у вигляді сертифікатів розподіленого чи нерозподіленого золота) або золота, яким торгують на золотих рахунках (зокрема, позик золота та </w:t>
      </w:r>
      <w:proofErr w:type="spellStart"/>
      <w:r w:rsidRPr="007268D7">
        <w:rPr>
          <w:b w:val="0"/>
          <w:sz w:val="22"/>
          <w:szCs w:val="22"/>
          <w:lang w:val="uk-UA"/>
        </w:rPr>
        <w:t>свопів</w:t>
      </w:r>
      <w:proofErr w:type="spellEnd"/>
      <w:r w:rsidRPr="007268D7">
        <w:rPr>
          <w:b w:val="0"/>
          <w:sz w:val="22"/>
          <w:szCs w:val="22"/>
          <w:lang w:val="uk-UA"/>
        </w:rPr>
        <w:t>, що передбачають право власності або право вимоги стосовно інвестиційного золота);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Особливості здійснення операцій з інвестиційним золотом, що передбачають ф’ючерсні та форвардні угоди, що призводять до передачі права власності або права вимоги стосовно інвестиційного золота;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 xml:space="preserve">Постачання послуг агентів, які діють від імені та за дорученням іншої особи у випадках, коли вони беруть участь у постачанні інвестиційного золота своєму принципалові/довірителю (зокрема, наявність вимог щодо ліцензування (сертифікації) такої діяльності; запровадження окремого коду виду діяльності (КВЕД); </w:t>
      </w:r>
      <w:r w:rsidRPr="007268D7">
        <w:rPr>
          <w:b w:val="0"/>
          <w:sz w:val="22"/>
          <w:szCs w:val="22"/>
          <w:lang w:val="uk-UA"/>
        </w:rPr>
        <w:lastRenderedPageBreak/>
        <w:t>існування бази (переліку) таких агентів на державному рівні; наявність вимог при здійсненні агентських послуг щодо загальних обсягів постачання, освіти тощо);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Виробництво інвестиційного золота та/або надання послуг з перетворення золота на інвестиційне золото та постачання послуг, пов’язаних з таким виробництвом (зокрема, наявність чіткого переліку послуг пов’язаних з виробництвом, який затверджено на законодавчому рівні; можливо наявність переліку послуг, які не відносяться до послуг, пов’язаних з виробництвом інвестиційного золота);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Регульований ринок зливкового золота в країнах ЄС. Реєстрація підприємств на ринку золота необхідність запровадження окремих норм національного податкового законодавства);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Організація контролю за операціями з інвестиційним золотом в ЄС та Німеччині (процедури та методи контролю за правомірністю застосування норм законодавства стосовно інвестиційного золота);</w:t>
      </w:r>
    </w:p>
    <w:p w:rsid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Відповідальність платників податку за порушення дотримання вимог законодавства щодо інвестиційного золота;</w:t>
      </w:r>
    </w:p>
    <w:p w:rsidR="00CC2518" w:rsidRPr="007268D7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7268D7">
        <w:rPr>
          <w:b w:val="0"/>
          <w:sz w:val="22"/>
          <w:szCs w:val="22"/>
          <w:lang w:val="uk-UA"/>
        </w:rPr>
        <w:t>Рекомендації щодо адаптації національного податкового законодавства до законодавства ЄС стосовно інвестиційного золота.</w:t>
      </w:r>
    </w:p>
    <w:p w:rsidR="007D6AAE" w:rsidRPr="007268D7" w:rsidRDefault="007D6AAE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Все це дозволило представникам Мінфіну та </w:t>
      </w:r>
      <w:r w:rsidRPr="007268D7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ДПС 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набути додатковий досвід з питань </w:t>
      </w:r>
      <w:r w:rsidR="008A64C6">
        <w:rPr>
          <w:rStyle w:val="normaltextrun"/>
          <w:rFonts w:ascii="Arial" w:hAnsi="Arial" w:cs="Arial"/>
          <w:sz w:val="22"/>
          <w:szCs w:val="22"/>
          <w:lang w:val="uk-UA"/>
        </w:rPr>
        <w:t xml:space="preserve">ПДВ 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оподаткування </w:t>
      </w:r>
      <w:r w:rsidR="008A64C6">
        <w:rPr>
          <w:rStyle w:val="normaltextrun"/>
          <w:rFonts w:ascii="Arial" w:hAnsi="Arial" w:cs="Arial"/>
          <w:sz w:val="22"/>
          <w:szCs w:val="22"/>
          <w:lang w:val="uk-UA"/>
        </w:rPr>
        <w:t xml:space="preserve">інвестиційного золота 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отримати поради від </w:t>
      </w:r>
      <w:r w:rsidRPr="007268D7">
        <w:rPr>
          <w:rFonts w:ascii="Arial" w:hAnsi="Arial" w:cs="Arial"/>
          <w:sz w:val="22"/>
          <w:szCs w:val="22"/>
          <w:lang w:val="uk-UA"/>
        </w:rPr>
        <w:t>німецьк</w:t>
      </w:r>
      <w:r w:rsidR="008A64C6">
        <w:rPr>
          <w:rFonts w:ascii="Arial" w:hAnsi="Arial" w:cs="Arial"/>
          <w:sz w:val="22"/>
          <w:szCs w:val="22"/>
          <w:lang w:val="uk-UA"/>
        </w:rPr>
        <w:t>ого</w:t>
      </w:r>
      <w:r w:rsidRPr="007268D7">
        <w:rPr>
          <w:rFonts w:ascii="Arial" w:hAnsi="Arial" w:cs="Arial"/>
          <w:sz w:val="22"/>
          <w:szCs w:val="22"/>
          <w:lang w:val="uk-UA"/>
        </w:rPr>
        <w:t> експерт</w:t>
      </w:r>
      <w:r w:rsidR="008A64C6">
        <w:rPr>
          <w:rFonts w:ascii="Arial" w:hAnsi="Arial" w:cs="Arial"/>
          <w:sz w:val="22"/>
          <w:szCs w:val="22"/>
          <w:lang w:val="uk-UA"/>
        </w:rPr>
        <w:t>а</w:t>
      </w:r>
      <w:r w:rsidRPr="007268D7">
        <w:rPr>
          <w:rFonts w:ascii="Arial" w:hAnsi="Arial" w:cs="Arial"/>
          <w:sz w:val="22"/>
          <w:szCs w:val="22"/>
          <w:lang w:val="uk-UA"/>
        </w:rPr>
        <w:t>-практик</w:t>
      </w:r>
      <w:r w:rsidR="008A64C6">
        <w:rPr>
          <w:rFonts w:ascii="Arial" w:hAnsi="Arial" w:cs="Arial"/>
          <w:sz w:val="22"/>
          <w:szCs w:val="22"/>
          <w:lang w:val="uk-UA"/>
        </w:rPr>
        <w:t>а</w:t>
      </w:r>
      <w:r w:rsidRPr="007268D7">
        <w:rPr>
          <w:rStyle w:val="normaltextrun"/>
          <w:rFonts w:ascii="Arial" w:hAnsi="Arial" w:cs="Arial"/>
          <w:sz w:val="22"/>
          <w:szCs w:val="22"/>
          <w:lang w:val="uk-UA"/>
        </w:rPr>
        <w:t>, щодо</w:t>
      </w:r>
      <w:r w:rsidR="00EE7325">
        <w:rPr>
          <w:rStyle w:val="normaltextrun"/>
          <w:rFonts w:ascii="Arial" w:hAnsi="Arial" w:cs="Arial"/>
          <w:sz w:val="22"/>
          <w:szCs w:val="22"/>
          <w:lang w:val="uk-UA"/>
        </w:rPr>
        <w:t xml:space="preserve"> подальшої імплементації положень Директив і Регламентів ЄС та досвіду Німеччини в національне законодавство</w:t>
      </w:r>
      <w:r w:rsidR="00E842E5">
        <w:rPr>
          <w:rStyle w:val="normaltextrun"/>
          <w:rFonts w:ascii="Arial" w:hAnsi="Arial" w:cs="Arial"/>
          <w:sz w:val="22"/>
          <w:szCs w:val="22"/>
          <w:lang w:val="uk-UA"/>
        </w:rPr>
        <w:t>.</w:t>
      </w:r>
    </w:p>
    <w:p w:rsidR="00B27749" w:rsidRDefault="00B2774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:rsidR="00B27749" w:rsidRPr="007268D7" w:rsidRDefault="00B27749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B27749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>
            <wp:extent cx="6332855" cy="3562231"/>
            <wp:effectExtent l="0" t="0" r="0" b="635"/>
            <wp:docPr id="1" name="Рисунок 1" descr="C:\Users\starasova\Downloads\VAT Investment Gol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ownloads\VAT Investment Gold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5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749" w:rsidRPr="007268D7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3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21B18"/>
    <w:rsid w:val="0002251F"/>
    <w:rsid w:val="00042E86"/>
    <w:rsid w:val="00044ECB"/>
    <w:rsid w:val="000672B5"/>
    <w:rsid w:val="00080998"/>
    <w:rsid w:val="000816C7"/>
    <w:rsid w:val="000B56C3"/>
    <w:rsid w:val="000E59E4"/>
    <w:rsid w:val="00112E77"/>
    <w:rsid w:val="001512F1"/>
    <w:rsid w:val="00157056"/>
    <w:rsid w:val="00170C5F"/>
    <w:rsid w:val="00171C8A"/>
    <w:rsid w:val="001805CA"/>
    <w:rsid w:val="00185D06"/>
    <w:rsid w:val="001971F5"/>
    <w:rsid w:val="001C1707"/>
    <w:rsid w:val="00220D67"/>
    <w:rsid w:val="00265895"/>
    <w:rsid w:val="00292C6C"/>
    <w:rsid w:val="002A5CA3"/>
    <w:rsid w:val="002D2918"/>
    <w:rsid w:val="002E72B6"/>
    <w:rsid w:val="002F7505"/>
    <w:rsid w:val="00300523"/>
    <w:rsid w:val="00311B5F"/>
    <w:rsid w:val="003256C8"/>
    <w:rsid w:val="003322E2"/>
    <w:rsid w:val="00357A61"/>
    <w:rsid w:val="00360F5E"/>
    <w:rsid w:val="00382885"/>
    <w:rsid w:val="003E42E3"/>
    <w:rsid w:val="00484FD6"/>
    <w:rsid w:val="004919FF"/>
    <w:rsid w:val="00494D8A"/>
    <w:rsid w:val="00495742"/>
    <w:rsid w:val="004B23E8"/>
    <w:rsid w:val="004C0D50"/>
    <w:rsid w:val="004D0D51"/>
    <w:rsid w:val="004E04F5"/>
    <w:rsid w:val="00502EE8"/>
    <w:rsid w:val="0053613F"/>
    <w:rsid w:val="00567DAE"/>
    <w:rsid w:val="005B2CB2"/>
    <w:rsid w:val="005C4131"/>
    <w:rsid w:val="005F2A40"/>
    <w:rsid w:val="00607F6E"/>
    <w:rsid w:val="00615D95"/>
    <w:rsid w:val="00634320"/>
    <w:rsid w:val="00641A84"/>
    <w:rsid w:val="00641F0C"/>
    <w:rsid w:val="00681F82"/>
    <w:rsid w:val="006842B1"/>
    <w:rsid w:val="00700645"/>
    <w:rsid w:val="00705884"/>
    <w:rsid w:val="007268D7"/>
    <w:rsid w:val="00733C05"/>
    <w:rsid w:val="0075752A"/>
    <w:rsid w:val="00783005"/>
    <w:rsid w:val="007B4644"/>
    <w:rsid w:val="007D6AAE"/>
    <w:rsid w:val="007E7B23"/>
    <w:rsid w:val="008102CA"/>
    <w:rsid w:val="0081484A"/>
    <w:rsid w:val="00823172"/>
    <w:rsid w:val="00847639"/>
    <w:rsid w:val="00882AC8"/>
    <w:rsid w:val="008A64C6"/>
    <w:rsid w:val="008D7D0F"/>
    <w:rsid w:val="008E39A0"/>
    <w:rsid w:val="009171E7"/>
    <w:rsid w:val="009226F8"/>
    <w:rsid w:val="00925426"/>
    <w:rsid w:val="00925EF6"/>
    <w:rsid w:val="0096701A"/>
    <w:rsid w:val="009846E8"/>
    <w:rsid w:val="009E1BCD"/>
    <w:rsid w:val="009E77EE"/>
    <w:rsid w:val="009F43E4"/>
    <w:rsid w:val="00A445D8"/>
    <w:rsid w:val="00A5429D"/>
    <w:rsid w:val="00A54710"/>
    <w:rsid w:val="00A7708B"/>
    <w:rsid w:val="00A94AB7"/>
    <w:rsid w:val="00AC0350"/>
    <w:rsid w:val="00AC1973"/>
    <w:rsid w:val="00AD10EE"/>
    <w:rsid w:val="00B0250F"/>
    <w:rsid w:val="00B11349"/>
    <w:rsid w:val="00B127BE"/>
    <w:rsid w:val="00B17071"/>
    <w:rsid w:val="00B27749"/>
    <w:rsid w:val="00BC32A8"/>
    <w:rsid w:val="00C07A6A"/>
    <w:rsid w:val="00C33D8A"/>
    <w:rsid w:val="00C4790D"/>
    <w:rsid w:val="00C719C8"/>
    <w:rsid w:val="00C73794"/>
    <w:rsid w:val="00C93BED"/>
    <w:rsid w:val="00CA03AC"/>
    <w:rsid w:val="00CC2518"/>
    <w:rsid w:val="00CC628F"/>
    <w:rsid w:val="00D05271"/>
    <w:rsid w:val="00D218B1"/>
    <w:rsid w:val="00D4533F"/>
    <w:rsid w:val="00D66474"/>
    <w:rsid w:val="00D67943"/>
    <w:rsid w:val="00DA7972"/>
    <w:rsid w:val="00DB4EFA"/>
    <w:rsid w:val="00DD2D10"/>
    <w:rsid w:val="00DD553B"/>
    <w:rsid w:val="00DF7A9F"/>
    <w:rsid w:val="00E1715D"/>
    <w:rsid w:val="00E35225"/>
    <w:rsid w:val="00E37525"/>
    <w:rsid w:val="00E66462"/>
    <w:rsid w:val="00E770A0"/>
    <w:rsid w:val="00E842E5"/>
    <w:rsid w:val="00EA1128"/>
    <w:rsid w:val="00EB5CFB"/>
    <w:rsid w:val="00EC3637"/>
    <w:rsid w:val="00EE7325"/>
    <w:rsid w:val="00F36201"/>
    <w:rsid w:val="00F91638"/>
    <w:rsid w:val="00FA6068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2AE0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Тарасова Світлана Вікторівна</cp:lastModifiedBy>
  <cp:revision>4</cp:revision>
  <dcterms:created xsi:type="dcterms:W3CDTF">2021-06-08T08:08:00Z</dcterms:created>
  <dcterms:modified xsi:type="dcterms:W3CDTF">2021-06-09T13:40:00Z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