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14" w:rsidRPr="009F237B" w:rsidRDefault="00337E14" w:rsidP="00B04F6D">
      <w:pPr>
        <w:pStyle w:val="2"/>
        <w:ind w:firstLine="709"/>
        <w:rPr>
          <w:rFonts w:ascii="Times New Roman" w:hAnsi="Times New Roman"/>
          <w:bCs w:val="0"/>
          <w:i w:val="0"/>
          <w:iCs w:val="0"/>
          <w:lang w:val="uk-UA"/>
        </w:rPr>
      </w:pPr>
      <w:bookmarkStart w:id="0" w:name="_GoBack"/>
      <w:bookmarkEnd w:id="0"/>
      <w:r w:rsidRPr="009F237B">
        <w:rPr>
          <w:rFonts w:ascii="Times New Roman" w:hAnsi="Times New Roman"/>
          <w:bCs w:val="0"/>
          <w:i w:val="0"/>
          <w:iCs w:val="0"/>
          <w:lang w:val="uk-UA"/>
        </w:rPr>
        <w:t xml:space="preserve">АНАЛІЗ РЕГУЛЯТОРНОГО ВПЛИВУ </w:t>
      </w:r>
    </w:p>
    <w:p w:rsidR="002B5E6B" w:rsidRDefault="00EF5D19" w:rsidP="00B04F6D">
      <w:pPr>
        <w:tabs>
          <w:tab w:val="left" w:pos="851"/>
          <w:tab w:val="left" w:pos="993"/>
        </w:tabs>
        <w:ind w:firstLine="709"/>
        <w:jc w:val="center"/>
        <w:rPr>
          <w:b/>
          <w:sz w:val="28"/>
          <w:szCs w:val="28"/>
          <w:lang w:val="uk-UA"/>
        </w:rPr>
      </w:pPr>
      <w:r w:rsidRPr="009F237B">
        <w:rPr>
          <w:b/>
          <w:sz w:val="28"/>
          <w:szCs w:val="28"/>
          <w:lang w:val="uk-UA"/>
        </w:rPr>
        <w:t>д</w:t>
      </w:r>
      <w:r w:rsidR="00337E14" w:rsidRPr="009F237B">
        <w:rPr>
          <w:b/>
          <w:sz w:val="28"/>
          <w:szCs w:val="28"/>
          <w:lang w:val="uk-UA"/>
        </w:rPr>
        <w:t>о</w:t>
      </w:r>
      <w:r w:rsidRPr="009F237B">
        <w:rPr>
          <w:b/>
          <w:sz w:val="28"/>
          <w:szCs w:val="28"/>
          <w:lang w:val="uk-UA"/>
        </w:rPr>
        <w:t xml:space="preserve"> проекту наказу Міністерства фінансів</w:t>
      </w:r>
      <w:r w:rsidR="002B5E6B">
        <w:rPr>
          <w:b/>
          <w:sz w:val="28"/>
          <w:szCs w:val="28"/>
          <w:lang w:val="uk-UA"/>
        </w:rPr>
        <w:t xml:space="preserve"> України</w:t>
      </w:r>
    </w:p>
    <w:p w:rsidR="00EF5D19" w:rsidRPr="00B04F6D" w:rsidRDefault="00EF5D19" w:rsidP="00B04F6D">
      <w:pPr>
        <w:tabs>
          <w:tab w:val="left" w:pos="851"/>
          <w:tab w:val="left" w:pos="993"/>
        </w:tabs>
        <w:ind w:firstLine="709"/>
        <w:jc w:val="center"/>
        <w:rPr>
          <w:rFonts w:eastAsiaTheme="minorEastAsia"/>
          <w:b/>
          <w:sz w:val="28"/>
          <w:szCs w:val="28"/>
          <w:lang w:val="uk-UA"/>
        </w:rPr>
      </w:pPr>
      <w:r w:rsidRPr="009F237B">
        <w:rPr>
          <w:b/>
          <w:sz w:val="28"/>
          <w:szCs w:val="28"/>
          <w:lang w:val="uk-UA"/>
        </w:rPr>
        <w:t>«</w:t>
      </w:r>
      <w:r w:rsidR="000D275E">
        <w:rPr>
          <w:b/>
          <w:sz w:val="28"/>
          <w:szCs w:val="28"/>
          <w:lang w:val="uk-UA"/>
        </w:rPr>
        <w:t>Про внесення змін до деяких наказів Міністерства фінансів України</w:t>
      </w:r>
      <w:r w:rsidR="00B04F6D">
        <w:rPr>
          <w:b/>
          <w:sz w:val="28"/>
          <w:szCs w:val="28"/>
          <w:lang w:val="uk-UA"/>
        </w:rPr>
        <w:t>»</w:t>
      </w:r>
    </w:p>
    <w:p w:rsidR="005C3B2B" w:rsidRDefault="005C3B2B" w:rsidP="00B04F6D">
      <w:pPr>
        <w:ind w:left="709"/>
        <w:jc w:val="both"/>
        <w:rPr>
          <w:b/>
          <w:bCs/>
          <w:sz w:val="28"/>
          <w:szCs w:val="28"/>
          <w:lang w:val="uk-UA"/>
        </w:rPr>
      </w:pPr>
    </w:p>
    <w:p w:rsidR="00337E14" w:rsidRPr="00EC12C2" w:rsidRDefault="009B0828" w:rsidP="00B04F6D">
      <w:pPr>
        <w:ind w:left="709"/>
        <w:jc w:val="both"/>
        <w:rPr>
          <w:b/>
          <w:bCs/>
          <w:sz w:val="28"/>
          <w:szCs w:val="28"/>
          <w:lang w:val="uk-UA"/>
        </w:rPr>
      </w:pPr>
      <w:r>
        <w:rPr>
          <w:b/>
          <w:bCs/>
          <w:sz w:val="28"/>
          <w:szCs w:val="28"/>
          <w:lang w:val="en-US"/>
        </w:rPr>
        <w:t>I</w:t>
      </w:r>
      <w:r w:rsidR="00B04F6D">
        <w:rPr>
          <w:b/>
          <w:bCs/>
          <w:sz w:val="28"/>
          <w:szCs w:val="28"/>
          <w:lang w:val="uk-UA"/>
        </w:rPr>
        <w:t xml:space="preserve">. </w:t>
      </w:r>
      <w:r w:rsidR="00337E14" w:rsidRPr="00B04F6D">
        <w:rPr>
          <w:b/>
          <w:bCs/>
          <w:sz w:val="28"/>
          <w:szCs w:val="28"/>
          <w:lang w:val="uk-UA"/>
        </w:rPr>
        <w:t>Визначення проблеми</w:t>
      </w:r>
    </w:p>
    <w:p w:rsidR="005C3B2B" w:rsidRDefault="002B5E6B" w:rsidP="005C3B2B">
      <w:pPr>
        <w:pStyle w:val="ae"/>
        <w:keepNext w:val="0"/>
        <w:keepLines w:val="0"/>
        <w:widowControl w:val="0"/>
        <w:spacing w:before="0" w:after="0"/>
        <w:ind w:firstLine="709"/>
        <w:jc w:val="both"/>
        <w:rPr>
          <w:rFonts w:ascii="Times New Roman" w:hAnsi="Times New Roman"/>
          <w:b w:val="0"/>
          <w:bCs/>
          <w:sz w:val="28"/>
          <w:szCs w:val="28"/>
        </w:rPr>
      </w:pPr>
      <w:r w:rsidRPr="00A40369">
        <w:rPr>
          <w:rFonts w:ascii="Times New Roman" w:hAnsi="Times New Roman"/>
          <w:b w:val="0"/>
          <w:bCs/>
          <w:sz w:val="28"/>
          <w:szCs w:val="28"/>
        </w:rPr>
        <w:t xml:space="preserve">Проект </w:t>
      </w:r>
      <w:r>
        <w:rPr>
          <w:rFonts w:ascii="Times New Roman" w:hAnsi="Times New Roman"/>
          <w:b w:val="0"/>
          <w:bCs/>
          <w:sz w:val="28"/>
          <w:szCs w:val="28"/>
        </w:rPr>
        <w:t xml:space="preserve">наказу розроблено </w:t>
      </w:r>
      <w:r w:rsidRPr="002B5E6B">
        <w:rPr>
          <w:rFonts w:ascii="Times New Roman" w:hAnsi="Times New Roman"/>
          <w:b w:val="0"/>
          <w:bCs/>
          <w:sz w:val="28"/>
          <w:szCs w:val="28"/>
        </w:rPr>
        <w:t>Міністерств</w:t>
      </w:r>
      <w:r>
        <w:rPr>
          <w:rFonts w:ascii="Times New Roman" w:hAnsi="Times New Roman"/>
          <w:b w:val="0"/>
          <w:bCs/>
          <w:sz w:val="28"/>
          <w:szCs w:val="28"/>
        </w:rPr>
        <w:t xml:space="preserve">ом </w:t>
      </w:r>
      <w:r w:rsidRPr="002B5E6B">
        <w:rPr>
          <w:rFonts w:ascii="Times New Roman" w:hAnsi="Times New Roman"/>
          <w:b w:val="0"/>
          <w:bCs/>
          <w:sz w:val="28"/>
          <w:szCs w:val="28"/>
        </w:rPr>
        <w:t>фінансів</w:t>
      </w:r>
      <w:r>
        <w:rPr>
          <w:rFonts w:ascii="Times New Roman" w:hAnsi="Times New Roman"/>
          <w:b w:val="0"/>
          <w:bCs/>
          <w:sz w:val="28"/>
          <w:szCs w:val="28"/>
        </w:rPr>
        <w:t xml:space="preserve"> України на виконання постанови </w:t>
      </w:r>
      <w:r w:rsidRPr="00A40369">
        <w:rPr>
          <w:rFonts w:ascii="Times New Roman" w:hAnsi="Times New Roman"/>
          <w:b w:val="0"/>
          <w:bCs/>
          <w:sz w:val="28"/>
          <w:szCs w:val="28"/>
        </w:rPr>
        <w:t>Кабінету Міністрів України</w:t>
      </w:r>
      <w:r w:rsidR="005C3B2B">
        <w:rPr>
          <w:rFonts w:ascii="Times New Roman" w:hAnsi="Times New Roman"/>
          <w:b w:val="0"/>
          <w:bCs/>
          <w:sz w:val="28"/>
          <w:szCs w:val="28"/>
        </w:rPr>
        <w:t xml:space="preserve"> від 21.02.2018 року №</w:t>
      </w:r>
      <w:r w:rsidR="000D275E">
        <w:rPr>
          <w:rFonts w:ascii="Times New Roman" w:hAnsi="Times New Roman"/>
          <w:b w:val="0"/>
          <w:bCs/>
          <w:sz w:val="28"/>
          <w:szCs w:val="28"/>
        </w:rPr>
        <w:t xml:space="preserve"> 114</w:t>
      </w:r>
      <w:r w:rsidR="005C3B2B">
        <w:rPr>
          <w:rFonts w:ascii="Times New Roman" w:hAnsi="Times New Roman"/>
          <w:b w:val="0"/>
          <w:bCs/>
          <w:sz w:val="28"/>
          <w:szCs w:val="28"/>
        </w:rPr>
        <w:t xml:space="preserve"> </w:t>
      </w:r>
      <w:r w:rsidRPr="00A40369">
        <w:rPr>
          <w:rFonts w:ascii="Times New Roman" w:hAnsi="Times New Roman"/>
          <w:b w:val="0"/>
          <w:bCs/>
          <w:sz w:val="28"/>
          <w:szCs w:val="28"/>
        </w:rPr>
        <w:t>«</w:t>
      </w:r>
      <w:r w:rsidR="000D275E" w:rsidRPr="000D275E">
        <w:rPr>
          <w:rFonts w:ascii="Times New Roman" w:hAnsi="Times New Roman"/>
          <w:b w:val="0"/>
          <w:bCs/>
          <w:sz w:val="28"/>
          <w:szCs w:val="28"/>
        </w:rPr>
        <w:t>Про внесення змін до деяких постанов Кабінету Міністрів України</w:t>
      </w:r>
      <w:r w:rsidRPr="00A40369">
        <w:rPr>
          <w:rFonts w:ascii="Times New Roman" w:hAnsi="Times New Roman"/>
          <w:b w:val="0"/>
          <w:bCs/>
          <w:sz w:val="28"/>
          <w:szCs w:val="28"/>
        </w:rPr>
        <w:t>»</w:t>
      </w:r>
      <w:r>
        <w:rPr>
          <w:rFonts w:ascii="Times New Roman" w:hAnsi="Times New Roman"/>
          <w:b w:val="0"/>
          <w:bCs/>
          <w:sz w:val="28"/>
          <w:szCs w:val="28"/>
        </w:rPr>
        <w:t xml:space="preserve"> </w:t>
      </w:r>
      <w:r w:rsidRPr="00A40369">
        <w:rPr>
          <w:rFonts w:ascii="Times New Roman" w:hAnsi="Times New Roman"/>
          <w:b w:val="0"/>
          <w:bCs/>
          <w:sz w:val="28"/>
          <w:szCs w:val="28"/>
        </w:rPr>
        <w:t>з метою удосконалення механізму перерахування видатків місцевих бюджетів на здійснення заходів з виконання державних програм соціального захисту населення щодо надання пільг та житлових субсидій населенню для оплати енергоносіїв та житлово-комунальних послуг, що споживаються населенням, запровадженим постановою Кабінету Міністрів України</w:t>
      </w:r>
      <w:r w:rsidR="000D275E">
        <w:rPr>
          <w:rFonts w:ascii="Times New Roman" w:hAnsi="Times New Roman"/>
          <w:b w:val="0"/>
          <w:bCs/>
          <w:sz w:val="28"/>
          <w:szCs w:val="28"/>
        </w:rPr>
        <w:t xml:space="preserve"> </w:t>
      </w:r>
      <w:r w:rsidR="000D275E" w:rsidRPr="000D275E">
        <w:rPr>
          <w:rFonts w:ascii="Times New Roman" w:hAnsi="Times New Roman"/>
          <w:b w:val="0"/>
          <w:bCs/>
          <w:sz w:val="28"/>
          <w:szCs w:val="28"/>
        </w:rPr>
        <w:t xml:space="preserve">від </w:t>
      </w:r>
      <w:r w:rsidR="000D275E">
        <w:rPr>
          <w:rFonts w:ascii="Times New Roman" w:hAnsi="Times New Roman"/>
          <w:b w:val="0"/>
          <w:bCs/>
          <w:sz w:val="28"/>
          <w:szCs w:val="28"/>
        </w:rPr>
        <w:t>0</w:t>
      </w:r>
      <w:r w:rsidR="000D275E" w:rsidRPr="000D275E">
        <w:rPr>
          <w:rFonts w:ascii="Times New Roman" w:hAnsi="Times New Roman"/>
          <w:b w:val="0"/>
          <w:bCs/>
          <w:sz w:val="28"/>
          <w:szCs w:val="28"/>
        </w:rPr>
        <w:t>4</w:t>
      </w:r>
      <w:r w:rsidR="000D275E">
        <w:rPr>
          <w:rFonts w:ascii="Times New Roman" w:hAnsi="Times New Roman"/>
          <w:b w:val="0"/>
          <w:bCs/>
          <w:sz w:val="28"/>
          <w:szCs w:val="28"/>
        </w:rPr>
        <w:t>.03.</w:t>
      </w:r>
      <w:r w:rsidR="000D275E" w:rsidRPr="000D275E">
        <w:rPr>
          <w:rFonts w:ascii="Times New Roman" w:hAnsi="Times New Roman"/>
          <w:b w:val="0"/>
          <w:bCs/>
          <w:sz w:val="28"/>
          <w:szCs w:val="28"/>
        </w:rPr>
        <w:t xml:space="preserve">2002 </w:t>
      </w:r>
      <w:r w:rsidR="000D275E">
        <w:rPr>
          <w:rFonts w:ascii="Times New Roman" w:hAnsi="Times New Roman"/>
          <w:b w:val="0"/>
          <w:bCs/>
          <w:sz w:val="28"/>
          <w:szCs w:val="28"/>
        </w:rPr>
        <w:t>№</w:t>
      </w:r>
      <w:r w:rsidR="000D275E" w:rsidRPr="000D275E">
        <w:rPr>
          <w:rFonts w:ascii="Times New Roman" w:hAnsi="Times New Roman"/>
          <w:b w:val="0"/>
          <w:bCs/>
          <w:sz w:val="28"/>
          <w:szCs w:val="28"/>
        </w:rPr>
        <w:t xml:space="preserve"> 256</w:t>
      </w:r>
      <w:r w:rsidR="000D275E">
        <w:rPr>
          <w:rFonts w:ascii="Times New Roman" w:hAnsi="Times New Roman"/>
          <w:b w:val="0"/>
          <w:bCs/>
          <w:sz w:val="28"/>
          <w:szCs w:val="28"/>
        </w:rPr>
        <w:t xml:space="preserve"> (і</w:t>
      </w:r>
      <w:r w:rsidR="000D275E" w:rsidRPr="000D275E">
        <w:rPr>
          <w:rFonts w:ascii="Times New Roman" w:hAnsi="Times New Roman"/>
          <w:b w:val="0"/>
          <w:bCs/>
          <w:sz w:val="28"/>
          <w:szCs w:val="28"/>
        </w:rPr>
        <w:t>з змінами і доповненнями, внесеними</w:t>
      </w:r>
      <w:r w:rsidR="000D275E">
        <w:rPr>
          <w:rFonts w:ascii="Times New Roman" w:hAnsi="Times New Roman"/>
          <w:b w:val="0"/>
          <w:bCs/>
          <w:sz w:val="28"/>
          <w:szCs w:val="28"/>
        </w:rPr>
        <w:t xml:space="preserve"> </w:t>
      </w:r>
      <w:r w:rsidR="000D275E" w:rsidRPr="000D275E">
        <w:rPr>
          <w:rFonts w:ascii="Times New Roman" w:hAnsi="Times New Roman"/>
          <w:b w:val="0"/>
          <w:bCs/>
          <w:sz w:val="28"/>
          <w:szCs w:val="28"/>
        </w:rPr>
        <w:t> постановою Кабінету Міністрів України</w:t>
      </w:r>
      <w:r w:rsidR="000D275E">
        <w:rPr>
          <w:rFonts w:ascii="Times New Roman" w:hAnsi="Times New Roman"/>
          <w:b w:val="0"/>
          <w:bCs/>
          <w:sz w:val="28"/>
          <w:szCs w:val="28"/>
        </w:rPr>
        <w:t xml:space="preserve"> </w:t>
      </w:r>
      <w:r w:rsidRPr="00A40369">
        <w:rPr>
          <w:rFonts w:ascii="Times New Roman" w:hAnsi="Times New Roman"/>
          <w:b w:val="0"/>
          <w:bCs/>
          <w:sz w:val="28"/>
          <w:szCs w:val="28"/>
        </w:rPr>
        <w:t>від 8 листопада</w:t>
      </w:r>
      <w:r>
        <w:rPr>
          <w:rFonts w:ascii="Times New Roman" w:hAnsi="Times New Roman"/>
          <w:b w:val="0"/>
          <w:bCs/>
          <w:sz w:val="28"/>
          <w:szCs w:val="28"/>
        </w:rPr>
        <w:t xml:space="preserve"> </w:t>
      </w:r>
      <w:r w:rsidRPr="00A40369">
        <w:rPr>
          <w:rFonts w:ascii="Times New Roman" w:hAnsi="Times New Roman"/>
          <w:b w:val="0"/>
          <w:bCs/>
          <w:sz w:val="28"/>
          <w:szCs w:val="28"/>
        </w:rPr>
        <w:t>2017 року № 951</w:t>
      </w:r>
      <w:r w:rsidR="000D275E">
        <w:rPr>
          <w:rFonts w:ascii="Times New Roman" w:hAnsi="Times New Roman"/>
          <w:b w:val="0"/>
          <w:bCs/>
          <w:sz w:val="28"/>
          <w:szCs w:val="28"/>
        </w:rPr>
        <w:t>)</w:t>
      </w:r>
      <w:r w:rsidRPr="00A40369">
        <w:rPr>
          <w:rFonts w:ascii="Times New Roman" w:hAnsi="Times New Roman"/>
          <w:b w:val="0"/>
          <w:bCs/>
          <w:sz w:val="28"/>
          <w:szCs w:val="28"/>
        </w:rPr>
        <w:t>.</w:t>
      </w:r>
    </w:p>
    <w:p w:rsidR="000D275E" w:rsidRDefault="002B5E6B" w:rsidP="005C3B2B">
      <w:pPr>
        <w:pStyle w:val="ae"/>
        <w:keepNext w:val="0"/>
        <w:keepLines w:val="0"/>
        <w:widowControl w:val="0"/>
        <w:spacing w:before="0" w:after="0"/>
        <w:ind w:firstLine="709"/>
        <w:jc w:val="both"/>
        <w:rPr>
          <w:rFonts w:ascii="Times New Roman" w:hAnsi="Times New Roman"/>
          <w:b w:val="0"/>
          <w:bCs/>
          <w:sz w:val="28"/>
          <w:szCs w:val="28"/>
        </w:rPr>
      </w:pPr>
      <w:r w:rsidRPr="005C3B2B">
        <w:rPr>
          <w:rFonts w:ascii="Times New Roman" w:hAnsi="Times New Roman"/>
          <w:b w:val="0"/>
          <w:bCs/>
          <w:sz w:val="28"/>
          <w:szCs w:val="28"/>
        </w:rPr>
        <w:t xml:space="preserve">У Державному бюджеті України на 2018 рік передбачена субвенція з державного бюджету місцевим бюджетам на надання пільг та житлових субсидій населенню з оплати електричної енергії, природного газу, послуг тепло-, водопостачання і водовідведення, квартирної плати, управлінням багатоквартирними будинками, вивезення побутового сміття та рідких нечистот у сумі 71,0 млрд. гривень. Перерахування цієї субвенції з 2018 року здійснюється за механізмом, визначеним постановою Кабінету Міністрів України </w:t>
      </w:r>
      <w:r w:rsidR="000D275E" w:rsidRPr="000D275E">
        <w:rPr>
          <w:rFonts w:ascii="Times New Roman" w:hAnsi="Times New Roman"/>
          <w:b w:val="0"/>
          <w:bCs/>
          <w:sz w:val="28"/>
          <w:szCs w:val="28"/>
        </w:rPr>
        <w:t xml:space="preserve">від </w:t>
      </w:r>
      <w:r w:rsidR="000D275E">
        <w:rPr>
          <w:rFonts w:ascii="Times New Roman" w:hAnsi="Times New Roman"/>
          <w:b w:val="0"/>
          <w:bCs/>
          <w:sz w:val="28"/>
          <w:szCs w:val="28"/>
        </w:rPr>
        <w:t>0</w:t>
      </w:r>
      <w:r w:rsidR="000D275E" w:rsidRPr="000D275E">
        <w:rPr>
          <w:rFonts w:ascii="Times New Roman" w:hAnsi="Times New Roman"/>
          <w:b w:val="0"/>
          <w:bCs/>
          <w:sz w:val="28"/>
          <w:szCs w:val="28"/>
        </w:rPr>
        <w:t>4</w:t>
      </w:r>
      <w:r w:rsidR="000D275E">
        <w:rPr>
          <w:rFonts w:ascii="Times New Roman" w:hAnsi="Times New Roman"/>
          <w:b w:val="0"/>
          <w:bCs/>
          <w:sz w:val="28"/>
          <w:szCs w:val="28"/>
        </w:rPr>
        <w:t>.03.</w:t>
      </w:r>
      <w:r w:rsidR="000D275E" w:rsidRPr="000D275E">
        <w:rPr>
          <w:rFonts w:ascii="Times New Roman" w:hAnsi="Times New Roman"/>
          <w:b w:val="0"/>
          <w:bCs/>
          <w:sz w:val="28"/>
          <w:szCs w:val="28"/>
        </w:rPr>
        <w:t xml:space="preserve">2002 </w:t>
      </w:r>
      <w:r w:rsidR="000D275E">
        <w:rPr>
          <w:rFonts w:ascii="Times New Roman" w:hAnsi="Times New Roman"/>
          <w:b w:val="0"/>
          <w:bCs/>
          <w:sz w:val="28"/>
          <w:szCs w:val="28"/>
        </w:rPr>
        <w:t>№</w:t>
      </w:r>
      <w:r w:rsidR="000D275E" w:rsidRPr="000D275E">
        <w:rPr>
          <w:rFonts w:ascii="Times New Roman" w:hAnsi="Times New Roman"/>
          <w:b w:val="0"/>
          <w:bCs/>
          <w:sz w:val="28"/>
          <w:szCs w:val="28"/>
        </w:rPr>
        <w:t xml:space="preserve"> 256</w:t>
      </w:r>
      <w:r w:rsidR="000D275E">
        <w:rPr>
          <w:rFonts w:ascii="Times New Roman" w:hAnsi="Times New Roman"/>
          <w:b w:val="0"/>
          <w:bCs/>
          <w:sz w:val="28"/>
          <w:szCs w:val="28"/>
        </w:rPr>
        <w:t xml:space="preserve"> (і</w:t>
      </w:r>
      <w:r w:rsidR="000D275E" w:rsidRPr="000D275E">
        <w:rPr>
          <w:rFonts w:ascii="Times New Roman" w:hAnsi="Times New Roman"/>
          <w:b w:val="0"/>
          <w:bCs/>
          <w:sz w:val="28"/>
          <w:szCs w:val="28"/>
        </w:rPr>
        <w:t>з змінами і доповненнями, внесеними</w:t>
      </w:r>
      <w:r w:rsidR="000D275E">
        <w:rPr>
          <w:rFonts w:ascii="Times New Roman" w:hAnsi="Times New Roman"/>
          <w:b w:val="0"/>
          <w:bCs/>
          <w:sz w:val="28"/>
          <w:szCs w:val="28"/>
        </w:rPr>
        <w:t xml:space="preserve"> </w:t>
      </w:r>
      <w:r w:rsidR="000D275E" w:rsidRPr="000D275E">
        <w:rPr>
          <w:rFonts w:ascii="Times New Roman" w:hAnsi="Times New Roman"/>
          <w:b w:val="0"/>
          <w:bCs/>
          <w:sz w:val="28"/>
          <w:szCs w:val="28"/>
        </w:rPr>
        <w:t>постанов</w:t>
      </w:r>
      <w:r w:rsidR="00EC12C2">
        <w:rPr>
          <w:rFonts w:ascii="Times New Roman" w:hAnsi="Times New Roman"/>
          <w:b w:val="0"/>
          <w:bCs/>
          <w:sz w:val="28"/>
          <w:szCs w:val="28"/>
        </w:rPr>
        <w:t>ами</w:t>
      </w:r>
      <w:r w:rsidR="000D275E" w:rsidRPr="000D275E">
        <w:rPr>
          <w:rFonts w:ascii="Times New Roman" w:hAnsi="Times New Roman"/>
          <w:b w:val="0"/>
          <w:bCs/>
          <w:sz w:val="28"/>
          <w:szCs w:val="28"/>
        </w:rPr>
        <w:t xml:space="preserve"> Кабінету Міністрів України</w:t>
      </w:r>
      <w:r w:rsidR="000D275E">
        <w:rPr>
          <w:rFonts w:ascii="Times New Roman" w:hAnsi="Times New Roman"/>
          <w:b w:val="0"/>
          <w:bCs/>
          <w:sz w:val="28"/>
          <w:szCs w:val="28"/>
        </w:rPr>
        <w:t xml:space="preserve"> </w:t>
      </w:r>
      <w:r w:rsidR="000D275E" w:rsidRPr="00A40369">
        <w:rPr>
          <w:rFonts w:ascii="Times New Roman" w:hAnsi="Times New Roman"/>
          <w:b w:val="0"/>
          <w:bCs/>
          <w:sz w:val="28"/>
          <w:szCs w:val="28"/>
        </w:rPr>
        <w:t xml:space="preserve">від </w:t>
      </w:r>
      <w:r w:rsidR="000D275E">
        <w:rPr>
          <w:rFonts w:ascii="Times New Roman" w:hAnsi="Times New Roman"/>
          <w:b w:val="0"/>
          <w:bCs/>
          <w:sz w:val="28"/>
          <w:szCs w:val="28"/>
        </w:rPr>
        <w:t>0</w:t>
      </w:r>
      <w:r w:rsidR="000D275E" w:rsidRPr="00A40369">
        <w:rPr>
          <w:rFonts w:ascii="Times New Roman" w:hAnsi="Times New Roman"/>
          <w:b w:val="0"/>
          <w:bCs/>
          <w:sz w:val="28"/>
          <w:szCs w:val="28"/>
        </w:rPr>
        <w:t>8</w:t>
      </w:r>
      <w:r w:rsidR="000D275E">
        <w:rPr>
          <w:rFonts w:ascii="Times New Roman" w:hAnsi="Times New Roman"/>
          <w:b w:val="0"/>
          <w:bCs/>
          <w:sz w:val="28"/>
          <w:szCs w:val="28"/>
        </w:rPr>
        <w:t>.11.</w:t>
      </w:r>
      <w:r w:rsidR="000D275E" w:rsidRPr="00A40369">
        <w:rPr>
          <w:rFonts w:ascii="Times New Roman" w:hAnsi="Times New Roman"/>
          <w:b w:val="0"/>
          <w:bCs/>
          <w:sz w:val="28"/>
          <w:szCs w:val="28"/>
        </w:rPr>
        <w:t>2017 № 951</w:t>
      </w:r>
      <w:r w:rsidR="00EC12C2">
        <w:rPr>
          <w:rFonts w:ascii="Times New Roman" w:hAnsi="Times New Roman"/>
          <w:b w:val="0"/>
          <w:bCs/>
          <w:sz w:val="28"/>
          <w:szCs w:val="28"/>
        </w:rPr>
        <w:t xml:space="preserve"> та від 21.02.2018 №114</w:t>
      </w:r>
      <w:r w:rsidR="000D275E">
        <w:rPr>
          <w:rFonts w:ascii="Times New Roman" w:hAnsi="Times New Roman"/>
          <w:b w:val="0"/>
          <w:bCs/>
          <w:sz w:val="28"/>
          <w:szCs w:val="28"/>
        </w:rPr>
        <w:t>)</w:t>
      </w:r>
      <w:r w:rsidRPr="005C3B2B">
        <w:rPr>
          <w:rFonts w:ascii="Times New Roman" w:hAnsi="Times New Roman"/>
          <w:b w:val="0"/>
          <w:bCs/>
          <w:sz w:val="28"/>
          <w:szCs w:val="28"/>
        </w:rPr>
        <w:t>.</w:t>
      </w:r>
    </w:p>
    <w:p w:rsidR="000D275E" w:rsidRDefault="002B5E6B" w:rsidP="00EC12C2">
      <w:pPr>
        <w:pStyle w:val="ae"/>
        <w:keepNext w:val="0"/>
        <w:keepLines w:val="0"/>
        <w:widowControl w:val="0"/>
        <w:spacing w:before="0" w:after="0"/>
        <w:ind w:firstLine="709"/>
        <w:jc w:val="both"/>
        <w:rPr>
          <w:rFonts w:ascii="Times New Roman" w:hAnsi="Times New Roman"/>
          <w:b w:val="0"/>
          <w:bCs/>
          <w:sz w:val="28"/>
          <w:szCs w:val="28"/>
        </w:rPr>
      </w:pPr>
      <w:r w:rsidRPr="005C3B2B">
        <w:rPr>
          <w:rFonts w:ascii="Times New Roman" w:hAnsi="Times New Roman"/>
          <w:b w:val="0"/>
          <w:bCs/>
          <w:sz w:val="28"/>
          <w:szCs w:val="28"/>
        </w:rPr>
        <w:t xml:space="preserve">Проте </w:t>
      </w:r>
      <w:r w:rsidR="00EC12C2">
        <w:rPr>
          <w:rFonts w:ascii="Times New Roman" w:hAnsi="Times New Roman"/>
          <w:b w:val="0"/>
          <w:bCs/>
          <w:sz w:val="28"/>
          <w:szCs w:val="28"/>
        </w:rPr>
        <w:t>протягом січня-лютого 2018 року</w:t>
      </w:r>
      <w:r w:rsidRPr="005C3B2B">
        <w:rPr>
          <w:rFonts w:ascii="Times New Roman" w:hAnsi="Times New Roman"/>
          <w:b w:val="0"/>
          <w:bCs/>
          <w:sz w:val="28"/>
          <w:szCs w:val="28"/>
        </w:rPr>
        <w:t xml:space="preserve"> </w:t>
      </w:r>
      <w:r w:rsidR="00EC12C2">
        <w:rPr>
          <w:rFonts w:ascii="Times New Roman" w:hAnsi="Times New Roman"/>
          <w:b w:val="0"/>
          <w:bCs/>
          <w:sz w:val="28"/>
          <w:szCs w:val="28"/>
        </w:rPr>
        <w:t>в</w:t>
      </w:r>
      <w:r w:rsidR="005C3B2B">
        <w:rPr>
          <w:rFonts w:ascii="Times New Roman" w:hAnsi="Times New Roman"/>
          <w:b w:val="0"/>
          <w:bCs/>
          <w:sz w:val="28"/>
          <w:szCs w:val="28"/>
        </w:rPr>
        <w:t xml:space="preserve"> </w:t>
      </w:r>
      <w:r w:rsidR="005C3B2B" w:rsidRPr="005C3B2B">
        <w:rPr>
          <w:rFonts w:ascii="Times New Roman" w:hAnsi="Times New Roman"/>
          <w:b w:val="0"/>
          <w:bCs/>
          <w:sz w:val="28"/>
          <w:szCs w:val="28"/>
        </w:rPr>
        <w:t>об’єднання</w:t>
      </w:r>
      <w:r w:rsidR="00EC12C2">
        <w:rPr>
          <w:rFonts w:ascii="Times New Roman" w:hAnsi="Times New Roman"/>
          <w:b w:val="0"/>
          <w:bCs/>
          <w:sz w:val="28"/>
          <w:szCs w:val="28"/>
        </w:rPr>
        <w:t>х</w:t>
      </w:r>
      <w:r w:rsidR="005C3B2B">
        <w:rPr>
          <w:rFonts w:ascii="Times New Roman" w:hAnsi="Times New Roman"/>
          <w:b w:val="0"/>
          <w:bCs/>
          <w:sz w:val="28"/>
          <w:szCs w:val="28"/>
        </w:rPr>
        <w:t xml:space="preserve"> </w:t>
      </w:r>
      <w:r w:rsidR="005C3B2B" w:rsidRPr="005C3B2B">
        <w:rPr>
          <w:rFonts w:ascii="Times New Roman" w:hAnsi="Times New Roman"/>
          <w:b w:val="0"/>
          <w:bCs/>
          <w:sz w:val="28"/>
          <w:szCs w:val="28"/>
        </w:rPr>
        <w:t>співвласників багатоквартирних будинків</w:t>
      </w:r>
      <w:r w:rsidR="005C3B2B">
        <w:rPr>
          <w:rFonts w:ascii="Times New Roman" w:hAnsi="Times New Roman"/>
          <w:b w:val="0"/>
          <w:bCs/>
          <w:sz w:val="28"/>
          <w:szCs w:val="28"/>
        </w:rPr>
        <w:t xml:space="preserve"> </w:t>
      </w:r>
      <w:r w:rsidR="005C3B2B" w:rsidRPr="005C3B2B">
        <w:rPr>
          <w:rFonts w:ascii="Times New Roman" w:hAnsi="Times New Roman"/>
          <w:b w:val="0"/>
          <w:bCs/>
          <w:sz w:val="28"/>
          <w:szCs w:val="28"/>
        </w:rPr>
        <w:t>та житлово-будівельни</w:t>
      </w:r>
      <w:r w:rsidR="00EC12C2">
        <w:rPr>
          <w:rFonts w:ascii="Times New Roman" w:hAnsi="Times New Roman"/>
          <w:b w:val="0"/>
          <w:bCs/>
          <w:sz w:val="28"/>
          <w:szCs w:val="28"/>
        </w:rPr>
        <w:t>х</w:t>
      </w:r>
      <w:r w:rsidR="005C3B2B">
        <w:rPr>
          <w:rFonts w:ascii="Times New Roman" w:hAnsi="Times New Roman"/>
          <w:b w:val="0"/>
          <w:bCs/>
          <w:sz w:val="28"/>
          <w:szCs w:val="28"/>
        </w:rPr>
        <w:t xml:space="preserve"> </w:t>
      </w:r>
      <w:r w:rsidR="005C3B2B" w:rsidRPr="005C3B2B">
        <w:rPr>
          <w:rFonts w:ascii="Times New Roman" w:hAnsi="Times New Roman"/>
          <w:b w:val="0"/>
          <w:bCs/>
          <w:sz w:val="28"/>
          <w:szCs w:val="28"/>
        </w:rPr>
        <w:t>кооператив</w:t>
      </w:r>
      <w:r w:rsidR="00EC12C2">
        <w:rPr>
          <w:rFonts w:ascii="Times New Roman" w:hAnsi="Times New Roman"/>
          <w:b w:val="0"/>
          <w:bCs/>
          <w:sz w:val="28"/>
          <w:szCs w:val="28"/>
        </w:rPr>
        <w:t xml:space="preserve">ів                            </w:t>
      </w:r>
      <w:r w:rsidR="005C3B2B">
        <w:rPr>
          <w:rFonts w:ascii="Times New Roman" w:hAnsi="Times New Roman"/>
          <w:b w:val="0"/>
          <w:bCs/>
          <w:sz w:val="28"/>
          <w:szCs w:val="28"/>
        </w:rPr>
        <w:t xml:space="preserve"> (далі – ОСББ та ЖБК відповідно)</w:t>
      </w:r>
      <w:r w:rsidR="00EC12C2">
        <w:rPr>
          <w:rFonts w:ascii="Times New Roman" w:hAnsi="Times New Roman"/>
          <w:b w:val="0"/>
          <w:bCs/>
          <w:sz w:val="28"/>
          <w:szCs w:val="28"/>
        </w:rPr>
        <w:t xml:space="preserve"> виникли проблеми з відкриттям в територіальних органах Казначейства рахунків із спеціальним режимом використання та заповненням Реєстру обсягів спожитих енергоносіїв та спожитих послуг, затвердженого додатком 1 цього наказу, </w:t>
      </w:r>
      <w:r w:rsidRPr="000D275E">
        <w:rPr>
          <w:rFonts w:ascii="Times New Roman" w:hAnsi="Times New Roman"/>
          <w:b w:val="0"/>
          <w:bCs/>
          <w:sz w:val="28"/>
          <w:szCs w:val="28"/>
        </w:rPr>
        <w:t xml:space="preserve">і як наслідок </w:t>
      </w:r>
      <w:r w:rsidR="00EC12C2">
        <w:rPr>
          <w:rFonts w:ascii="Times New Roman" w:hAnsi="Times New Roman"/>
          <w:b w:val="0"/>
          <w:bCs/>
          <w:sz w:val="28"/>
          <w:szCs w:val="28"/>
        </w:rPr>
        <w:t xml:space="preserve">проблеми з </w:t>
      </w:r>
      <w:r w:rsidRPr="000D275E">
        <w:rPr>
          <w:rFonts w:ascii="Times New Roman" w:hAnsi="Times New Roman"/>
          <w:b w:val="0"/>
          <w:bCs/>
          <w:sz w:val="28"/>
          <w:szCs w:val="28"/>
        </w:rPr>
        <w:t>отрим</w:t>
      </w:r>
      <w:r w:rsidR="00EC12C2">
        <w:rPr>
          <w:rFonts w:ascii="Times New Roman" w:hAnsi="Times New Roman"/>
          <w:b w:val="0"/>
          <w:bCs/>
          <w:sz w:val="28"/>
          <w:szCs w:val="28"/>
        </w:rPr>
        <w:t>анням</w:t>
      </w:r>
      <w:r w:rsidRPr="000D275E">
        <w:rPr>
          <w:rFonts w:ascii="Times New Roman" w:hAnsi="Times New Roman"/>
          <w:b w:val="0"/>
          <w:bCs/>
          <w:sz w:val="28"/>
          <w:szCs w:val="28"/>
        </w:rPr>
        <w:t xml:space="preserve"> кошт</w:t>
      </w:r>
      <w:r w:rsidR="00EC12C2">
        <w:rPr>
          <w:rFonts w:ascii="Times New Roman" w:hAnsi="Times New Roman"/>
          <w:b w:val="0"/>
          <w:bCs/>
          <w:sz w:val="28"/>
          <w:szCs w:val="28"/>
        </w:rPr>
        <w:t>ів субвенції</w:t>
      </w:r>
      <w:r w:rsidRPr="000D275E">
        <w:rPr>
          <w:rFonts w:ascii="Times New Roman" w:hAnsi="Times New Roman"/>
          <w:b w:val="0"/>
          <w:bCs/>
          <w:sz w:val="28"/>
          <w:szCs w:val="28"/>
        </w:rPr>
        <w:t xml:space="preserve"> з державного бюджету</w:t>
      </w:r>
      <w:r w:rsidR="000D275E">
        <w:rPr>
          <w:rFonts w:ascii="Times New Roman" w:hAnsi="Times New Roman"/>
          <w:b w:val="0"/>
          <w:bCs/>
          <w:sz w:val="28"/>
          <w:szCs w:val="28"/>
        </w:rPr>
        <w:t>.</w:t>
      </w:r>
    </w:p>
    <w:p w:rsidR="002B5E6B" w:rsidRPr="000D275E" w:rsidRDefault="002B5E6B" w:rsidP="000D275E">
      <w:pPr>
        <w:pStyle w:val="ae"/>
        <w:keepNext w:val="0"/>
        <w:keepLines w:val="0"/>
        <w:widowControl w:val="0"/>
        <w:spacing w:before="0" w:after="0"/>
        <w:ind w:firstLine="709"/>
        <w:jc w:val="both"/>
        <w:rPr>
          <w:rFonts w:ascii="Times New Roman" w:hAnsi="Times New Roman"/>
          <w:b w:val="0"/>
          <w:bCs/>
          <w:sz w:val="28"/>
          <w:szCs w:val="28"/>
        </w:rPr>
      </w:pPr>
      <w:r w:rsidRPr="000D275E">
        <w:rPr>
          <w:rFonts w:ascii="Times New Roman" w:hAnsi="Times New Roman"/>
          <w:b w:val="0"/>
          <w:bCs/>
          <w:sz w:val="28"/>
          <w:szCs w:val="28"/>
        </w:rPr>
        <w:t xml:space="preserve">Також виникли проблеми із використанням коштів, які надходять на рахунки надавачів послуг із водопостачання і водовідведення (зокрема, відсутня можливість використовувати їх на виплату заробітної та покупну питну воду), теплопостачання, що використовують альтернативні види палива та підприємств, які постачають таке паливо та оплачувати покупну теплову енергію, квартирної плати (утримання будинків і споруд та прибудинкових територій), управління багатоквартирним будинком, вивезення побутового сміття та рідких нечистот, тощо. </w:t>
      </w:r>
    </w:p>
    <w:p w:rsidR="000D275E" w:rsidRPr="00122977" w:rsidRDefault="002B5E6B" w:rsidP="000D275E">
      <w:pPr>
        <w:ind w:firstLine="709"/>
        <w:jc w:val="both"/>
        <w:rPr>
          <w:bCs/>
          <w:sz w:val="28"/>
          <w:szCs w:val="28"/>
          <w:lang w:val="uk-UA"/>
        </w:rPr>
      </w:pPr>
      <w:r>
        <w:rPr>
          <w:bCs/>
          <w:sz w:val="28"/>
          <w:szCs w:val="28"/>
          <w:lang w:val="uk-UA"/>
        </w:rPr>
        <w:t xml:space="preserve">Протягом січня-лютого 2018 року надійшло біля 1 000 звернень від </w:t>
      </w:r>
      <w:r w:rsidR="005C3B2B">
        <w:rPr>
          <w:bCs/>
          <w:sz w:val="28"/>
          <w:szCs w:val="28"/>
          <w:lang w:val="uk-UA"/>
        </w:rPr>
        <w:t>ОСББ</w:t>
      </w:r>
      <w:r w:rsidR="00B87389" w:rsidRPr="00EC12C2">
        <w:rPr>
          <w:bCs/>
          <w:sz w:val="28"/>
          <w:szCs w:val="28"/>
          <w:lang w:val="uk-UA"/>
        </w:rPr>
        <w:t xml:space="preserve"> </w:t>
      </w:r>
      <w:r w:rsidR="005C3B2B">
        <w:rPr>
          <w:bCs/>
          <w:sz w:val="28"/>
          <w:szCs w:val="28"/>
          <w:lang w:val="uk-UA"/>
        </w:rPr>
        <w:t>та ЖБК</w:t>
      </w:r>
      <w:r>
        <w:rPr>
          <w:bCs/>
          <w:sz w:val="28"/>
          <w:szCs w:val="28"/>
          <w:lang w:val="uk-UA"/>
        </w:rPr>
        <w:t>, підприємств водопостачання – т</w:t>
      </w:r>
      <w:r w:rsidRPr="00A40369">
        <w:rPr>
          <w:bCs/>
          <w:sz w:val="28"/>
          <w:szCs w:val="28"/>
          <w:lang w:val="uk-UA"/>
        </w:rPr>
        <w:t xml:space="preserve">ому виникла необхідність </w:t>
      </w:r>
      <w:proofErr w:type="spellStart"/>
      <w:r w:rsidRPr="00A40369">
        <w:rPr>
          <w:bCs/>
          <w:sz w:val="28"/>
          <w:szCs w:val="28"/>
          <w:lang w:val="uk-UA"/>
        </w:rPr>
        <w:t>внести</w:t>
      </w:r>
      <w:proofErr w:type="spellEnd"/>
      <w:r w:rsidRPr="00A40369">
        <w:rPr>
          <w:bCs/>
          <w:sz w:val="28"/>
          <w:szCs w:val="28"/>
          <w:lang w:val="uk-UA"/>
        </w:rPr>
        <w:t xml:space="preserve"> зміни до існуючого механізму.</w:t>
      </w:r>
      <w:r w:rsidR="00EC12C2">
        <w:rPr>
          <w:bCs/>
          <w:sz w:val="28"/>
          <w:szCs w:val="28"/>
          <w:lang w:val="uk-UA"/>
        </w:rPr>
        <w:t xml:space="preserve"> Постановою Уряду </w:t>
      </w:r>
      <w:r w:rsidR="00122977" w:rsidRPr="00122977">
        <w:rPr>
          <w:bCs/>
          <w:sz w:val="28"/>
          <w:szCs w:val="28"/>
          <w:lang w:val="uk-UA"/>
        </w:rPr>
        <w:t>від 21.02.2018 року № 114 «Про внесення змін до деяких постанов Кабінету Міністрів України»</w:t>
      </w:r>
      <w:r w:rsidR="00122977">
        <w:rPr>
          <w:bCs/>
          <w:sz w:val="28"/>
          <w:szCs w:val="28"/>
          <w:lang w:val="uk-UA"/>
        </w:rPr>
        <w:t xml:space="preserve"> удосконалено </w:t>
      </w:r>
      <w:r w:rsidR="00122977">
        <w:rPr>
          <w:bCs/>
          <w:sz w:val="28"/>
          <w:szCs w:val="28"/>
          <w:lang w:val="uk-UA"/>
        </w:rPr>
        <w:lastRenderedPageBreak/>
        <w:t>існуючий механізм та розширено напрями використання отриманої субвенції з рахунків із спеціальним режимом використання, відкритих в органах казначейства.</w:t>
      </w:r>
    </w:p>
    <w:p w:rsidR="007B23E7" w:rsidRPr="005C3B2B" w:rsidRDefault="007579C2" w:rsidP="000D275E">
      <w:pPr>
        <w:ind w:firstLine="709"/>
        <w:jc w:val="both"/>
        <w:rPr>
          <w:sz w:val="28"/>
          <w:szCs w:val="28"/>
          <w:lang w:val="uk-UA"/>
        </w:rPr>
      </w:pPr>
      <w:r w:rsidRPr="009F237B">
        <w:rPr>
          <w:sz w:val="28"/>
          <w:szCs w:val="28"/>
          <w:lang w:val="uk-UA"/>
        </w:rPr>
        <w:t xml:space="preserve">Підготовлений проект </w:t>
      </w:r>
      <w:r w:rsidR="008C4A84" w:rsidRPr="009F237B">
        <w:rPr>
          <w:sz w:val="28"/>
          <w:szCs w:val="28"/>
          <w:lang w:val="uk-UA"/>
        </w:rPr>
        <w:t>Наказу</w:t>
      </w:r>
      <w:r w:rsidR="009F237B">
        <w:rPr>
          <w:sz w:val="28"/>
          <w:szCs w:val="28"/>
          <w:lang w:val="uk-UA"/>
        </w:rPr>
        <w:t xml:space="preserve"> </w:t>
      </w:r>
      <w:r w:rsidRPr="009F237B">
        <w:rPr>
          <w:sz w:val="28"/>
          <w:szCs w:val="28"/>
          <w:lang w:val="uk-UA"/>
        </w:rPr>
        <w:t>затверджує</w:t>
      </w:r>
      <w:r w:rsidRPr="005C3B2B">
        <w:rPr>
          <w:sz w:val="28"/>
          <w:szCs w:val="28"/>
          <w:lang w:val="uk-UA"/>
        </w:rPr>
        <w:t xml:space="preserve"> </w:t>
      </w:r>
      <w:r w:rsidR="002B5E6B" w:rsidRPr="005C3B2B">
        <w:rPr>
          <w:sz w:val="28"/>
          <w:szCs w:val="28"/>
          <w:lang w:val="uk-UA"/>
        </w:rPr>
        <w:t>зміни до</w:t>
      </w:r>
      <w:r w:rsidR="00A66F04" w:rsidRPr="005C3B2B">
        <w:rPr>
          <w:sz w:val="28"/>
          <w:szCs w:val="28"/>
          <w:lang w:val="uk-UA"/>
        </w:rPr>
        <w:t xml:space="preserve"> Порядку проведення органами Казначейства розрахунків,</w:t>
      </w:r>
      <w:r w:rsidR="005C3B2B">
        <w:rPr>
          <w:sz w:val="28"/>
          <w:szCs w:val="28"/>
          <w:lang w:val="uk-UA"/>
        </w:rPr>
        <w:t xml:space="preserve"> </w:t>
      </w:r>
      <w:r w:rsidR="00A66F04" w:rsidRPr="005C3B2B">
        <w:rPr>
          <w:sz w:val="28"/>
          <w:szCs w:val="28"/>
          <w:lang w:val="uk-UA"/>
        </w:rPr>
        <w:t>передбачених пункт</w:t>
      </w:r>
      <w:r w:rsidR="00122977">
        <w:rPr>
          <w:sz w:val="28"/>
          <w:szCs w:val="28"/>
          <w:lang w:val="uk-UA"/>
        </w:rPr>
        <w:t>ами 8 та</w:t>
      </w:r>
      <w:r w:rsidR="00A66F04" w:rsidRPr="005C3B2B">
        <w:rPr>
          <w:sz w:val="28"/>
          <w:szCs w:val="28"/>
          <w:lang w:val="uk-UA"/>
        </w:rPr>
        <w:t xml:space="preserve"> 8</w:t>
      </w:r>
      <w:r w:rsidR="00A66F04" w:rsidRPr="005C3B2B">
        <w:rPr>
          <w:sz w:val="28"/>
          <w:szCs w:val="28"/>
          <w:vertAlign w:val="superscript"/>
          <w:lang w:val="uk-UA"/>
        </w:rPr>
        <w:t>1</w:t>
      </w:r>
      <w:r w:rsidR="00A66F04" w:rsidRPr="005C3B2B">
        <w:rPr>
          <w:sz w:val="28"/>
          <w:szCs w:val="28"/>
          <w:lang w:val="uk-UA"/>
        </w:rPr>
        <w:t xml:space="preserve">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 затвердженого постановою Кабінету Міністрів України від 04 березня 2002 року </w:t>
      </w:r>
      <w:r w:rsidR="005C3B2B">
        <w:rPr>
          <w:sz w:val="28"/>
          <w:szCs w:val="28"/>
          <w:lang w:val="uk-UA"/>
        </w:rPr>
        <w:t>№</w:t>
      </w:r>
      <w:r w:rsidR="00A66F04" w:rsidRPr="005C3B2B">
        <w:rPr>
          <w:sz w:val="28"/>
          <w:szCs w:val="28"/>
          <w:lang w:val="uk-UA"/>
        </w:rPr>
        <w:t xml:space="preserve"> 256, та взаємодії учасників таких розрахунків, затвердженого наказом Міністерства фінансів України 04.01.2018 № 1, зареєстрованого в Міністерстві юстиції України 16 січня 2018 р. за № 64/31516.</w:t>
      </w:r>
    </w:p>
    <w:p w:rsidR="00A66F04" w:rsidRPr="005C3B2B" w:rsidRDefault="00A66F04" w:rsidP="00A66F04">
      <w:pPr>
        <w:tabs>
          <w:tab w:val="left" w:pos="851"/>
          <w:tab w:val="left" w:pos="993"/>
        </w:tabs>
        <w:ind w:firstLine="709"/>
        <w:jc w:val="both"/>
        <w:rPr>
          <w:sz w:val="28"/>
          <w:szCs w:val="28"/>
          <w:lang w:val="uk-UA"/>
        </w:rPr>
      </w:pPr>
    </w:p>
    <w:p w:rsidR="00337E14" w:rsidRDefault="00337E14" w:rsidP="00B04F6D">
      <w:pPr>
        <w:ind w:firstLine="709"/>
        <w:jc w:val="both"/>
        <w:rPr>
          <w:bCs/>
          <w:sz w:val="28"/>
          <w:szCs w:val="28"/>
          <w:lang w:val="uk-UA"/>
        </w:rPr>
      </w:pPr>
      <w:r w:rsidRPr="009F237B">
        <w:rPr>
          <w:bCs/>
          <w:sz w:val="28"/>
          <w:szCs w:val="28"/>
          <w:lang w:val="uk-UA"/>
        </w:rPr>
        <w:t>Основні групи (підгрупи) на які  проблема справляє вплив:</w:t>
      </w:r>
    </w:p>
    <w:p w:rsidR="005C3B2B" w:rsidRPr="009F237B" w:rsidRDefault="005C3B2B" w:rsidP="00B04F6D">
      <w:pPr>
        <w:ind w:firstLine="709"/>
        <w:jc w:val="both"/>
        <w:rPr>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6"/>
        <w:gridCol w:w="3285"/>
        <w:gridCol w:w="3285"/>
      </w:tblGrid>
      <w:tr w:rsidR="00337E14" w:rsidRPr="009F237B" w:rsidTr="00B04F6D">
        <w:tc>
          <w:tcPr>
            <w:tcW w:w="3176" w:type="dxa"/>
          </w:tcPr>
          <w:p w:rsidR="00337E14" w:rsidRPr="009F237B" w:rsidRDefault="00337E14" w:rsidP="007B23E7">
            <w:pPr>
              <w:jc w:val="center"/>
              <w:rPr>
                <w:bCs/>
                <w:sz w:val="24"/>
                <w:szCs w:val="24"/>
                <w:lang w:val="uk-UA"/>
              </w:rPr>
            </w:pPr>
            <w:r w:rsidRPr="009F237B">
              <w:rPr>
                <w:bCs/>
                <w:sz w:val="24"/>
                <w:szCs w:val="24"/>
                <w:lang w:val="uk-UA"/>
              </w:rPr>
              <w:t>Групи (підгрупи)</w:t>
            </w:r>
          </w:p>
        </w:tc>
        <w:tc>
          <w:tcPr>
            <w:tcW w:w="3285" w:type="dxa"/>
          </w:tcPr>
          <w:p w:rsidR="00337E14" w:rsidRPr="009F237B" w:rsidRDefault="00337E14" w:rsidP="007B23E7">
            <w:pPr>
              <w:jc w:val="center"/>
              <w:rPr>
                <w:bCs/>
                <w:sz w:val="24"/>
                <w:szCs w:val="24"/>
                <w:lang w:val="uk-UA"/>
              </w:rPr>
            </w:pPr>
            <w:r w:rsidRPr="009F237B">
              <w:rPr>
                <w:bCs/>
                <w:sz w:val="24"/>
                <w:szCs w:val="24"/>
                <w:lang w:val="uk-UA"/>
              </w:rPr>
              <w:t>Так</w:t>
            </w:r>
          </w:p>
        </w:tc>
        <w:tc>
          <w:tcPr>
            <w:tcW w:w="3285" w:type="dxa"/>
          </w:tcPr>
          <w:p w:rsidR="00337E14" w:rsidRPr="009F237B" w:rsidRDefault="00337E14" w:rsidP="007B23E7">
            <w:pPr>
              <w:jc w:val="center"/>
              <w:rPr>
                <w:bCs/>
                <w:sz w:val="24"/>
                <w:szCs w:val="24"/>
                <w:lang w:val="uk-UA"/>
              </w:rPr>
            </w:pPr>
            <w:r w:rsidRPr="009F237B">
              <w:rPr>
                <w:bCs/>
                <w:sz w:val="24"/>
                <w:szCs w:val="24"/>
                <w:lang w:val="uk-UA"/>
              </w:rPr>
              <w:t>Ні</w:t>
            </w:r>
          </w:p>
        </w:tc>
      </w:tr>
      <w:tr w:rsidR="00337E14" w:rsidRPr="009F237B" w:rsidTr="00B04F6D">
        <w:tc>
          <w:tcPr>
            <w:tcW w:w="3176" w:type="dxa"/>
          </w:tcPr>
          <w:p w:rsidR="00337E14" w:rsidRPr="009F237B" w:rsidRDefault="00337E14" w:rsidP="007B23E7">
            <w:pPr>
              <w:jc w:val="both"/>
              <w:rPr>
                <w:bCs/>
                <w:sz w:val="28"/>
                <w:szCs w:val="28"/>
                <w:lang w:val="uk-UA"/>
              </w:rPr>
            </w:pPr>
            <w:r w:rsidRPr="009F237B">
              <w:rPr>
                <w:bCs/>
                <w:sz w:val="28"/>
                <w:szCs w:val="28"/>
                <w:lang w:val="uk-UA"/>
              </w:rPr>
              <w:t>Громадяни</w:t>
            </w:r>
          </w:p>
        </w:tc>
        <w:tc>
          <w:tcPr>
            <w:tcW w:w="3285" w:type="dxa"/>
          </w:tcPr>
          <w:p w:rsidR="00337E14" w:rsidRPr="009F237B" w:rsidRDefault="00337E14" w:rsidP="007B23E7">
            <w:pPr>
              <w:jc w:val="both"/>
              <w:rPr>
                <w:bCs/>
                <w:sz w:val="28"/>
                <w:szCs w:val="28"/>
                <w:lang w:val="uk-UA"/>
              </w:rPr>
            </w:pPr>
          </w:p>
        </w:tc>
        <w:tc>
          <w:tcPr>
            <w:tcW w:w="3285" w:type="dxa"/>
          </w:tcPr>
          <w:p w:rsidR="00337E14" w:rsidRPr="009F237B" w:rsidRDefault="00337E14" w:rsidP="007B23E7">
            <w:pPr>
              <w:jc w:val="center"/>
              <w:rPr>
                <w:bCs/>
                <w:sz w:val="28"/>
                <w:szCs w:val="28"/>
                <w:lang w:val="uk-UA"/>
              </w:rPr>
            </w:pPr>
            <w:r w:rsidRPr="009F237B">
              <w:rPr>
                <w:bCs/>
                <w:sz w:val="28"/>
                <w:szCs w:val="28"/>
                <w:lang w:val="uk-UA"/>
              </w:rPr>
              <w:t>+</w:t>
            </w:r>
          </w:p>
        </w:tc>
      </w:tr>
      <w:tr w:rsidR="00337E14" w:rsidRPr="009F237B" w:rsidTr="00B04F6D">
        <w:tc>
          <w:tcPr>
            <w:tcW w:w="3176" w:type="dxa"/>
          </w:tcPr>
          <w:p w:rsidR="00337E14" w:rsidRPr="009F237B" w:rsidRDefault="00337E14" w:rsidP="007B23E7">
            <w:pPr>
              <w:jc w:val="both"/>
              <w:rPr>
                <w:bCs/>
                <w:sz w:val="28"/>
                <w:szCs w:val="28"/>
                <w:lang w:val="uk-UA"/>
              </w:rPr>
            </w:pPr>
            <w:r w:rsidRPr="009F237B">
              <w:rPr>
                <w:bCs/>
                <w:sz w:val="28"/>
                <w:szCs w:val="28"/>
                <w:lang w:val="uk-UA"/>
              </w:rPr>
              <w:t>Держава</w:t>
            </w:r>
          </w:p>
        </w:tc>
        <w:tc>
          <w:tcPr>
            <w:tcW w:w="3285" w:type="dxa"/>
          </w:tcPr>
          <w:p w:rsidR="00337E14" w:rsidRPr="009F237B" w:rsidRDefault="00337E14" w:rsidP="007B23E7">
            <w:pPr>
              <w:jc w:val="center"/>
              <w:rPr>
                <w:bCs/>
                <w:sz w:val="28"/>
                <w:szCs w:val="28"/>
                <w:lang w:val="uk-UA"/>
              </w:rPr>
            </w:pPr>
            <w:r w:rsidRPr="009F237B">
              <w:rPr>
                <w:bCs/>
                <w:sz w:val="28"/>
                <w:szCs w:val="28"/>
                <w:lang w:val="uk-UA"/>
              </w:rPr>
              <w:t>+</w:t>
            </w:r>
          </w:p>
        </w:tc>
        <w:tc>
          <w:tcPr>
            <w:tcW w:w="3285" w:type="dxa"/>
          </w:tcPr>
          <w:p w:rsidR="00337E14" w:rsidRPr="009F237B" w:rsidRDefault="00337E14" w:rsidP="007B23E7">
            <w:pPr>
              <w:jc w:val="center"/>
              <w:rPr>
                <w:bCs/>
                <w:sz w:val="28"/>
                <w:szCs w:val="28"/>
                <w:lang w:val="uk-UA"/>
              </w:rPr>
            </w:pPr>
          </w:p>
        </w:tc>
      </w:tr>
      <w:tr w:rsidR="00337E14" w:rsidRPr="009F237B" w:rsidTr="00B04F6D">
        <w:trPr>
          <w:trHeight w:val="638"/>
        </w:trPr>
        <w:tc>
          <w:tcPr>
            <w:tcW w:w="3176" w:type="dxa"/>
          </w:tcPr>
          <w:p w:rsidR="00337E14" w:rsidRPr="009F237B" w:rsidRDefault="00337E14" w:rsidP="007B23E7">
            <w:pPr>
              <w:jc w:val="both"/>
              <w:rPr>
                <w:bCs/>
                <w:sz w:val="28"/>
                <w:szCs w:val="28"/>
                <w:lang w:val="uk-UA"/>
              </w:rPr>
            </w:pPr>
            <w:r w:rsidRPr="009F237B">
              <w:rPr>
                <w:bCs/>
                <w:sz w:val="28"/>
                <w:szCs w:val="28"/>
                <w:lang w:val="uk-UA"/>
              </w:rPr>
              <w:t>Суб’єкти господарювання</w:t>
            </w:r>
          </w:p>
        </w:tc>
        <w:tc>
          <w:tcPr>
            <w:tcW w:w="3285" w:type="dxa"/>
          </w:tcPr>
          <w:p w:rsidR="00337E14" w:rsidRPr="009F237B" w:rsidRDefault="00337E14" w:rsidP="007B23E7">
            <w:pPr>
              <w:jc w:val="center"/>
              <w:rPr>
                <w:bCs/>
                <w:sz w:val="28"/>
                <w:szCs w:val="28"/>
                <w:lang w:val="uk-UA"/>
              </w:rPr>
            </w:pPr>
            <w:r w:rsidRPr="009F237B">
              <w:rPr>
                <w:bCs/>
                <w:sz w:val="28"/>
                <w:szCs w:val="28"/>
                <w:lang w:val="uk-UA"/>
              </w:rPr>
              <w:t>+</w:t>
            </w:r>
          </w:p>
        </w:tc>
        <w:tc>
          <w:tcPr>
            <w:tcW w:w="3285" w:type="dxa"/>
          </w:tcPr>
          <w:p w:rsidR="00337E14" w:rsidRPr="009F237B" w:rsidRDefault="00337E14" w:rsidP="007B23E7">
            <w:pPr>
              <w:jc w:val="center"/>
              <w:rPr>
                <w:bCs/>
                <w:sz w:val="28"/>
                <w:szCs w:val="28"/>
                <w:lang w:val="uk-UA"/>
              </w:rPr>
            </w:pPr>
          </w:p>
        </w:tc>
      </w:tr>
      <w:tr w:rsidR="00337E14" w:rsidRPr="009F237B" w:rsidTr="00B04F6D">
        <w:tc>
          <w:tcPr>
            <w:tcW w:w="3176" w:type="dxa"/>
          </w:tcPr>
          <w:p w:rsidR="00337E14" w:rsidRPr="009F237B" w:rsidRDefault="00337E14" w:rsidP="007B23E7">
            <w:pPr>
              <w:jc w:val="both"/>
              <w:rPr>
                <w:bCs/>
                <w:sz w:val="28"/>
                <w:szCs w:val="28"/>
                <w:lang w:val="uk-UA"/>
              </w:rPr>
            </w:pPr>
            <w:r w:rsidRPr="009F237B">
              <w:rPr>
                <w:bCs/>
                <w:sz w:val="28"/>
                <w:szCs w:val="28"/>
                <w:lang w:val="uk-UA"/>
              </w:rPr>
              <w:t>у тому числі суб’єкти малого підприємництва</w:t>
            </w:r>
          </w:p>
        </w:tc>
        <w:tc>
          <w:tcPr>
            <w:tcW w:w="3285" w:type="dxa"/>
          </w:tcPr>
          <w:p w:rsidR="00337E14" w:rsidRPr="009F237B" w:rsidRDefault="00337E14" w:rsidP="007B23E7">
            <w:pPr>
              <w:jc w:val="both"/>
              <w:rPr>
                <w:bCs/>
                <w:sz w:val="28"/>
                <w:szCs w:val="28"/>
                <w:lang w:val="uk-UA"/>
              </w:rPr>
            </w:pPr>
          </w:p>
        </w:tc>
        <w:tc>
          <w:tcPr>
            <w:tcW w:w="3285" w:type="dxa"/>
          </w:tcPr>
          <w:p w:rsidR="00337E14" w:rsidRPr="009F237B" w:rsidRDefault="00337E14" w:rsidP="007B23E7">
            <w:pPr>
              <w:jc w:val="center"/>
              <w:rPr>
                <w:bCs/>
                <w:sz w:val="28"/>
                <w:szCs w:val="28"/>
                <w:lang w:val="uk-UA"/>
              </w:rPr>
            </w:pPr>
            <w:r w:rsidRPr="009F237B">
              <w:rPr>
                <w:bCs/>
                <w:sz w:val="28"/>
                <w:szCs w:val="28"/>
                <w:lang w:val="uk-UA"/>
              </w:rPr>
              <w:t>+</w:t>
            </w:r>
          </w:p>
        </w:tc>
      </w:tr>
    </w:tbl>
    <w:p w:rsidR="00337E14" w:rsidRPr="009F237B" w:rsidRDefault="00337E14" w:rsidP="00B04F6D">
      <w:pPr>
        <w:ind w:firstLine="709"/>
        <w:jc w:val="both"/>
        <w:rPr>
          <w:b/>
          <w:bCs/>
          <w:sz w:val="28"/>
          <w:szCs w:val="28"/>
          <w:lang w:val="uk-UA"/>
        </w:rPr>
      </w:pPr>
    </w:p>
    <w:p w:rsidR="00337E14" w:rsidRDefault="009B0828" w:rsidP="00B04F6D">
      <w:pPr>
        <w:ind w:firstLine="709"/>
        <w:jc w:val="both"/>
        <w:rPr>
          <w:b/>
          <w:bCs/>
          <w:sz w:val="28"/>
          <w:szCs w:val="28"/>
          <w:lang w:val="uk-UA"/>
        </w:rPr>
      </w:pPr>
      <w:r>
        <w:rPr>
          <w:b/>
          <w:bCs/>
          <w:sz w:val="28"/>
          <w:szCs w:val="28"/>
          <w:lang w:val="en-US"/>
        </w:rPr>
        <w:t>II</w:t>
      </w:r>
      <w:r w:rsidR="00337E14" w:rsidRPr="009F237B">
        <w:rPr>
          <w:b/>
          <w:bCs/>
          <w:sz w:val="28"/>
          <w:szCs w:val="28"/>
          <w:lang w:val="uk-UA"/>
        </w:rPr>
        <w:t>. Цілі державного регулювання</w:t>
      </w:r>
    </w:p>
    <w:p w:rsidR="005C3B2B" w:rsidRPr="009F237B" w:rsidRDefault="005C3B2B" w:rsidP="00B04F6D">
      <w:pPr>
        <w:ind w:firstLine="709"/>
        <w:jc w:val="both"/>
        <w:rPr>
          <w:b/>
          <w:bCs/>
          <w:sz w:val="28"/>
          <w:szCs w:val="28"/>
          <w:lang w:val="uk-UA"/>
        </w:rPr>
      </w:pPr>
    </w:p>
    <w:p w:rsidR="00B04F6D" w:rsidRPr="005C3B2B" w:rsidRDefault="00A66F04" w:rsidP="005C3B2B">
      <w:pPr>
        <w:widowControl w:val="0"/>
        <w:shd w:val="clear" w:color="auto" w:fill="FFFFFF"/>
        <w:ind w:firstLine="709"/>
        <w:jc w:val="both"/>
        <w:outlineLvl w:val="2"/>
        <w:rPr>
          <w:bCs/>
          <w:sz w:val="28"/>
          <w:szCs w:val="28"/>
          <w:lang w:val="uk-UA"/>
        </w:rPr>
      </w:pPr>
      <w:r w:rsidRPr="00B52FB3">
        <w:rPr>
          <w:bCs/>
          <w:sz w:val="28"/>
          <w:szCs w:val="28"/>
          <w:lang w:val="uk-UA"/>
        </w:rPr>
        <w:t>Основною ціллю державного регулювання є удосконалення порядку</w:t>
      </w:r>
      <w:r w:rsidR="005C3B2B">
        <w:rPr>
          <w:bCs/>
          <w:sz w:val="28"/>
          <w:szCs w:val="28"/>
          <w:lang w:val="uk-UA"/>
        </w:rPr>
        <w:t xml:space="preserve"> </w:t>
      </w:r>
      <w:r w:rsidRPr="00B52FB3">
        <w:rPr>
          <w:bCs/>
          <w:sz w:val="28"/>
          <w:szCs w:val="28"/>
          <w:lang w:val="uk-UA"/>
        </w:rPr>
        <w:t xml:space="preserve">проведення розрахунків з пільг та житлових субсидій за спожиті енергоносії і житлово-комунальні послуги та надання можливості </w:t>
      </w:r>
      <w:r w:rsidR="005C3B2B">
        <w:rPr>
          <w:bCs/>
          <w:sz w:val="28"/>
          <w:szCs w:val="28"/>
          <w:lang w:val="uk-UA"/>
        </w:rPr>
        <w:t xml:space="preserve">ОСББ та ЖБК </w:t>
      </w:r>
      <w:r w:rsidRPr="00B52FB3">
        <w:rPr>
          <w:bCs/>
          <w:sz w:val="28"/>
          <w:szCs w:val="28"/>
          <w:lang w:val="uk-UA"/>
        </w:rPr>
        <w:t>отримувати кошти на утримання будинків і споруд та прибудинкових територій, управління багатоквартирним будинком, вивезення побутового сміття та рідких нечистот безпосередньо на їх рахунки, відкритті в банківських установах відповідно до</w:t>
      </w:r>
      <w:r w:rsidR="005C3B2B">
        <w:rPr>
          <w:bCs/>
          <w:sz w:val="28"/>
          <w:szCs w:val="28"/>
          <w:lang w:val="uk-UA"/>
        </w:rPr>
        <w:t xml:space="preserve"> </w:t>
      </w:r>
      <w:r w:rsidRPr="00B52FB3">
        <w:rPr>
          <w:bCs/>
          <w:sz w:val="28"/>
          <w:szCs w:val="28"/>
          <w:lang w:val="uk-UA"/>
        </w:rPr>
        <w:t>механізму, передбаченого постановою Кабінету Міністрів України</w:t>
      </w:r>
      <w:r>
        <w:rPr>
          <w:bCs/>
          <w:sz w:val="28"/>
          <w:szCs w:val="28"/>
          <w:lang w:val="uk-UA"/>
        </w:rPr>
        <w:t xml:space="preserve"> </w:t>
      </w:r>
      <w:r w:rsidRPr="00B52FB3">
        <w:rPr>
          <w:bCs/>
          <w:sz w:val="28"/>
          <w:szCs w:val="28"/>
          <w:lang w:val="uk-UA"/>
        </w:rPr>
        <w:t>від 04.03.2002 №</w:t>
      </w:r>
      <w:r w:rsidR="005C3B2B">
        <w:rPr>
          <w:bCs/>
          <w:sz w:val="28"/>
          <w:szCs w:val="28"/>
          <w:lang w:val="uk-UA"/>
        </w:rPr>
        <w:t xml:space="preserve"> </w:t>
      </w:r>
      <w:r w:rsidRPr="00B52FB3">
        <w:rPr>
          <w:bCs/>
          <w:sz w:val="28"/>
          <w:szCs w:val="28"/>
          <w:lang w:val="uk-UA"/>
        </w:rPr>
        <w:t>256</w:t>
      </w:r>
      <w:r w:rsidR="00122977">
        <w:rPr>
          <w:bCs/>
          <w:sz w:val="28"/>
          <w:szCs w:val="28"/>
          <w:lang w:val="uk-UA"/>
        </w:rPr>
        <w:t xml:space="preserve"> (зі змінами та доповненнями)</w:t>
      </w:r>
      <w:r w:rsidRPr="005C3B2B">
        <w:rPr>
          <w:bCs/>
          <w:sz w:val="28"/>
          <w:szCs w:val="28"/>
          <w:lang w:val="uk-UA"/>
        </w:rPr>
        <w:t>.</w:t>
      </w:r>
    </w:p>
    <w:p w:rsidR="005C3B2B" w:rsidRDefault="005C3B2B" w:rsidP="005C3B2B">
      <w:pPr>
        <w:widowControl w:val="0"/>
        <w:shd w:val="clear" w:color="auto" w:fill="FFFFFF"/>
        <w:ind w:firstLine="709"/>
        <w:jc w:val="both"/>
        <w:outlineLvl w:val="2"/>
        <w:rPr>
          <w:bCs/>
          <w:sz w:val="28"/>
          <w:szCs w:val="28"/>
          <w:lang w:val="uk-UA"/>
        </w:rPr>
      </w:pPr>
    </w:p>
    <w:p w:rsidR="009B0828" w:rsidRPr="005C3B2B" w:rsidRDefault="009B0828" w:rsidP="005C3B2B">
      <w:pPr>
        <w:widowControl w:val="0"/>
        <w:shd w:val="clear" w:color="auto" w:fill="FFFFFF"/>
        <w:ind w:firstLine="709"/>
        <w:jc w:val="both"/>
        <w:outlineLvl w:val="2"/>
        <w:rPr>
          <w:bCs/>
          <w:sz w:val="28"/>
          <w:szCs w:val="28"/>
          <w:lang w:val="uk-UA"/>
        </w:rPr>
      </w:pPr>
    </w:p>
    <w:p w:rsidR="00337E14" w:rsidRPr="009F237B" w:rsidRDefault="009B0828" w:rsidP="00B04F6D">
      <w:pPr>
        <w:pStyle w:val="21"/>
        <w:ind w:firstLine="709"/>
        <w:jc w:val="both"/>
        <w:rPr>
          <w:b/>
          <w:sz w:val="28"/>
          <w:szCs w:val="28"/>
          <w:lang w:val="uk-UA"/>
        </w:rPr>
      </w:pPr>
      <w:r>
        <w:rPr>
          <w:b/>
          <w:sz w:val="28"/>
          <w:szCs w:val="28"/>
        </w:rPr>
        <w:t>III</w:t>
      </w:r>
      <w:r w:rsidR="00337E14" w:rsidRPr="009F237B">
        <w:rPr>
          <w:b/>
          <w:sz w:val="28"/>
          <w:szCs w:val="28"/>
          <w:lang w:val="uk-UA"/>
        </w:rPr>
        <w:t>. Визначення та оцінка альтернативних способів досягнення цілей</w:t>
      </w:r>
    </w:p>
    <w:p w:rsidR="00337E14" w:rsidRDefault="00B04F6D" w:rsidP="00B04F6D">
      <w:pPr>
        <w:pStyle w:val="a8"/>
        <w:ind w:left="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sidR="00337E14" w:rsidRPr="009F237B">
        <w:rPr>
          <w:rFonts w:ascii="Times New Roman CYR" w:hAnsi="Times New Roman CYR" w:cs="Times New Roman CYR"/>
          <w:sz w:val="28"/>
          <w:szCs w:val="28"/>
          <w:lang w:val="uk-UA"/>
        </w:rPr>
        <w:t>Визначення альтернативних способів</w:t>
      </w:r>
    </w:p>
    <w:p w:rsidR="005C3B2B" w:rsidRPr="009F237B" w:rsidRDefault="005C3B2B" w:rsidP="00B04F6D">
      <w:pPr>
        <w:pStyle w:val="a8"/>
        <w:ind w:left="709"/>
        <w:jc w:val="both"/>
        <w:rPr>
          <w:rFonts w:ascii="Times New Roman CYR" w:hAnsi="Times New Roman CYR" w:cs="Times New Roman CY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590"/>
      </w:tblGrid>
      <w:tr w:rsidR="00337E14" w:rsidRPr="0089017A" w:rsidTr="00B04F6D">
        <w:tc>
          <w:tcPr>
            <w:tcW w:w="5156" w:type="dxa"/>
          </w:tcPr>
          <w:p w:rsidR="00337E14" w:rsidRPr="0089017A" w:rsidRDefault="00337E14" w:rsidP="007B23E7">
            <w:pPr>
              <w:jc w:val="center"/>
              <w:rPr>
                <w:rFonts w:ascii="Times New Roman CYR" w:hAnsi="Times New Roman CYR" w:cs="Times New Roman CYR"/>
                <w:sz w:val="24"/>
                <w:szCs w:val="24"/>
                <w:lang w:val="uk-UA"/>
              </w:rPr>
            </w:pPr>
            <w:r w:rsidRPr="0089017A">
              <w:rPr>
                <w:rFonts w:ascii="Times New Roman CYR" w:hAnsi="Times New Roman CYR" w:cs="Times New Roman CYR"/>
                <w:sz w:val="24"/>
                <w:szCs w:val="24"/>
                <w:lang w:val="uk-UA"/>
              </w:rPr>
              <w:t>Вид альтернативи</w:t>
            </w:r>
          </w:p>
        </w:tc>
        <w:tc>
          <w:tcPr>
            <w:tcW w:w="4590" w:type="dxa"/>
          </w:tcPr>
          <w:p w:rsidR="00337E14" w:rsidRPr="0089017A" w:rsidRDefault="00337E14" w:rsidP="007B23E7">
            <w:pPr>
              <w:jc w:val="center"/>
              <w:rPr>
                <w:rFonts w:ascii="Times New Roman CYR" w:hAnsi="Times New Roman CYR" w:cs="Times New Roman CYR"/>
                <w:sz w:val="24"/>
                <w:szCs w:val="24"/>
                <w:lang w:val="uk-UA"/>
              </w:rPr>
            </w:pPr>
            <w:r w:rsidRPr="0089017A">
              <w:rPr>
                <w:rFonts w:ascii="Times New Roman CYR" w:hAnsi="Times New Roman CYR" w:cs="Times New Roman CYR"/>
                <w:sz w:val="24"/>
                <w:szCs w:val="24"/>
                <w:lang w:val="uk-UA"/>
              </w:rPr>
              <w:t>Опис альтернативи</w:t>
            </w:r>
          </w:p>
        </w:tc>
      </w:tr>
      <w:tr w:rsidR="00A66F04" w:rsidRPr="00EC12C2" w:rsidTr="00122977">
        <w:trPr>
          <w:trHeight w:val="415"/>
        </w:trPr>
        <w:tc>
          <w:tcPr>
            <w:tcW w:w="5156" w:type="dxa"/>
          </w:tcPr>
          <w:p w:rsidR="00A66F04" w:rsidRPr="00A40369" w:rsidRDefault="00A66F04" w:rsidP="00C44ADA">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Альтернатива1</w:t>
            </w:r>
          </w:p>
          <w:p w:rsidR="00A66F04" w:rsidRPr="00A40369" w:rsidRDefault="00A66F04" w:rsidP="00C44ADA">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 xml:space="preserve">Збереження </w:t>
            </w:r>
            <w:proofErr w:type="spellStart"/>
            <w:r w:rsidRPr="00A40369">
              <w:rPr>
                <w:rFonts w:ascii="Times New Roman CYR" w:hAnsi="Times New Roman CYR" w:cs="Times New Roman CYR"/>
                <w:sz w:val="28"/>
                <w:szCs w:val="28"/>
                <w:lang w:val="uk-UA"/>
              </w:rPr>
              <w:t>status</w:t>
            </w:r>
            <w:proofErr w:type="spellEnd"/>
            <w:r w:rsidRPr="00A40369">
              <w:rPr>
                <w:rFonts w:ascii="Times New Roman CYR" w:hAnsi="Times New Roman CYR" w:cs="Times New Roman CYR"/>
                <w:sz w:val="28"/>
                <w:szCs w:val="28"/>
                <w:lang w:val="uk-UA"/>
              </w:rPr>
              <w:t xml:space="preserve"> </w:t>
            </w:r>
            <w:proofErr w:type="spellStart"/>
            <w:r w:rsidRPr="00A40369">
              <w:rPr>
                <w:rFonts w:ascii="Times New Roman CYR" w:hAnsi="Times New Roman CYR" w:cs="Times New Roman CYR"/>
                <w:sz w:val="28"/>
                <w:szCs w:val="28"/>
                <w:lang w:val="uk-UA"/>
              </w:rPr>
              <w:t>quo</w:t>
            </w:r>
            <w:proofErr w:type="spellEnd"/>
          </w:p>
        </w:tc>
        <w:tc>
          <w:tcPr>
            <w:tcW w:w="4590" w:type="dxa"/>
          </w:tcPr>
          <w:p w:rsidR="00A66F04" w:rsidRPr="00A40369" w:rsidRDefault="00A66F04" w:rsidP="005C3B2B">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 xml:space="preserve">Такий спосіб є неприйнятним, оскільки буде збільшувати проблему з розрахунків за надані пільги і субсидії для ОСББ, ЖБК, та </w:t>
            </w:r>
            <w:r w:rsidR="005C3B2B">
              <w:rPr>
                <w:rFonts w:ascii="Times New Roman CYR" w:hAnsi="Times New Roman CYR" w:cs="Times New Roman CYR"/>
                <w:sz w:val="28"/>
                <w:szCs w:val="28"/>
                <w:lang w:val="uk-UA"/>
              </w:rPr>
              <w:t xml:space="preserve"> не </w:t>
            </w:r>
            <w:r w:rsidRPr="00A40369">
              <w:rPr>
                <w:rFonts w:ascii="Times New Roman CYR" w:hAnsi="Times New Roman CYR" w:cs="Times New Roman CYR"/>
                <w:sz w:val="28"/>
                <w:szCs w:val="28"/>
                <w:lang w:val="uk-UA"/>
              </w:rPr>
              <w:t xml:space="preserve">використання підприємствами  отримувачами пільг і субсидій коштів перерахованих їм на </w:t>
            </w:r>
            <w:r w:rsidRPr="00A40369">
              <w:rPr>
                <w:rFonts w:ascii="Times New Roman CYR" w:hAnsi="Times New Roman CYR" w:cs="Times New Roman CYR"/>
                <w:sz w:val="28"/>
                <w:szCs w:val="28"/>
                <w:lang w:val="uk-UA"/>
              </w:rPr>
              <w:lastRenderedPageBreak/>
              <w:t xml:space="preserve">відкриті в установах </w:t>
            </w:r>
            <w:r>
              <w:rPr>
                <w:rFonts w:ascii="Times New Roman CYR" w:hAnsi="Times New Roman CYR" w:cs="Times New Roman CYR"/>
                <w:sz w:val="28"/>
                <w:szCs w:val="28"/>
                <w:lang w:val="uk-UA"/>
              </w:rPr>
              <w:t xml:space="preserve">Казначейства </w:t>
            </w:r>
            <w:r w:rsidRPr="00A40369">
              <w:rPr>
                <w:rFonts w:ascii="Times New Roman CYR" w:hAnsi="Times New Roman CYR" w:cs="Times New Roman CYR"/>
                <w:sz w:val="28"/>
                <w:szCs w:val="28"/>
                <w:lang w:val="uk-UA"/>
              </w:rPr>
              <w:t>рахунки.</w:t>
            </w:r>
          </w:p>
        </w:tc>
      </w:tr>
      <w:tr w:rsidR="00A66F04" w:rsidRPr="00EC12C2" w:rsidTr="00B04F6D">
        <w:tc>
          <w:tcPr>
            <w:tcW w:w="5156" w:type="dxa"/>
          </w:tcPr>
          <w:p w:rsidR="00A66F04" w:rsidRPr="00A40369" w:rsidRDefault="00A66F04" w:rsidP="00A66F04">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lastRenderedPageBreak/>
              <w:t xml:space="preserve">Альтернатива 2 прийняття </w:t>
            </w:r>
            <w:r>
              <w:rPr>
                <w:rFonts w:ascii="Times New Roman CYR" w:hAnsi="Times New Roman CYR" w:cs="Times New Roman CYR"/>
                <w:sz w:val="28"/>
                <w:szCs w:val="28"/>
                <w:lang w:val="uk-UA"/>
              </w:rPr>
              <w:t xml:space="preserve">наказу Міністерства  фінансів України </w:t>
            </w:r>
            <w:r w:rsidRPr="00A40369">
              <w:rPr>
                <w:rFonts w:ascii="Times New Roman CYR" w:hAnsi="Times New Roman CYR" w:cs="Times New Roman CYR"/>
                <w:sz w:val="28"/>
                <w:szCs w:val="28"/>
                <w:lang w:val="uk-UA"/>
              </w:rPr>
              <w:t xml:space="preserve">щодо зміни до порядку проведення розрахунків із пільг і субсидій </w:t>
            </w:r>
          </w:p>
        </w:tc>
        <w:tc>
          <w:tcPr>
            <w:tcW w:w="4590" w:type="dxa"/>
          </w:tcPr>
          <w:p w:rsidR="00A66F04" w:rsidRPr="00A40369" w:rsidRDefault="00A66F04" w:rsidP="00C44ADA">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Цей варіант вирішує питання перерахування  пільг і субсидій для ОСББ і ЖБК на їх поточні рахунки, відкриті в установах  комерційних банків; розширює можливості використання коштів пільг і субсидій для підприємств  централізованого водопостачання, для підприємств теплопостачання, які використовують  альтернативні джерела палива та для підприємств які постачають такі джерела.</w:t>
            </w:r>
          </w:p>
        </w:tc>
      </w:tr>
    </w:tbl>
    <w:p w:rsidR="00337E14" w:rsidRPr="009F237B" w:rsidRDefault="00337E14" w:rsidP="00B04F6D">
      <w:pPr>
        <w:ind w:firstLine="709"/>
        <w:jc w:val="both"/>
        <w:rPr>
          <w:rFonts w:ascii="Times New Roman CYR" w:hAnsi="Times New Roman CYR" w:cs="Times New Roman CYR"/>
          <w:sz w:val="28"/>
          <w:szCs w:val="28"/>
          <w:lang w:val="uk-UA"/>
        </w:rPr>
      </w:pPr>
    </w:p>
    <w:p w:rsidR="00337E14" w:rsidRPr="009F237B" w:rsidRDefault="00B04F6D" w:rsidP="00B04F6D">
      <w:pPr>
        <w:pStyle w:val="a8"/>
        <w:ind w:left="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w:t>
      </w:r>
      <w:r w:rsidR="00337E14" w:rsidRPr="009F237B">
        <w:rPr>
          <w:rFonts w:ascii="Times New Roman CYR" w:hAnsi="Times New Roman CYR" w:cs="Times New Roman CYR"/>
          <w:sz w:val="28"/>
          <w:szCs w:val="28"/>
          <w:lang w:val="uk-UA"/>
        </w:rPr>
        <w:t>Оцінка вибраних альтернативних способів досягнення цілей</w:t>
      </w:r>
    </w:p>
    <w:p w:rsidR="00337E14" w:rsidRDefault="00337E14" w:rsidP="00B04F6D">
      <w:pPr>
        <w:ind w:firstLine="709"/>
        <w:jc w:val="both"/>
        <w:rPr>
          <w:rFonts w:ascii="Times New Roman CYR" w:hAnsi="Times New Roman CYR" w:cs="Times New Roman CYR"/>
          <w:sz w:val="28"/>
          <w:szCs w:val="28"/>
          <w:lang w:val="uk-UA"/>
        </w:rPr>
      </w:pPr>
      <w:r w:rsidRPr="009F237B">
        <w:rPr>
          <w:rFonts w:ascii="Times New Roman CYR" w:hAnsi="Times New Roman CYR" w:cs="Times New Roman CYR"/>
          <w:sz w:val="28"/>
          <w:szCs w:val="28"/>
          <w:lang w:val="uk-UA"/>
        </w:rPr>
        <w:t>Оцінка впливу на інтереси держави</w:t>
      </w:r>
    </w:p>
    <w:p w:rsidR="005C3B2B" w:rsidRPr="009F237B" w:rsidRDefault="005C3B2B" w:rsidP="00B04F6D">
      <w:pPr>
        <w:ind w:firstLine="709"/>
        <w:jc w:val="both"/>
        <w:rPr>
          <w:rFonts w:ascii="Times New Roman CYR" w:hAnsi="Times New Roman CYR" w:cs="Times New Roman CY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3361"/>
        <w:gridCol w:w="3479"/>
      </w:tblGrid>
      <w:tr w:rsidR="00337E14" w:rsidRPr="0089017A" w:rsidTr="00B04F6D">
        <w:tc>
          <w:tcPr>
            <w:tcW w:w="2880" w:type="dxa"/>
          </w:tcPr>
          <w:p w:rsidR="00337E14" w:rsidRPr="0089017A" w:rsidRDefault="00337E14" w:rsidP="00B04F6D">
            <w:pPr>
              <w:jc w:val="center"/>
              <w:rPr>
                <w:rFonts w:ascii="Times New Roman CYR" w:hAnsi="Times New Roman CYR" w:cs="Times New Roman CYR"/>
                <w:sz w:val="24"/>
                <w:szCs w:val="24"/>
                <w:lang w:val="uk-UA"/>
              </w:rPr>
            </w:pPr>
            <w:r w:rsidRPr="0089017A">
              <w:rPr>
                <w:rFonts w:ascii="Times New Roman CYR" w:hAnsi="Times New Roman CYR" w:cs="Times New Roman CYR"/>
                <w:sz w:val="24"/>
                <w:szCs w:val="24"/>
                <w:lang w:val="uk-UA"/>
              </w:rPr>
              <w:t>Вид альтернативи</w:t>
            </w:r>
          </w:p>
        </w:tc>
        <w:tc>
          <w:tcPr>
            <w:tcW w:w="3361" w:type="dxa"/>
          </w:tcPr>
          <w:p w:rsidR="00337E14" w:rsidRPr="0089017A" w:rsidRDefault="00337E14" w:rsidP="00B04F6D">
            <w:pPr>
              <w:jc w:val="center"/>
              <w:rPr>
                <w:rFonts w:ascii="Times New Roman CYR" w:hAnsi="Times New Roman CYR" w:cs="Times New Roman CYR"/>
                <w:sz w:val="24"/>
                <w:szCs w:val="24"/>
                <w:lang w:val="uk-UA"/>
              </w:rPr>
            </w:pPr>
            <w:r w:rsidRPr="0089017A">
              <w:rPr>
                <w:rFonts w:ascii="Times New Roman CYR" w:hAnsi="Times New Roman CYR" w:cs="Times New Roman CYR"/>
                <w:sz w:val="24"/>
                <w:szCs w:val="24"/>
                <w:lang w:val="uk-UA"/>
              </w:rPr>
              <w:t>Вигоди</w:t>
            </w:r>
          </w:p>
        </w:tc>
        <w:tc>
          <w:tcPr>
            <w:tcW w:w="3479" w:type="dxa"/>
          </w:tcPr>
          <w:p w:rsidR="00337E14" w:rsidRPr="0089017A" w:rsidRDefault="00337E14" w:rsidP="00B04F6D">
            <w:pPr>
              <w:jc w:val="center"/>
              <w:rPr>
                <w:rFonts w:ascii="Times New Roman CYR" w:hAnsi="Times New Roman CYR" w:cs="Times New Roman CYR"/>
                <w:sz w:val="24"/>
                <w:szCs w:val="24"/>
                <w:lang w:val="uk-UA"/>
              </w:rPr>
            </w:pPr>
            <w:r w:rsidRPr="0089017A">
              <w:rPr>
                <w:rFonts w:ascii="Times New Roman CYR" w:hAnsi="Times New Roman CYR" w:cs="Times New Roman CYR"/>
                <w:sz w:val="24"/>
                <w:szCs w:val="24"/>
                <w:lang w:val="uk-UA"/>
              </w:rPr>
              <w:t>Витрати</w:t>
            </w:r>
          </w:p>
        </w:tc>
      </w:tr>
      <w:tr w:rsidR="00A66F04" w:rsidRPr="00EC12C2" w:rsidTr="00B04F6D">
        <w:tc>
          <w:tcPr>
            <w:tcW w:w="2880" w:type="dxa"/>
          </w:tcPr>
          <w:p w:rsidR="00A66F04" w:rsidRPr="00A40369" w:rsidRDefault="00A66F04" w:rsidP="005C3B2B">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Альтернатива 1</w:t>
            </w:r>
          </w:p>
        </w:tc>
        <w:tc>
          <w:tcPr>
            <w:tcW w:w="3361" w:type="dxa"/>
          </w:tcPr>
          <w:p w:rsidR="00A66F04" w:rsidRPr="00A40369" w:rsidRDefault="00A66F04" w:rsidP="005C3B2B">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 xml:space="preserve">Відсутні. </w:t>
            </w:r>
          </w:p>
        </w:tc>
        <w:tc>
          <w:tcPr>
            <w:tcW w:w="3479" w:type="dxa"/>
          </w:tcPr>
          <w:p w:rsidR="00A66F04" w:rsidRPr="00A40369" w:rsidRDefault="00A66F04" w:rsidP="005C3B2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Залишити існуючий механізм без змін означає позбавити можливості ОСББ та ЖБК отримувати кошти субвенції з державного бюджету</w:t>
            </w:r>
          </w:p>
        </w:tc>
      </w:tr>
      <w:tr w:rsidR="00A66F04" w:rsidRPr="009F237B" w:rsidTr="00B04F6D">
        <w:tc>
          <w:tcPr>
            <w:tcW w:w="2880" w:type="dxa"/>
          </w:tcPr>
          <w:p w:rsidR="00A66F04" w:rsidRPr="00A40369" w:rsidRDefault="00A66F04" w:rsidP="00C44ADA">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Альтернатива 2</w:t>
            </w:r>
          </w:p>
        </w:tc>
        <w:tc>
          <w:tcPr>
            <w:tcW w:w="3361" w:type="dxa"/>
          </w:tcPr>
          <w:p w:rsidR="00A66F04" w:rsidRPr="00A40369" w:rsidRDefault="00A66F04" w:rsidP="00C44ADA">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 xml:space="preserve">Високі. Удосконалення  на основі отриманих пропозицій від постачальників енергоносіїв та послуг, фінансових управлінь, установ </w:t>
            </w:r>
            <w:r>
              <w:rPr>
                <w:rFonts w:ascii="Times New Roman CYR" w:hAnsi="Times New Roman CYR" w:cs="Times New Roman CYR"/>
                <w:sz w:val="28"/>
                <w:szCs w:val="28"/>
                <w:lang w:val="uk-UA"/>
              </w:rPr>
              <w:t xml:space="preserve">Казначейства </w:t>
            </w:r>
            <w:r w:rsidRPr="00A40369">
              <w:rPr>
                <w:rFonts w:ascii="Times New Roman CYR" w:hAnsi="Times New Roman CYR" w:cs="Times New Roman CYR"/>
                <w:sz w:val="28"/>
                <w:szCs w:val="28"/>
                <w:lang w:val="uk-UA"/>
              </w:rPr>
              <w:t>вже існуючого механізму для проведення автоматичного перерахування пільг і субсидій згідно розпису видатків, відпрацювання на пільгах і субсидіях з утримання будинків, вивезення сміття та рідких нечистот механізму запровадження повної монетизації</w:t>
            </w:r>
            <w:r>
              <w:rPr>
                <w:rFonts w:ascii="Times New Roman CYR" w:hAnsi="Times New Roman CYR" w:cs="Times New Roman CYR"/>
                <w:sz w:val="28"/>
                <w:szCs w:val="28"/>
                <w:lang w:val="uk-UA"/>
              </w:rPr>
              <w:t>.</w:t>
            </w:r>
            <w:r w:rsidRPr="00A40369">
              <w:rPr>
                <w:rFonts w:ascii="Times New Roman CYR" w:hAnsi="Times New Roman CYR" w:cs="Times New Roman CYR"/>
                <w:sz w:val="28"/>
                <w:szCs w:val="28"/>
                <w:lang w:val="uk-UA"/>
              </w:rPr>
              <w:t xml:space="preserve"> Виконання зобов’язань </w:t>
            </w:r>
            <w:r w:rsidRPr="00A40369">
              <w:rPr>
                <w:rFonts w:ascii="Times New Roman CYR" w:hAnsi="Times New Roman CYR" w:cs="Times New Roman CYR"/>
                <w:sz w:val="28"/>
                <w:szCs w:val="28"/>
                <w:lang w:val="uk-UA"/>
              </w:rPr>
              <w:lastRenderedPageBreak/>
              <w:t>перед зарубіжними партнерами щодо монетизації субсидій.</w:t>
            </w:r>
          </w:p>
        </w:tc>
        <w:tc>
          <w:tcPr>
            <w:tcW w:w="3479" w:type="dxa"/>
          </w:tcPr>
          <w:p w:rsidR="00A66F04" w:rsidRPr="00A40369" w:rsidRDefault="00A66F04" w:rsidP="005C3B2B">
            <w:pPr>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lastRenderedPageBreak/>
              <w:t>Відсутні</w:t>
            </w:r>
          </w:p>
        </w:tc>
      </w:tr>
    </w:tbl>
    <w:p w:rsidR="00337E14" w:rsidRPr="009F237B" w:rsidRDefault="00337E14" w:rsidP="00B04F6D">
      <w:pPr>
        <w:ind w:firstLine="709"/>
        <w:jc w:val="both"/>
        <w:rPr>
          <w:rFonts w:ascii="Times New Roman CYR" w:hAnsi="Times New Roman CYR" w:cs="Times New Roman CYR"/>
          <w:sz w:val="28"/>
          <w:szCs w:val="28"/>
          <w:lang w:val="uk-UA"/>
        </w:rPr>
      </w:pPr>
    </w:p>
    <w:p w:rsidR="00337E14" w:rsidRPr="009F237B" w:rsidRDefault="00337E14" w:rsidP="00B04F6D">
      <w:pPr>
        <w:ind w:firstLine="709"/>
        <w:jc w:val="both"/>
        <w:rPr>
          <w:rFonts w:ascii="Times New Roman CYR" w:hAnsi="Times New Roman CYR" w:cs="Times New Roman CYR"/>
          <w:sz w:val="28"/>
          <w:szCs w:val="28"/>
          <w:lang w:val="uk-UA"/>
        </w:rPr>
      </w:pPr>
      <w:r w:rsidRPr="009F237B">
        <w:rPr>
          <w:rFonts w:ascii="Times New Roman CYR" w:hAnsi="Times New Roman CYR" w:cs="Times New Roman CYR"/>
          <w:sz w:val="28"/>
          <w:szCs w:val="28"/>
          <w:lang w:val="uk-UA"/>
        </w:rPr>
        <w:t xml:space="preserve">Оцінка впливу на сферу інтересів суб’єктів господарювання </w:t>
      </w:r>
    </w:p>
    <w:p w:rsidR="00337E14" w:rsidRDefault="00A66F04" w:rsidP="00B04F6D">
      <w:pPr>
        <w:ind w:firstLine="709"/>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Під дію регулювання підпада</w:t>
      </w:r>
      <w:r>
        <w:rPr>
          <w:rFonts w:ascii="Times New Roman CYR" w:hAnsi="Times New Roman CYR" w:cs="Times New Roman CYR"/>
          <w:sz w:val="28"/>
          <w:szCs w:val="28"/>
          <w:lang w:val="uk-UA"/>
        </w:rPr>
        <w:t>є</w:t>
      </w:r>
      <w:r w:rsidRPr="00A40369">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велика кількість </w:t>
      </w:r>
      <w:r w:rsidRPr="00A40369">
        <w:rPr>
          <w:rFonts w:ascii="Times New Roman CYR" w:hAnsi="Times New Roman CYR" w:cs="Times New Roman CYR"/>
          <w:sz w:val="28"/>
          <w:szCs w:val="28"/>
          <w:lang w:val="uk-UA"/>
        </w:rPr>
        <w:t>суб’єкт</w:t>
      </w:r>
      <w:r>
        <w:rPr>
          <w:rFonts w:ascii="Times New Roman CYR" w:hAnsi="Times New Roman CYR" w:cs="Times New Roman CYR"/>
          <w:sz w:val="28"/>
          <w:szCs w:val="28"/>
          <w:lang w:val="uk-UA"/>
        </w:rPr>
        <w:t>ів</w:t>
      </w:r>
      <w:r w:rsidRPr="00A40369">
        <w:rPr>
          <w:rFonts w:ascii="Times New Roman CYR" w:hAnsi="Times New Roman CYR" w:cs="Times New Roman CYR"/>
          <w:sz w:val="28"/>
          <w:szCs w:val="28"/>
          <w:lang w:val="uk-UA"/>
        </w:rPr>
        <w:t xml:space="preserve"> господарювання, які на</w:t>
      </w:r>
      <w:r>
        <w:rPr>
          <w:rFonts w:ascii="Times New Roman CYR" w:hAnsi="Times New Roman CYR" w:cs="Times New Roman CYR"/>
          <w:sz w:val="28"/>
          <w:szCs w:val="28"/>
          <w:lang w:val="uk-UA"/>
        </w:rPr>
        <w:t>дають житлово-комунальні послуги. Визначити кількість та структуру даних суб’єктів з розподілом їх на малі, середні та великі підприємства є неможливим, оскільки відсутні офіційні дані обліку. Виявлені проблемні питання мають однаковий вплив на всі підприємства</w:t>
      </w:r>
    </w:p>
    <w:p w:rsidR="00A66F04" w:rsidRPr="009F237B" w:rsidRDefault="00A66F04" w:rsidP="00B04F6D">
      <w:pPr>
        <w:ind w:firstLine="709"/>
        <w:jc w:val="both"/>
        <w:rPr>
          <w:rFonts w:ascii="Times New Roman CYR" w:hAnsi="Times New Roman CYR" w:cs="Times New Roman CY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3240"/>
        <w:gridCol w:w="3420"/>
      </w:tblGrid>
      <w:tr w:rsidR="00337E14" w:rsidRPr="0089017A" w:rsidTr="00B04F6D">
        <w:tc>
          <w:tcPr>
            <w:tcW w:w="3060" w:type="dxa"/>
          </w:tcPr>
          <w:p w:rsidR="00337E14" w:rsidRPr="0089017A" w:rsidRDefault="00337E14" w:rsidP="00B04F6D">
            <w:pPr>
              <w:jc w:val="center"/>
              <w:rPr>
                <w:rFonts w:ascii="Times New Roman CYR" w:hAnsi="Times New Roman CYR" w:cs="Times New Roman CYR"/>
                <w:sz w:val="24"/>
                <w:szCs w:val="24"/>
                <w:lang w:val="uk-UA"/>
              </w:rPr>
            </w:pPr>
            <w:r w:rsidRPr="0089017A">
              <w:rPr>
                <w:rFonts w:ascii="Times New Roman CYR" w:hAnsi="Times New Roman CYR" w:cs="Times New Roman CYR"/>
                <w:sz w:val="24"/>
                <w:szCs w:val="24"/>
                <w:lang w:val="uk-UA"/>
              </w:rPr>
              <w:t>Вид альтернативи</w:t>
            </w:r>
          </w:p>
        </w:tc>
        <w:tc>
          <w:tcPr>
            <w:tcW w:w="3240" w:type="dxa"/>
          </w:tcPr>
          <w:p w:rsidR="00337E14" w:rsidRPr="0089017A" w:rsidRDefault="00337E14" w:rsidP="00B04F6D">
            <w:pPr>
              <w:jc w:val="center"/>
              <w:rPr>
                <w:rFonts w:ascii="Times New Roman CYR" w:hAnsi="Times New Roman CYR" w:cs="Times New Roman CYR"/>
                <w:sz w:val="24"/>
                <w:szCs w:val="24"/>
                <w:lang w:val="uk-UA"/>
              </w:rPr>
            </w:pPr>
            <w:r w:rsidRPr="0089017A">
              <w:rPr>
                <w:rFonts w:ascii="Times New Roman CYR" w:hAnsi="Times New Roman CYR" w:cs="Times New Roman CYR"/>
                <w:sz w:val="24"/>
                <w:szCs w:val="24"/>
                <w:lang w:val="uk-UA"/>
              </w:rPr>
              <w:t>Вигоди</w:t>
            </w:r>
          </w:p>
        </w:tc>
        <w:tc>
          <w:tcPr>
            <w:tcW w:w="3420" w:type="dxa"/>
          </w:tcPr>
          <w:p w:rsidR="00337E14" w:rsidRPr="0089017A" w:rsidRDefault="00337E14" w:rsidP="00B04F6D">
            <w:pPr>
              <w:jc w:val="center"/>
              <w:rPr>
                <w:rFonts w:ascii="Times New Roman CYR" w:hAnsi="Times New Roman CYR" w:cs="Times New Roman CYR"/>
                <w:sz w:val="24"/>
                <w:szCs w:val="24"/>
                <w:lang w:val="uk-UA"/>
              </w:rPr>
            </w:pPr>
            <w:r w:rsidRPr="0089017A">
              <w:rPr>
                <w:rFonts w:ascii="Times New Roman CYR" w:hAnsi="Times New Roman CYR" w:cs="Times New Roman CYR"/>
                <w:sz w:val="24"/>
                <w:szCs w:val="24"/>
                <w:lang w:val="uk-UA"/>
              </w:rPr>
              <w:t>Витрати</w:t>
            </w:r>
          </w:p>
        </w:tc>
      </w:tr>
      <w:tr w:rsidR="00A66F04" w:rsidRPr="00EC12C2" w:rsidTr="00B04F6D">
        <w:tc>
          <w:tcPr>
            <w:tcW w:w="3060" w:type="dxa"/>
          </w:tcPr>
          <w:p w:rsidR="00A66F04" w:rsidRPr="00A40369" w:rsidRDefault="00A66F04" w:rsidP="00C44ADA">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Альтернатива 1</w:t>
            </w:r>
          </w:p>
        </w:tc>
        <w:tc>
          <w:tcPr>
            <w:tcW w:w="3240" w:type="dxa"/>
          </w:tcPr>
          <w:p w:rsidR="00A66F04" w:rsidRPr="00A40369" w:rsidRDefault="00A66F04" w:rsidP="00C44ADA">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Відсутні</w:t>
            </w:r>
            <w:r>
              <w:rPr>
                <w:rFonts w:ascii="Times New Roman CYR" w:hAnsi="Times New Roman CYR" w:cs="Times New Roman CYR"/>
                <w:sz w:val="28"/>
                <w:szCs w:val="28"/>
                <w:lang w:val="uk-UA"/>
              </w:rPr>
              <w:t>.</w:t>
            </w:r>
          </w:p>
        </w:tc>
        <w:tc>
          <w:tcPr>
            <w:tcW w:w="3420" w:type="dxa"/>
          </w:tcPr>
          <w:p w:rsidR="00A66F04" w:rsidRDefault="00A66F04" w:rsidP="00C44ADA">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Відсутні.</w:t>
            </w:r>
          </w:p>
          <w:p w:rsidR="00A66F04" w:rsidRPr="00A40369" w:rsidRDefault="00A66F04" w:rsidP="00C44ADA">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Залишення механізму без змін означає позбавлення можливості отримання коштів за наданні пільги та субсидії ОСББ та ЖБК, які не є надавачами житлово-комунальних послуг.</w:t>
            </w:r>
          </w:p>
        </w:tc>
      </w:tr>
      <w:tr w:rsidR="00A66F04" w:rsidRPr="00EC12C2" w:rsidTr="00B04F6D">
        <w:tc>
          <w:tcPr>
            <w:tcW w:w="3060" w:type="dxa"/>
          </w:tcPr>
          <w:p w:rsidR="00A66F04" w:rsidRPr="00A40369" w:rsidRDefault="00A66F04" w:rsidP="00A66F04">
            <w:pPr>
              <w:jc w:val="both"/>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Альтернатива 2</w:t>
            </w:r>
          </w:p>
        </w:tc>
        <w:tc>
          <w:tcPr>
            <w:tcW w:w="3240" w:type="dxa"/>
          </w:tcPr>
          <w:p w:rsidR="00A66F04" w:rsidRDefault="00A66F04" w:rsidP="00A66F04">
            <w:pPr>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 xml:space="preserve">Високі. </w:t>
            </w:r>
          </w:p>
          <w:p w:rsidR="00A66F04" w:rsidRDefault="00A66F04" w:rsidP="00A66F04">
            <w:pPr>
              <w:numPr>
                <w:ilvl w:val="0"/>
                <w:numId w:val="5"/>
              </w:numPr>
              <w:ind w:left="0" w:firstLine="0"/>
              <w:rPr>
                <w:rFonts w:ascii="Times New Roman CYR" w:hAnsi="Times New Roman CYR" w:cs="Times New Roman CYR"/>
                <w:sz w:val="28"/>
                <w:szCs w:val="28"/>
                <w:lang w:val="uk-UA"/>
              </w:rPr>
            </w:pPr>
            <w:r>
              <w:rPr>
                <w:rFonts w:ascii="Times New Roman CYR" w:hAnsi="Times New Roman CYR" w:cs="Times New Roman CYR"/>
                <w:sz w:val="28"/>
                <w:szCs w:val="28"/>
                <w:lang w:val="uk-UA"/>
              </w:rPr>
              <w:t>с</w:t>
            </w:r>
            <w:r w:rsidRPr="00A40369">
              <w:rPr>
                <w:rFonts w:ascii="Times New Roman CYR" w:hAnsi="Times New Roman CYR" w:cs="Times New Roman CYR"/>
                <w:sz w:val="28"/>
                <w:szCs w:val="28"/>
                <w:lang w:val="uk-UA"/>
              </w:rPr>
              <w:t>корочуються</w:t>
            </w:r>
            <w:r w:rsidR="009B0828">
              <w:rPr>
                <w:rFonts w:ascii="Times New Roman CYR" w:hAnsi="Times New Roman CYR" w:cs="Times New Roman CYR"/>
                <w:sz w:val="28"/>
                <w:szCs w:val="28"/>
                <w:lang w:val="uk-UA"/>
              </w:rPr>
              <w:t xml:space="preserve"> </w:t>
            </w:r>
            <w:r w:rsidRPr="00A40369">
              <w:rPr>
                <w:rFonts w:ascii="Times New Roman CYR" w:hAnsi="Times New Roman CYR" w:cs="Times New Roman CYR"/>
                <w:sz w:val="28"/>
                <w:szCs w:val="28"/>
                <w:lang w:val="uk-UA"/>
              </w:rPr>
              <w:t>терміни для отримання коштів</w:t>
            </w:r>
            <w:r>
              <w:rPr>
                <w:rFonts w:ascii="Times New Roman CYR" w:hAnsi="Times New Roman CYR" w:cs="Times New Roman CYR"/>
                <w:sz w:val="28"/>
                <w:szCs w:val="28"/>
                <w:lang w:val="uk-UA"/>
              </w:rPr>
              <w:t xml:space="preserve"> – прискорюються на 4 дні;</w:t>
            </w:r>
          </w:p>
          <w:p w:rsidR="00A66F04" w:rsidRPr="00A40369" w:rsidRDefault="00A66F04" w:rsidP="009B0828">
            <w:pPr>
              <w:numPr>
                <w:ilvl w:val="0"/>
                <w:numId w:val="5"/>
              </w:numPr>
              <w:ind w:left="0" w:firstLine="0"/>
              <w:rPr>
                <w:rFonts w:ascii="Times New Roman CYR" w:hAnsi="Times New Roman CYR" w:cs="Times New Roman CYR"/>
                <w:sz w:val="28"/>
                <w:szCs w:val="28"/>
                <w:lang w:val="uk-UA"/>
              </w:rPr>
            </w:pPr>
            <w:r>
              <w:rPr>
                <w:rFonts w:ascii="Times New Roman CYR" w:hAnsi="Times New Roman CYR" w:cs="Times New Roman CYR"/>
                <w:sz w:val="28"/>
                <w:szCs w:val="28"/>
                <w:lang w:val="uk-UA"/>
              </w:rPr>
              <w:t>р</w:t>
            </w:r>
            <w:r w:rsidRPr="00A40369">
              <w:rPr>
                <w:rFonts w:ascii="Times New Roman CYR" w:hAnsi="Times New Roman CYR" w:cs="Times New Roman CYR"/>
                <w:sz w:val="28"/>
                <w:szCs w:val="28"/>
                <w:lang w:val="uk-UA"/>
              </w:rPr>
              <w:t>озширюються можливості використання коштів за іншими напрямками</w:t>
            </w:r>
            <w:r>
              <w:rPr>
                <w:rFonts w:ascii="Times New Roman CYR" w:hAnsi="Times New Roman CYR" w:cs="Times New Roman CYR"/>
                <w:sz w:val="28"/>
                <w:szCs w:val="28"/>
                <w:lang w:val="uk-UA"/>
              </w:rPr>
              <w:t xml:space="preserve">, в </w:t>
            </w:r>
            <w:proofErr w:type="spellStart"/>
            <w:r>
              <w:rPr>
                <w:rFonts w:ascii="Times New Roman CYR" w:hAnsi="Times New Roman CYR" w:cs="Times New Roman CYR"/>
                <w:sz w:val="28"/>
                <w:szCs w:val="28"/>
                <w:lang w:val="uk-UA"/>
              </w:rPr>
              <w:t>т.ч</w:t>
            </w:r>
            <w:proofErr w:type="spellEnd"/>
            <w:r>
              <w:rPr>
                <w:rFonts w:ascii="Times New Roman CYR" w:hAnsi="Times New Roman CYR" w:cs="Times New Roman CYR"/>
                <w:sz w:val="28"/>
                <w:szCs w:val="28"/>
                <w:lang w:val="uk-UA"/>
              </w:rPr>
              <w:t>. на виплату</w:t>
            </w:r>
            <w:r w:rsidR="009B0828">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заробітної плати, авансові платежі до бюджету, оплату покупної води та тепла</w:t>
            </w:r>
            <w:r w:rsidRPr="00A40369">
              <w:rPr>
                <w:rFonts w:ascii="Times New Roman CYR" w:hAnsi="Times New Roman CYR" w:cs="Times New Roman CYR"/>
                <w:sz w:val="28"/>
                <w:szCs w:val="28"/>
                <w:lang w:val="uk-UA"/>
              </w:rPr>
              <w:t xml:space="preserve">. </w:t>
            </w:r>
          </w:p>
        </w:tc>
        <w:tc>
          <w:tcPr>
            <w:tcW w:w="3420" w:type="dxa"/>
          </w:tcPr>
          <w:p w:rsidR="00A66F04" w:rsidRDefault="00A66F04" w:rsidP="00A66F04">
            <w:pPr>
              <w:rPr>
                <w:rFonts w:ascii="Times New Roman CYR" w:hAnsi="Times New Roman CYR" w:cs="Times New Roman CYR"/>
                <w:sz w:val="28"/>
                <w:szCs w:val="28"/>
                <w:lang w:val="uk-UA"/>
              </w:rPr>
            </w:pPr>
            <w:r w:rsidRPr="00A40369">
              <w:rPr>
                <w:rFonts w:ascii="Times New Roman CYR" w:hAnsi="Times New Roman CYR" w:cs="Times New Roman CYR"/>
                <w:sz w:val="28"/>
                <w:szCs w:val="28"/>
                <w:lang w:val="uk-UA"/>
              </w:rPr>
              <w:t>Відсутні</w:t>
            </w:r>
            <w:r>
              <w:rPr>
                <w:rFonts w:ascii="Times New Roman CYR" w:hAnsi="Times New Roman CYR" w:cs="Times New Roman CYR"/>
                <w:sz w:val="28"/>
                <w:szCs w:val="28"/>
                <w:lang w:val="uk-UA"/>
              </w:rPr>
              <w:t>.</w:t>
            </w:r>
          </w:p>
          <w:p w:rsidR="00A66F04" w:rsidRPr="00A40369" w:rsidRDefault="00A66F04" w:rsidP="00A66F04">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Додаткових витрат на відкриття рахунків здійснювати ОСББ та ЖБК не потрібно, вони будуть використовувати вже відкритті рахунки в банківських установах.</w:t>
            </w:r>
          </w:p>
        </w:tc>
      </w:tr>
    </w:tbl>
    <w:p w:rsidR="00337E14" w:rsidRPr="009F237B" w:rsidRDefault="00337E14" w:rsidP="00B04F6D">
      <w:pPr>
        <w:ind w:firstLine="709"/>
        <w:jc w:val="both"/>
        <w:rPr>
          <w:rFonts w:ascii="Times New Roman CYR" w:hAnsi="Times New Roman CYR" w:cs="Times New Roman CYR"/>
          <w:sz w:val="28"/>
          <w:szCs w:val="28"/>
          <w:lang w:val="uk-UA"/>
        </w:rPr>
      </w:pPr>
    </w:p>
    <w:p w:rsidR="00337E14" w:rsidRPr="009F237B" w:rsidRDefault="009B0828" w:rsidP="00B04F6D">
      <w:pPr>
        <w:pStyle w:val="21"/>
        <w:ind w:firstLine="709"/>
        <w:jc w:val="both"/>
        <w:rPr>
          <w:b/>
          <w:sz w:val="28"/>
          <w:szCs w:val="28"/>
          <w:lang w:val="uk-UA"/>
        </w:rPr>
      </w:pPr>
      <w:r>
        <w:rPr>
          <w:b/>
          <w:sz w:val="28"/>
          <w:szCs w:val="28"/>
        </w:rPr>
        <w:t>IV</w:t>
      </w:r>
      <w:r w:rsidR="00B04F6D">
        <w:rPr>
          <w:b/>
          <w:sz w:val="28"/>
          <w:szCs w:val="28"/>
          <w:lang w:val="uk-UA"/>
        </w:rPr>
        <w:t xml:space="preserve">. </w:t>
      </w:r>
      <w:r w:rsidR="00337E14" w:rsidRPr="009F237B">
        <w:rPr>
          <w:b/>
          <w:sz w:val="28"/>
          <w:szCs w:val="28"/>
          <w:lang w:val="uk-UA"/>
        </w:rPr>
        <w:t>Вибір найбільш оптимального альтернативного способу досягнення цілей</w:t>
      </w:r>
    </w:p>
    <w:p w:rsidR="00337E14" w:rsidRPr="009F237B" w:rsidRDefault="00337E14" w:rsidP="00B04F6D">
      <w:pPr>
        <w:pStyle w:val="21"/>
        <w:ind w:firstLine="709"/>
        <w:jc w:val="both"/>
        <w:rPr>
          <w:b/>
          <w:sz w:val="28"/>
          <w:szCs w:val="28"/>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472"/>
        <w:gridCol w:w="4306"/>
      </w:tblGrid>
      <w:tr w:rsidR="00337E14" w:rsidRPr="0089017A" w:rsidTr="0089017A">
        <w:tc>
          <w:tcPr>
            <w:tcW w:w="4077" w:type="dxa"/>
            <w:vAlign w:val="center"/>
          </w:tcPr>
          <w:p w:rsidR="00337E14" w:rsidRPr="009F237B" w:rsidRDefault="00337E14" w:rsidP="0089017A">
            <w:pPr>
              <w:jc w:val="center"/>
              <w:rPr>
                <w:sz w:val="24"/>
                <w:szCs w:val="24"/>
                <w:lang w:val="uk-UA"/>
              </w:rPr>
            </w:pPr>
            <w:r w:rsidRPr="009F237B">
              <w:rPr>
                <w:sz w:val="24"/>
                <w:szCs w:val="24"/>
                <w:lang w:val="uk-UA"/>
              </w:rPr>
              <w:t>Рейтинг результативності (досягнення цілей під час вирішення проблеми)</w:t>
            </w:r>
          </w:p>
        </w:tc>
        <w:tc>
          <w:tcPr>
            <w:tcW w:w="1472" w:type="dxa"/>
            <w:vAlign w:val="center"/>
          </w:tcPr>
          <w:p w:rsidR="00337E14" w:rsidRPr="009F237B" w:rsidRDefault="00337E14" w:rsidP="0089017A">
            <w:pPr>
              <w:jc w:val="center"/>
              <w:rPr>
                <w:sz w:val="24"/>
                <w:szCs w:val="24"/>
                <w:lang w:val="uk-UA"/>
              </w:rPr>
            </w:pPr>
            <w:r w:rsidRPr="009F237B">
              <w:rPr>
                <w:sz w:val="24"/>
                <w:szCs w:val="24"/>
                <w:lang w:val="uk-UA"/>
              </w:rPr>
              <w:t>Бал результативності (за чотирибальною системою оцінки)</w:t>
            </w:r>
          </w:p>
        </w:tc>
        <w:tc>
          <w:tcPr>
            <w:tcW w:w="4306" w:type="dxa"/>
            <w:vAlign w:val="center"/>
          </w:tcPr>
          <w:p w:rsidR="00337E14" w:rsidRPr="009F237B" w:rsidRDefault="00337E14" w:rsidP="0089017A">
            <w:pPr>
              <w:jc w:val="center"/>
              <w:rPr>
                <w:sz w:val="24"/>
                <w:szCs w:val="24"/>
                <w:lang w:val="uk-UA"/>
              </w:rPr>
            </w:pPr>
            <w:r w:rsidRPr="009F237B">
              <w:rPr>
                <w:sz w:val="24"/>
                <w:szCs w:val="24"/>
                <w:lang w:val="uk-UA"/>
              </w:rPr>
              <w:t>Коментарі щодо присвоєння відповідного балу</w:t>
            </w:r>
          </w:p>
        </w:tc>
      </w:tr>
      <w:tr w:rsidR="00A66F04" w:rsidRPr="009F237B" w:rsidTr="00A66F04">
        <w:tc>
          <w:tcPr>
            <w:tcW w:w="4077" w:type="dxa"/>
          </w:tcPr>
          <w:p w:rsidR="00A66F04" w:rsidRPr="00A40369" w:rsidRDefault="00A66F04" w:rsidP="00C44ADA">
            <w:pPr>
              <w:pStyle w:val="21"/>
              <w:jc w:val="both"/>
              <w:rPr>
                <w:sz w:val="28"/>
                <w:szCs w:val="28"/>
                <w:lang w:val="uk-UA"/>
              </w:rPr>
            </w:pPr>
            <w:r w:rsidRPr="00A40369">
              <w:rPr>
                <w:sz w:val="28"/>
                <w:szCs w:val="28"/>
                <w:lang w:val="uk-UA"/>
              </w:rPr>
              <w:lastRenderedPageBreak/>
              <w:t>Альтернатива 1</w:t>
            </w:r>
          </w:p>
        </w:tc>
        <w:tc>
          <w:tcPr>
            <w:tcW w:w="1472" w:type="dxa"/>
          </w:tcPr>
          <w:p w:rsidR="00A66F04" w:rsidRPr="00A40369" w:rsidRDefault="00A66F04" w:rsidP="00C44ADA">
            <w:pPr>
              <w:pStyle w:val="21"/>
              <w:rPr>
                <w:sz w:val="28"/>
                <w:szCs w:val="28"/>
                <w:lang w:val="uk-UA"/>
              </w:rPr>
            </w:pPr>
            <w:r w:rsidRPr="00A40369">
              <w:rPr>
                <w:sz w:val="28"/>
                <w:szCs w:val="28"/>
                <w:lang w:val="uk-UA"/>
              </w:rPr>
              <w:t>1</w:t>
            </w:r>
          </w:p>
        </w:tc>
        <w:tc>
          <w:tcPr>
            <w:tcW w:w="4306" w:type="dxa"/>
          </w:tcPr>
          <w:p w:rsidR="00A66F04" w:rsidRPr="00A40369" w:rsidRDefault="00A66F04" w:rsidP="00C44ADA">
            <w:pPr>
              <w:pStyle w:val="21"/>
              <w:jc w:val="both"/>
              <w:rPr>
                <w:sz w:val="28"/>
                <w:szCs w:val="28"/>
                <w:lang w:val="uk-UA"/>
              </w:rPr>
            </w:pPr>
            <w:r w:rsidRPr="00A40369">
              <w:rPr>
                <w:sz w:val="28"/>
                <w:szCs w:val="28"/>
                <w:lang w:val="uk-UA"/>
              </w:rPr>
              <w:t>Буде стримувати процес поступового переходу на повну монетизацію,  створювати негативну реакцію на проведення першого етапу монетизації та формувати супротив у надавачів послуг щодо проведення розрахунків за запропонованою моделлю</w:t>
            </w:r>
            <w:r>
              <w:rPr>
                <w:sz w:val="28"/>
                <w:szCs w:val="28"/>
                <w:lang w:val="uk-UA"/>
              </w:rPr>
              <w:t xml:space="preserve">. Буде </w:t>
            </w:r>
            <w:r w:rsidRPr="00A40369">
              <w:rPr>
                <w:sz w:val="28"/>
                <w:szCs w:val="28"/>
                <w:lang w:val="uk-UA"/>
              </w:rPr>
              <w:t>формувати заборгованість між надавачами послуг та постачальниками енергоресурсів.</w:t>
            </w:r>
          </w:p>
        </w:tc>
      </w:tr>
      <w:tr w:rsidR="00A66F04" w:rsidRPr="00EC12C2" w:rsidTr="00A66F04">
        <w:tc>
          <w:tcPr>
            <w:tcW w:w="4077" w:type="dxa"/>
          </w:tcPr>
          <w:p w:rsidR="00A66F04" w:rsidRPr="00A40369" w:rsidRDefault="00A66F04" w:rsidP="00C44ADA">
            <w:pPr>
              <w:pStyle w:val="21"/>
              <w:jc w:val="both"/>
              <w:rPr>
                <w:sz w:val="28"/>
                <w:szCs w:val="28"/>
                <w:lang w:val="uk-UA"/>
              </w:rPr>
            </w:pPr>
            <w:r w:rsidRPr="00A40369">
              <w:rPr>
                <w:sz w:val="28"/>
                <w:szCs w:val="28"/>
                <w:lang w:val="uk-UA"/>
              </w:rPr>
              <w:t>Альтернатива 2</w:t>
            </w:r>
          </w:p>
        </w:tc>
        <w:tc>
          <w:tcPr>
            <w:tcW w:w="1472" w:type="dxa"/>
          </w:tcPr>
          <w:p w:rsidR="00A66F04" w:rsidRPr="00A40369" w:rsidRDefault="00A66F04" w:rsidP="00C44ADA">
            <w:pPr>
              <w:pStyle w:val="21"/>
              <w:rPr>
                <w:sz w:val="28"/>
                <w:szCs w:val="28"/>
                <w:lang w:val="uk-UA"/>
              </w:rPr>
            </w:pPr>
            <w:r>
              <w:rPr>
                <w:sz w:val="28"/>
                <w:szCs w:val="28"/>
                <w:lang w:val="uk-UA"/>
              </w:rPr>
              <w:t>3</w:t>
            </w:r>
          </w:p>
        </w:tc>
        <w:tc>
          <w:tcPr>
            <w:tcW w:w="4306" w:type="dxa"/>
          </w:tcPr>
          <w:p w:rsidR="009B0828" w:rsidRDefault="00A66F04" w:rsidP="009B0828">
            <w:pPr>
              <w:jc w:val="both"/>
              <w:rPr>
                <w:sz w:val="28"/>
                <w:szCs w:val="28"/>
                <w:lang w:val="uk-UA"/>
              </w:rPr>
            </w:pPr>
            <w:r w:rsidRPr="00A40369">
              <w:rPr>
                <w:sz w:val="28"/>
                <w:szCs w:val="28"/>
                <w:lang w:val="uk-UA"/>
              </w:rPr>
              <w:t>Зазначений спосіб  пропонує ліквідувати вузькі місця, що були виявлені у процесі реалізації порядку</w:t>
            </w:r>
            <w:r>
              <w:rPr>
                <w:sz w:val="28"/>
                <w:szCs w:val="28"/>
                <w:lang w:val="uk-UA"/>
              </w:rPr>
              <w:t>,</w:t>
            </w:r>
            <w:r w:rsidRPr="00A40369">
              <w:rPr>
                <w:sz w:val="28"/>
                <w:szCs w:val="28"/>
                <w:lang w:val="uk-UA"/>
              </w:rPr>
              <w:t xml:space="preserve"> затвердженого</w:t>
            </w:r>
            <w:r w:rsidR="009B0828">
              <w:rPr>
                <w:sz w:val="28"/>
                <w:szCs w:val="28"/>
                <w:lang w:val="uk-UA"/>
              </w:rPr>
              <w:t xml:space="preserve"> н</w:t>
            </w:r>
            <w:r w:rsidR="009B0828" w:rsidRPr="009B0828">
              <w:rPr>
                <w:sz w:val="28"/>
                <w:szCs w:val="28"/>
                <w:lang w:val="uk-UA"/>
              </w:rPr>
              <w:t>аказ</w:t>
            </w:r>
            <w:r w:rsidR="009B0828">
              <w:rPr>
                <w:sz w:val="28"/>
                <w:szCs w:val="28"/>
                <w:lang w:val="uk-UA"/>
              </w:rPr>
              <w:t>ом</w:t>
            </w:r>
            <w:r w:rsidR="009B0828" w:rsidRPr="009B0828">
              <w:rPr>
                <w:sz w:val="28"/>
                <w:szCs w:val="28"/>
                <w:lang w:val="uk-UA"/>
              </w:rPr>
              <w:t xml:space="preserve"> Міністерства фінансів України</w:t>
            </w:r>
            <w:r w:rsidR="009B0828">
              <w:rPr>
                <w:sz w:val="28"/>
                <w:szCs w:val="28"/>
                <w:lang w:val="uk-UA"/>
              </w:rPr>
              <w:t xml:space="preserve">  </w:t>
            </w:r>
            <w:r w:rsidR="009B0828" w:rsidRPr="009B0828">
              <w:rPr>
                <w:sz w:val="28"/>
                <w:szCs w:val="28"/>
                <w:lang w:val="uk-UA"/>
              </w:rPr>
              <w:t xml:space="preserve">04 січня 2018 року </w:t>
            </w:r>
            <w:r w:rsidR="009B0828">
              <w:rPr>
                <w:sz w:val="28"/>
                <w:szCs w:val="28"/>
                <w:lang w:val="uk-UA"/>
              </w:rPr>
              <w:t>№</w:t>
            </w:r>
            <w:r w:rsidR="009B0828" w:rsidRPr="009B0828">
              <w:rPr>
                <w:sz w:val="28"/>
                <w:szCs w:val="28"/>
                <w:lang w:val="uk-UA"/>
              </w:rPr>
              <w:t xml:space="preserve"> 1</w:t>
            </w:r>
            <w:r w:rsidR="009B0828">
              <w:rPr>
                <w:sz w:val="28"/>
                <w:szCs w:val="28"/>
                <w:lang w:val="uk-UA"/>
              </w:rPr>
              <w:t>.</w:t>
            </w:r>
          </w:p>
          <w:p w:rsidR="00A66F04" w:rsidRPr="00A40369" w:rsidRDefault="00A66F04" w:rsidP="00C44ADA">
            <w:pPr>
              <w:jc w:val="both"/>
              <w:rPr>
                <w:sz w:val="28"/>
                <w:szCs w:val="28"/>
                <w:lang w:val="uk-UA"/>
              </w:rPr>
            </w:pPr>
            <w:r w:rsidRPr="00A40369">
              <w:rPr>
                <w:sz w:val="28"/>
                <w:szCs w:val="28"/>
                <w:lang w:val="uk-UA"/>
              </w:rPr>
              <w:t xml:space="preserve">Таким чином, обраний спосіб є прийнятним і єдиним для вирішення проблемного питання, забезпечить прозорість, стабільність та рівність умов для всіх </w:t>
            </w:r>
            <w:r w:rsidRPr="00A40369">
              <w:rPr>
                <w:bCs/>
                <w:sz w:val="28"/>
                <w:szCs w:val="28"/>
                <w:lang w:val="uk-UA"/>
              </w:rPr>
              <w:t>учасників розрахунків за спожиті енергоносії та житлово</w:t>
            </w:r>
            <w:r>
              <w:rPr>
                <w:bCs/>
                <w:sz w:val="28"/>
                <w:szCs w:val="28"/>
                <w:lang w:val="uk-UA"/>
              </w:rPr>
              <w:t>-</w:t>
            </w:r>
            <w:r w:rsidRPr="00A40369">
              <w:rPr>
                <w:bCs/>
                <w:sz w:val="28"/>
                <w:szCs w:val="28"/>
                <w:lang w:val="uk-UA"/>
              </w:rPr>
              <w:t xml:space="preserve"> комунальні послуги у частині пільг і житлових  субсидій.</w:t>
            </w:r>
          </w:p>
        </w:tc>
      </w:tr>
    </w:tbl>
    <w:p w:rsidR="00337E14" w:rsidRPr="009F237B" w:rsidRDefault="00337E14" w:rsidP="00B04F6D">
      <w:pPr>
        <w:pStyle w:val="21"/>
        <w:ind w:firstLine="709"/>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390"/>
        <w:gridCol w:w="2470"/>
        <w:gridCol w:w="2895"/>
      </w:tblGrid>
      <w:tr w:rsidR="00337E14" w:rsidRPr="009F237B" w:rsidTr="0089017A">
        <w:tc>
          <w:tcPr>
            <w:tcW w:w="2088" w:type="dxa"/>
            <w:vAlign w:val="center"/>
          </w:tcPr>
          <w:p w:rsidR="00337E14" w:rsidRPr="009F237B" w:rsidRDefault="00337E14" w:rsidP="0089017A">
            <w:pPr>
              <w:jc w:val="center"/>
              <w:rPr>
                <w:sz w:val="24"/>
                <w:szCs w:val="24"/>
                <w:lang w:val="uk-UA"/>
              </w:rPr>
            </w:pPr>
            <w:r w:rsidRPr="009F237B">
              <w:rPr>
                <w:sz w:val="24"/>
                <w:szCs w:val="24"/>
                <w:lang w:val="uk-UA"/>
              </w:rPr>
              <w:t>Рейтинг результативності</w:t>
            </w:r>
          </w:p>
        </w:tc>
        <w:tc>
          <w:tcPr>
            <w:tcW w:w="2390" w:type="dxa"/>
            <w:vAlign w:val="center"/>
          </w:tcPr>
          <w:p w:rsidR="00337E14" w:rsidRPr="009F237B" w:rsidRDefault="00337E14" w:rsidP="0089017A">
            <w:pPr>
              <w:jc w:val="center"/>
              <w:rPr>
                <w:sz w:val="24"/>
                <w:szCs w:val="24"/>
                <w:lang w:val="uk-UA"/>
              </w:rPr>
            </w:pPr>
            <w:r w:rsidRPr="009F237B">
              <w:rPr>
                <w:sz w:val="24"/>
                <w:szCs w:val="24"/>
                <w:lang w:val="uk-UA"/>
              </w:rPr>
              <w:t>Вигоди (підсумок)</w:t>
            </w:r>
          </w:p>
        </w:tc>
        <w:tc>
          <w:tcPr>
            <w:tcW w:w="2470" w:type="dxa"/>
            <w:vAlign w:val="center"/>
          </w:tcPr>
          <w:p w:rsidR="00337E14" w:rsidRPr="009F237B" w:rsidRDefault="00337E14" w:rsidP="0089017A">
            <w:pPr>
              <w:jc w:val="center"/>
              <w:rPr>
                <w:sz w:val="24"/>
                <w:szCs w:val="24"/>
                <w:lang w:val="uk-UA"/>
              </w:rPr>
            </w:pPr>
            <w:r w:rsidRPr="009F237B">
              <w:rPr>
                <w:sz w:val="24"/>
                <w:szCs w:val="24"/>
                <w:lang w:val="uk-UA"/>
              </w:rPr>
              <w:t>Витрати (підсумок)</w:t>
            </w:r>
          </w:p>
        </w:tc>
        <w:tc>
          <w:tcPr>
            <w:tcW w:w="2895" w:type="dxa"/>
            <w:vAlign w:val="center"/>
          </w:tcPr>
          <w:p w:rsidR="00337E14" w:rsidRPr="009F237B" w:rsidRDefault="00337E14" w:rsidP="0089017A">
            <w:pPr>
              <w:jc w:val="center"/>
              <w:rPr>
                <w:sz w:val="24"/>
                <w:szCs w:val="24"/>
                <w:lang w:val="uk-UA"/>
              </w:rPr>
            </w:pPr>
            <w:r w:rsidRPr="009F237B">
              <w:rPr>
                <w:sz w:val="24"/>
                <w:szCs w:val="24"/>
                <w:lang w:val="uk-UA"/>
              </w:rPr>
              <w:t>Обґрунтування відповідного місця альтернативи у рейтингу</w:t>
            </w:r>
          </w:p>
        </w:tc>
      </w:tr>
      <w:tr w:rsidR="00A66F04" w:rsidRPr="00EC12C2" w:rsidTr="00040F03">
        <w:tc>
          <w:tcPr>
            <w:tcW w:w="2088" w:type="dxa"/>
          </w:tcPr>
          <w:p w:rsidR="00A66F04" w:rsidRDefault="00A66F04" w:rsidP="00C44ADA">
            <w:pPr>
              <w:jc w:val="both"/>
              <w:rPr>
                <w:sz w:val="28"/>
                <w:szCs w:val="28"/>
                <w:lang w:val="uk-UA"/>
              </w:rPr>
            </w:pPr>
            <w:r w:rsidRPr="002323B7">
              <w:rPr>
                <w:sz w:val="28"/>
                <w:szCs w:val="28"/>
                <w:lang w:val="uk-UA"/>
              </w:rPr>
              <w:t>Альтернатива 1</w:t>
            </w: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Pr="00EF7811" w:rsidRDefault="00A66F04" w:rsidP="00C44ADA">
            <w:pPr>
              <w:jc w:val="both"/>
              <w:rPr>
                <w:sz w:val="24"/>
                <w:szCs w:val="24"/>
                <w:lang w:val="uk-UA"/>
              </w:rPr>
            </w:pPr>
            <w:r w:rsidRPr="002323B7">
              <w:rPr>
                <w:sz w:val="24"/>
                <w:szCs w:val="24"/>
                <w:lang w:val="uk-UA"/>
              </w:rPr>
              <w:tab/>
            </w:r>
          </w:p>
        </w:tc>
        <w:tc>
          <w:tcPr>
            <w:tcW w:w="2390" w:type="dxa"/>
          </w:tcPr>
          <w:p w:rsidR="00A66F04" w:rsidRPr="00EF7811" w:rsidRDefault="00A66F04" w:rsidP="00C44ADA">
            <w:pPr>
              <w:jc w:val="center"/>
              <w:rPr>
                <w:sz w:val="24"/>
                <w:szCs w:val="24"/>
                <w:lang w:val="uk-UA"/>
              </w:rPr>
            </w:pPr>
            <w:r w:rsidRPr="00A40369">
              <w:rPr>
                <w:sz w:val="28"/>
                <w:szCs w:val="28"/>
                <w:lang w:val="uk-UA"/>
              </w:rPr>
              <w:t>Відсутні</w:t>
            </w:r>
          </w:p>
        </w:tc>
        <w:tc>
          <w:tcPr>
            <w:tcW w:w="2470" w:type="dxa"/>
          </w:tcPr>
          <w:p w:rsidR="00A66F04" w:rsidRDefault="00A66F04" w:rsidP="00C44ADA">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Відсутні.</w:t>
            </w:r>
          </w:p>
          <w:p w:rsidR="00A66F04" w:rsidRPr="00EF7811" w:rsidRDefault="00A66F04" w:rsidP="00C44ADA">
            <w:pPr>
              <w:jc w:val="both"/>
              <w:rPr>
                <w:sz w:val="24"/>
                <w:szCs w:val="24"/>
                <w:lang w:val="uk-UA"/>
              </w:rPr>
            </w:pPr>
            <w:r>
              <w:rPr>
                <w:rFonts w:ascii="Times New Roman CYR" w:hAnsi="Times New Roman CYR" w:cs="Times New Roman CYR"/>
                <w:sz w:val="28"/>
                <w:szCs w:val="28"/>
                <w:lang w:val="uk-UA"/>
              </w:rPr>
              <w:t>Залишити існуючий механізм без змін означає позбавити можливості ОСББ та ЖБК отримувати кошти субвенції з державного бюджету</w:t>
            </w:r>
            <w:r>
              <w:rPr>
                <w:sz w:val="24"/>
                <w:szCs w:val="24"/>
                <w:lang w:val="uk-UA"/>
              </w:rPr>
              <w:t>.</w:t>
            </w:r>
          </w:p>
        </w:tc>
        <w:tc>
          <w:tcPr>
            <w:tcW w:w="2895" w:type="dxa"/>
          </w:tcPr>
          <w:p w:rsidR="00A66F04" w:rsidRPr="00EF7811" w:rsidRDefault="00A66F04" w:rsidP="00C44ADA">
            <w:pPr>
              <w:jc w:val="both"/>
              <w:rPr>
                <w:sz w:val="24"/>
                <w:szCs w:val="24"/>
                <w:lang w:val="uk-UA"/>
              </w:rPr>
            </w:pPr>
          </w:p>
        </w:tc>
      </w:tr>
      <w:tr w:rsidR="00A66F04" w:rsidRPr="00EC12C2" w:rsidTr="00040F03">
        <w:tc>
          <w:tcPr>
            <w:tcW w:w="2088" w:type="dxa"/>
          </w:tcPr>
          <w:p w:rsidR="00A66F04" w:rsidRDefault="00A66F04" w:rsidP="00C44ADA">
            <w:pPr>
              <w:jc w:val="both"/>
              <w:rPr>
                <w:sz w:val="28"/>
                <w:szCs w:val="28"/>
                <w:lang w:val="uk-UA"/>
              </w:rPr>
            </w:pPr>
            <w:r w:rsidRPr="00A40369">
              <w:rPr>
                <w:sz w:val="28"/>
                <w:szCs w:val="28"/>
                <w:lang w:val="uk-UA"/>
              </w:rPr>
              <w:t>Альтернатива 2</w:t>
            </w: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Pr="00A40369" w:rsidRDefault="00A66F04" w:rsidP="00C44ADA">
            <w:pPr>
              <w:jc w:val="both"/>
              <w:rPr>
                <w:sz w:val="28"/>
                <w:szCs w:val="28"/>
                <w:lang w:val="uk-UA"/>
              </w:rPr>
            </w:pPr>
          </w:p>
        </w:tc>
        <w:tc>
          <w:tcPr>
            <w:tcW w:w="2390" w:type="dxa"/>
          </w:tcPr>
          <w:p w:rsidR="00A66F04" w:rsidRPr="00A40369" w:rsidRDefault="00A66F04" w:rsidP="00C44ADA">
            <w:pPr>
              <w:jc w:val="both"/>
              <w:rPr>
                <w:sz w:val="28"/>
                <w:szCs w:val="28"/>
                <w:lang w:val="uk-UA"/>
              </w:rPr>
            </w:pPr>
            <w:r w:rsidRPr="00A40369">
              <w:rPr>
                <w:rFonts w:ascii="Times New Roman CYR" w:hAnsi="Times New Roman CYR" w:cs="Times New Roman CYR"/>
                <w:sz w:val="28"/>
                <w:szCs w:val="28"/>
                <w:lang w:val="uk-UA"/>
              </w:rPr>
              <w:lastRenderedPageBreak/>
              <w:t xml:space="preserve">Високі. Удосконалення  на основі </w:t>
            </w:r>
            <w:r w:rsidRPr="00A40369">
              <w:rPr>
                <w:rFonts w:ascii="Times New Roman CYR" w:hAnsi="Times New Roman CYR" w:cs="Times New Roman CYR"/>
                <w:sz w:val="28"/>
                <w:szCs w:val="28"/>
                <w:lang w:val="uk-UA"/>
              </w:rPr>
              <w:lastRenderedPageBreak/>
              <w:t xml:space="preserve">отриманих пропозицій від постачальників енергоносіїв та послуг, фінансових управлінь, установ </w:t>
            </w:r>
            <w:r>
              <w:rPr>
                <w:rFonts w:ascii="Times New Roman CYR" w:hAnsi="Times New Roman CYR" w:cs="Times New Roman CYR"/>
                <w:sz w:val="28"/>
                <w:szCs w:val="28"/>
                <w:lang w:val="uk-UA"/>
              </w:rPr>
              <w:t xml:space="preserve">Казначейства </w:t>
            </w:r>
            <w:r w:rsidRPr="00A40369">
              <w:rPr>
                <w:rFonts w:ascii="Times New Roman CYR" w:hAnsi="Times New Roman CYR" w:cs="Times New Roman CYR"/>
                <w:sz w:val="28"/>
                <w:szCs w:val="28"/>
                <w:lang w:val="uk-UA"/>
              </w:rPr>
              <w:t>вже існуючого механізму для проведення автоматичного перерахування пільг і субсидій згідно розпису видатків, відпрацювання на пільгах і субсидіях з утримання будинків, вивезення сміття та рідких нечистот механізму запровадження повної монетизації</w:t>
            </w:r>
            <w:r>
              <w:rPr>
                <w:rFonts w:ascii="Times New Roman CYR" w:hAnsi="Times New Roman CYR" w:cs="Times New Roman CYR"/>
                <w:sz w:val="28"/>
                <w:szCs w:val="28"/>
                <w:lang w:val="uk-UA"/>
              </w:rPr>
              <w:t>.</w:t>
            </w:r>
            <w:r w:rsidRPr="00A40369">
              <w:rPr>
                <w:rFonts w:ascii="Times New Roman CYR" w:hAnsi="Times New Roman CYR" w:cs="Times New Roman CYR"/>
                <w:sz w:val="28"/>
                <w:szCs w:val="28"/>
                <w:lang w:val="uk-UA"/>
              </w:rPr>
              <w:t xml:space="preserve"> Виконання зобов’язань перед зарубіжними партнерами щодо монетизації субсидій.</w:t>
            </w:r>
          </w:p>
        </w:tc>
        <w:tc>
          <w:tcPr>
            <w:tcW w:w="2470" w:type="dxa"/>
          </w:tcPr>
          <w:p w:rsidR="00A66F04" w:rsidRDefault="00A66F04" w:rsidP="00C44ADA">
            <w:pPr>
              <w:rPr>
                <w:rFonts w:ascii="Times New Roman CYR" w:hAnsi="Times New Roman CYR" w:cs="Times New Roman CYR"/>
                <w:sz w:val="28"/>
                <w:szCs w:val="28"/>
                <w:lang w:val="uk-UA"/>
              </w:rPr>
            </w:pPr>
            <w:r>
              <w:rPr>
                <w:sz w:val="28"/>
                <w:szCs w:val="28"/>
                <w:lang w:val="uk-UA"/>
              </w:rPr>
              <w:lastRenderedPageBreak/>
              <w:t>В</w:t>
            </w:r>
            <w:r w:rsidRPr="00A40369">
              <w:rPr>
                <w:sz w:val="28"/>
                <w:szCs w:val="28"/>
                <w:lang w:val="uk-UA"/>
              </w:rPr>
              <w:t>ідсутні</w:t>
            </w:r>
            <w:r>
              <w:rPr>
                <w:rFonts w:ascii="Times New Roman CYR" w:hAnsi="Times New Roman CYR" w:cs="Times New Roman CYR"/>
                <w:sz w:val="28"/>
                <w:szCs w:val="28"/>
                <w:lang w:val="uk-UA"/>
              </w:rPr>
              <w:t>.</w:t>
            </w:r>
          </w:p>
          <w:p w:rsidR="00A66F04" w:rsidRPr="00A40369" w:rsidRDefault="00A66F04" w:rsidP="00C44ADA">
            <w:pPr>
              <w:jc w:val="both"/>
              <w:rPr>
                <w:sz w:val="28"/>
                <w:szCs w:val="28"/>
                <w:lang w:val="uk-UA"/>
              </w:rPr>
            </w:pPr>
            <w:r>
              <w:rPr>
                <w:rFonts w:ascii="Times New Roman CYR" w:hAnsi="Times New Roman CYR" w:cs="Times New Roman CYR"/>
                <w:sz w:val="28"/>
                <w:szCs w:val="28"/>
                <w:lang w:val="uk-UA"/>
              </w:rPr>
              <w:t xml:space="preserve">Додаткових витрат на </w:t>
            </w:r>
            <w:r>
              <w:rPr>
                <w:rFonts w:ascii="Times New Roman CYR" w:hAnsi="Times New Roman CYR" w:cs="Times New Roman CYR"/>
                <w:sz w:val="28"/>
                <w:szCs w:val="28"/>
                <w:lang w:val="uk-UA"/>
              </w:rPr>
              <w:lastRenderedPageBreak/>
              <w:t>відкриття рахунків здійснювати ОСББ та ЖБК не потрібно, вони будуть використовувати вже відкритті рахунки в банківських установах.</w:t>
            </w:r>
          </w:p>
        </w:tc>
        <w:tc>
          <w:tcPr>
            <w:tcW w:w="2895" w:type="dxa"/>
          </w:tcPr>
          <w:p w:rsidR="00A66F04" w:rsidRDefault="00A66F04" w:rsidP="00C44ADA">
            <w:pPr>
              <w:jc w:val="both"/>
              <w:rPr>
                <w:sz w:val="28"/>
                <w:szCs w:val="28"/>
                <w:lang w:val="uk-UA"/>
              </w:rPr>
            </w:pPr>
            <w:r>
              <w:rPr>
                <w:rFonts w:ascii="Times New Roman CYR" w:hAnsi="Times New Roman CYR" w:cs="Times New Roman CYR"/>
                <w:sz w:val="28"/>
                <w:szCs w:val="28"/>
                <w:lang w:val="uk-UA"/>
              </w:rPr>
              <w:lastRenderedPageBreak/>
              <w:t>Залишення механізму без змін означає позбавлення</w:t>
            </w:r>
            <w:r w:rsidR="009B0828">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можливості</w:t>
            </w:r>
            <w:r w:rsidR="009B0828">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отримання коштів за наданні пільги та субсидії ОСББ та ЖБК, які не є надавачами житлово-комунальних послуг.</w:t>
            </w:r>
          </w:p>
          <w:p w:rsidR="00A66F04" w:rsidRDefault="00A66F04" w:rsidP="00C44ADA">
            <w:pPr>
              <w:jc w:val="both"/>
              <w:rPr>
                <w:sz w:val="28"/>
                <w:szCs w:val="28"/>
                <w:lang w:val="uk-UA"/>
              </w:rPr>
            </w:pPr>
          </w:p>
          <w:p w:rsidR="00A66F04" w:rsidRDefault="00A66F04" w:rsidP="00C44ADA">
            <w:pPr>
              <w:jc w:val="both"/>
              <w:rPr>
                <w:sz w:val="28"/>
                <w:szCs w:val="28"/>
                <w:lang w:val="uk-UA"/>
              </w:rPr>
            </w:pPr>
          </w:p>
          <w:p w:rsidR="00A66F04" w:rsidRDefault="00A66F04" w:rsidP="00C44ADA">
            <w:pPr>
              <w:jc w:val="both"/>
              <w:rPr>
                <w:bCs/>
                <w:sz w:val="28"/>
                <w:szCs w:val="28"/>
                <w:lang w:val="uk-UA"/>
              </w:rPr>
            </w:pPr>
            <w:r w:rsidRPr="00A40369">
              <w:rPr>
                <w:sz w:val="28"/>
                <w:szCs w:val="28"/>
                <w:lang w:val="uk-UA"/>
              </w:rPr>
              <w:t>Даний спосіб забезпечує</w:t>
            </w:r>
            <w:r w:rsidR="009B0828">
              <w:rPr>
                <w:sz w:val="28"/>
                <w:szCs w:val="28"/>
                <w:lang w:val="uk-UA"/>
              </w:rPr>
              <w:t xml:space="preserve"> </w:t>
            </w:r>
            <w:r w:rsidRPr="00A40369">
              <w:rPr>
                <w:sz w:val="28"/>
                <w:szCs w:val="28"/>
                <w:lang w:val="uk-UA"/>
              </w:rPr>
              <w:t xml:space="preserve">досягнення мети щодо монетизації пільг і субсидій </w:t>
            </w:r>
            <w:r w:rsidRPr="00A40369">
              <w:rPr>
                <w:rFonts w:ascii="Times New Roman CYR" w:hAnsi="Times New Roman CYR" w:cs="Times New Roman CYR"/>
                <w:sz w:val="28"/>
                <w:szCs w:val="28"/>
                <w:lang w:val="uk-UA"/>
              </w:rPr>
              <w:t xml:space="preserve">обраний спосіб є прийнятним і єдиним для вирішення проблемного питання, забезпечить прозорість, стабільність та рівність умов для всіх </w:t>
            </w:r>
            <w:r w:rsidRPr="00A40369">
              <w:rPr>
                <w:bCs/>
                <w:sz w:val="28"/>
                <w:szCs w:val="28"/>
                <w:lang w:val="uk-UA"/>
              </w:rPr>
              <w:t>учасників розрахунків за спожиті енергоносії та житлово комунальні послуги у частині пільг і житлових субсидій.</w:t>
            </w:r>
          </w:p>
          <w:p w:rsidR="00A66F04" w:rsidRDefault="00A66F04" w:rsidP="00C44ADA">
            <w:pPr>
              <w:jc w:val="both"/>
              <w:rPr>
                <w:bCs/>
                <w:sz w:val="28"/>
                <w:szCs w:val="28"/>
                <w:lang w:val="uk-UA"/>
              </w:rPr>
            </w:pPr>
          </w:p>
          <w:p w:rsidR="00A66F04" w:rsidRDefault="00A66F04" w:rsidP="00C44ADA">
            <w:pPr>
              <w:jc w:val="both"/>
              <w:rPr>
                <w:bCs/>
                <w:sz w:val="28"/>
                <w:szCs w:val="28"/>
                <w:lang w:val="uk-UA"/>
              </w:rPr>
            </w:pPr>
          </w:p>
          <w:p w:rsidR="00A66F04" w:rsidRDefault="00A66F04" w:rsidP="00C44ADA">
            <w:pPr>
              <w:jc w:val="both"/>
              <w:rPr>
                <w:bCs/>
                <w:sz w:val="28"/>
                <w:szCs w:val="28"/>
                <w:lang w:val="uk-UA"/>
              </w:rPr>
            </w:pPr>
          </w:p>
          <w:p w:rsidR="00A66F04" w:rsidRDefault="00A66F04" w:rsidP="00C44ADA">
            <w:pPr>
              <w:jc w:val="both"/>
              <w:rPr>
                <w:bCs/>
                <w:sz w:val="28"/>
                <w:szCs w:val="28"/>
                <w:lang w:val="uk-UA"/>
              </w:rPr>
            </w:pPr>
          </w:p>
          <w:p w:rsidR="00A66F04" w:rsidRPr="00A40369" w:rsidRDefault="00A66F04" w:rsidP="00C44ADA">
            <w:pPr>
              <w:jc w:val="both"/>
              <w:rPr>
                <w:sz w:val="28"/>
                <w:szCs w:val="28"/>
                <w:lang w:val="uk-UA"/>
              </w:rPr>
            </w:pPr>
          </w:p>
        </w:tc>
      </w:tr>
    </w:tbl>
    <w:p w:rsidR="00337E14" w:rsidRPr="009F237B" w:rsidRDefault="00337E14" w:rsidP="00B04F6D">
      <w:pPr>
        <w:ind w:firstLine="709"/>
        <w:jc w:val="both"/>
        <w:rPr>
          <w:sz w:val="24"/>
          <w:szCs w:val="24"/>
          <w:lang w:val="uk-UA"/>
        </w:rPr>
      </w:pPr>
    </w:p>
    <w:p w:rsidR="00337E14" w:rsidRPr="009F237B" w:rsidRDefault="00337E14" w:rsidP="00B04F6D">
      <w:pPr>
        <w:ind w:firstLine="709"/>
        <w:jc w:val="both"/>
        <w:rPr>
          <w:sz w:val="28"/>
          <w:szCs w:val="28"/>
          <w:lang w:val="uk-UA"/>
        </w:rPr>
      </w:pPr>
      <w:r w:rsidRPr="009F237B">
        <w:rPr>
          <w:sz w:val="28"/>
          <w:szCs w:val="28"/>
          <w:lang w:val="uk-UA"/>
        </w:rPr>
        <w:t xml:space="preserve">Враховуючи вищенаведені позитивні та негативні сторони альтернативних способів досягнення мети, доцільно прийняти розроблений проект </w:t>
      </w:r>
      <w:r w:rsidR="009948A0" w:rsidRPr="009F237B">
        <w:rPr>
          <w:sz w:val="28"/>
          <w:szCs w:val="28"/>
          <w:lang w:val="uk-UA"/>
        </w:rPr>
        <w:t>наказу Мінфіну.</w:t>
      </w:r>
    </w:p>
    <w:p w:rsidR="00337E14" w:rsidRPr="009F237B" w:rsidRDefault="00337E14" w:rsidP="00B04F6D">
      <w:pPr>
        <w:ind w:firstLine="709"/>
        <w:jc w:val="both"/>
        <w:rPr>
          <w:sz w:val="24"/>
          <w:szCs w:val="24"/>
          <w:lang w:val="uk-UA"/>
        </w:rPr>
      </w:pPr>
    </w:p>
    <w:p w:rsidR="00337E14" w:rsidRDefault="009B0828" w:rsidP="00B04F6D">
      <w:pPr>
        <w:pStyle w:val="21"/>
        <w:ind w:firstLine="709"/>
        <w:jc w:val="both"/>
        <w:rPr>
          <w:b/>
          <w:sz w:val="28"/>
          <w:szCs w:val="28"/>
          <w:lang w:val="uk-UA"/>
        </w:rPr>
      </w:pPr>
      <w:r>
        <w:rPr>
          <w:b/>
          <w:sz w:val="28"/>
          <w:szCs w:val="28"/>
        </w:rPr>
        <w:t>V</w:t>
      </w:r>
      <w:r w:rsidR="00337E14" w:rsidRPr="009F237B">
        <w:rPr>
          <w:b/>
          <w:sz w:val="28"/>
          <w:szCs w:val="28"/>
          <w:lang w:val="uk-UA"/>
        </w:rPr>
        <w:t xml:space="preserve">. Механізм та заходи, які забезпечать </w:t>
      </w:r>
      <w:proofErr w:type="gramStart"/>
      <w:r w:rsidR="00337E14" w:rsidRPr="009F237B">
        <w:rPr>
          <w:b/>
          <w:sz w:val="28"/>
          <w:szCs w:val="28"/>
          <w:lang w:val="uk-UA"/>
        </w:rPr>
        <w:t>розв’язання  визначеної</w:t>
      </w:r>
      <w:proofErr w:type="gramEnd"/>
      <w:r w:rsidR="00337E14" w:rsidRPr="009F237B">
        <w:rPr>
          <w:b/>
          <w:sz w:val="28"/>
          <w:szCs w:val="28"/>
          <w:lang w:val="uk-UA"/>
        </w:rPr>
        <w:t xml:space="preserve"> проблеми </w:t>
      </w:r>
    </w:p>
    <w:p w:rsidR="0089017A" w:rsidRPr="00A40369" w:rsidRDefault="00337E14" w:rsidP="0089017A">
      <w:pPr>
        <w:ind w:firstLine="709"/>
        <w:jc w:val="both"/>
        <w:rPr>
          <w:sz w:val="28"/>
          <w:szCs w:val="28"/>
          <w:lang w:val="uk-UA"/>
        </w:rPr>
      </w:pPr>
      <w:r w:rsidRPr="009F237B">
        <w:rPr>
          <w:sz w:val="28"/>
          <w:szCs w:val="28"/>
          <w:lang w:val="uk-UA"/>
        </w:rPr>
        <w:t xml:space="preserve">Для </w:t>
      </w:r>
      <w:r w:rsidR="009948A0" w:rsidRPr="009F237B">
        <w:rPr>
          <w:sz w:val="28"/>
          <w:szCs w:val="28"/>
          <w:lang w:val="uk-UA"/>
        </w:rPr>
        <w:t>реалізації норм</w:t>
      </w:r>
      <w:r w:rsidR="00853CA1">
        <w:rPr>
          <w:sz w:val="28"/>
          <w:szCs w:val="28"/>
          <w:lang w:val="uk-UA"/>
        </w:rPr>
        <w:t>,</w:t>
      </w:r>
      <w:r w:rsidR="009948A0" w:rsidRPr="009F237B">
        <w:rPr>
          <w:sz w:val="28"/>
          <w:szCs w:val="28"/>
          <w:lang w:val="uk-UA"/>
        </w:rPr>
        <w:t xml:space="preserve"> передбачених у постанові Кабінету Міністрів України  </w:t>
      </w:r>
      <w:r w:rsidR="009948A0" w:rsidRPr="00853CA1">
        <w:rPr>
          <w:sz w:val="28"/>
          <w:szCs w:val="28"/>
          <w:lang w:val="uk-UA"/>
        </w:rPr>
        <w:t>від 4 березня 2002 р. № 256 щодо</w:t>
      </w:r>
      <w:r w:rsidR="0089017A">
        <w:rPr>
          <w:sz w:val="28"/>
          <w:szCs w:val="28"/>
          <w:lang w:val="uk-UA"/>
        </w:rPr>
        <w:t xml:space="preserve"> </w:t>
      </w:r>
      <w:r w:rsidR="0089017A" w:rsidRPr="0089017A">
        <w:rPr>
          <w:sz w:val="28"/>
          <w:szCs w:val="28"/>
          <w:lang w:val="uk-UA"/>
        </w:rPr>
        <w:t xml:space="preserve">удосконалення нового механізму перерахування видатків місцевих бюджетів на здійснення заходів з виконання </w:t>
      </w:r>
      <w:r w:rsidR="0089017A" w:rsidRPr="0089017A">
        <w:rPr>
          <w:sz w:val="28"/>
          <w:szCs w:val="28"/>
          <w:lang w:val="uk-UA"/>
        </w:rPr>
        <w:lastRenderedPageBreak/>
        <w:t>державних програм соціального захисту населення</w:t>
      </w:r>
      <w:r w:rsidR="0089017A">
        <w:rPr>
          <w:sz w:val="28"/>
          <w:szCs w:val="28"/>
          <w:lang w:val="uk-UA"/>
        </w:rPr>
        <w:t xml:space="preserve"> </w:t>
      </w:r>
      <w:r w:rsidRPr="009F237B">
        <w:rPr>
          <w:sz w:val="28"/>
          <w:szCs w:val="28"/>
          <w:lang w:val="uk-UA"/>
        </w:rPr>
        <w:t xml:space="preserve">розроблено проект </w:t>
      </w:r>
      <w:r w:rsidR="009948A0" w:rsidRPr="009F237B">
        <w:rPr>
          <w:sz w:val="28"/>
          <w:szCs w:val="28"/>
          <w:lang w:val="uk-UA"/>
        </w:rPr>
        <w:t>наказу Міністерства фінансів України</w:t>
      </w:r>
      <w:r w:rsidR="0089017A">
        <w:rPr>
          <w:sz w:val="28"/>
          <w:szCs w:val="28"/>
          <w:lang w:val="uk-UA"/>
        </w:rPr>
        <w:t>.</w:t>
      </w:r>
      <w:r w:rsidR="0089017A" w:rsidRPr="0089017A">
        <w:rPr>
          <w:sz w:val="28"/>
          <w:szCs w:val="28"/>
          <w:lang w:val="uk-UA"/>
        </w:rPr>
        <w:t xml:space="preserve"> </w:t>
      </w:r>
    </w:p>
    <w:p w:rsidR="00337E14" w:rsidRDefault="00337E14" w:rsidP="00B04F6D">
      <w:pPr>
        <w:ind w:firstLine="709"/>
        <w:jc w:val="both"/>
        <w:rPr>
          <w:sz w:val="28"/>
          <w:szCs w:val="28"/>
          <w:lang w:val="uk-UA"/>
        </w:rPr>
      </w:pPr>
      <w:r w:rsidRPr="009F237B">
        <w:rPr>
          <w:sz w:val="28"/>
          <w:szCs w:val="28"/>
          <w:lang w:val="uk-UA"/>
        </w:rPr>
        <w:t>Механізми</w:t>
      </w:r>
      <w:r w:rsidR="00853CA1">
        <w:rPr>
          <w:sz w:val="28"/>
          <w:szCs w:val="28"/>
          <w:lang w:val="uk-UA"/>
        </w:rPr>
        <w:t>, які</w:t>
      </w:r>
      <w:r w:rsidRPr="009F237B">
        <w:rPr>
          <w:sz w:val="28"/>
          <w:szCs w:val="28"/>
          <w:lang w:val="uk-UA"/>
        </w:rPr>
        <w:t xml:space="preserve"> закладені у проект</w:t>
      </w:r>
      <w:r w:rsidR="00853CA1">
        <w:rPr>
          <w:sz w:val="28"/>
          <w:szCs w:val="28"/>
          <w:lang w:val="uk-UA"/>
        </w:rPr>
        <w:t>і</w:t>
      </w:r>
      <w:r w:rsidRPr="009F237B">
        <w:rPr>
          <w:sz w:val="28"/>
          <w:szCs w:val="28"/>
          <w:lang w:val="uk-UA"/>
        </w:rPr>
        <w:t xml:space="preserve"> дають змогу забезпечити:</w:t>
      </w:r>
    </w:p>
    <w:p w:rsidR="0089017A" w:rsidRPr="00A40369" w:rsidRDefault="0089017A" w:rsidP="0089017A">
      <w:pPr>
        <w:ind w:firstLine="709"/>
        <w:jc w:val="both"/>
        <w:rPr>
          <w:sz w:val="28"/>
          <w:szCs w:val="28"/>
          <w:lang w:val="uk-UA"/>
        </w:rPr>
      </w:pPr>
      <w:r w:rsidRPr="00A40369">
        <w:rPr>
          <w:sz w:val="28"/>
          <w:szCs w:val="28"/>
          <w:lang w:val="uk-UA"/>
        </w:rPr>
        <w:t>постійне перерахування коштів державного бюджету на рахунки постачальників енергоносіїв та житлово-комунальних послуг;</w:t>
      </w:r>
    </w:p>
    <w:p w:rsidR="0089017A" w:rsidRDefault="0089017A" w:rsidP="0089017A">
      <w:pPr>
        <w:ind w:firstLine="709"/>
        <w:jc w:val="both"/>
        <w:rPr>
          <w:sz w:val="28"/>
          <w:szCs w:val="28"/>
          <w:lang w:val="uk-UA"/>
        </w:rPr>
      </w:pPr>
      <w:r w:rsidRPr="00A40369">
        <w:rPr>
          <w:sz w:val="28"/>
          <w:szCs w:val="28"/>
          <w:lang w:val="uk-UA"/>
        </w:rPr>
        <w:t>стабільні розрахунки за використані природний газ і електричну енергію</w:t>
      </w:r>
      <w:r>
        <w:rPr>
          <w:sz w:val="28"/>
          <w:szCs w:val="28"/>
          <w:lang w:val="uk-UA"/>
        </w:rPr>
        <w:t xml:space="preserve"> </w:t>
      </w:r>
      <w:r w:rsidRPr="00A40369">
        <w:rPr>
          <w:sz w:val="28"/>
          <w:szCs w:val="28"/>
          <w:lang w:val="uk-UA"/>
        </w:rPr>
        <w:t>під час виробництва та постачання  теплової енергії, водопостачання, своєчасне надходження нарахованих податків і зборів до державного бюджету шляхом застосування механізму обмеження використання цих коштів на спеціальних рахунках суб’єктів господарювання.</w:t>
      </w:r>
    </w:p>
    <w:p w:rsidR="0089017A" w:rsidRPr="00C5220D" w:rsidRDefault="0089017A" w:rsidP="00122977">
      <w:pPr>
        <w:ind w:firstLine="709"/>
        <w:jc w:val="both"/>
        <w:rPr>
          <w:sz w:val="28"/>
          <w:szCs w:val="28"/>
          <w:lang w:val="uk-UA"/>
        </w:rPr>
      </w:pPr>
      <w:r w:rsidRPr="00C5220D">
        <w:rPr>
          <w:sz w:val="28"/>
          <w:szCs w:val="28"/>
          <w:lang w:val="uk-UA"/>
        </w:rPr>
        <w:t>вивести із пункту 8</w:t>
      </w:r>
      <w:r w:rsidRPr="00662AEE">
        <w:rPr>
          <w:sz w:val="28"/>
          <w:szCs w:val="28"/>
          <w:vertAlign w:val="superscript"/>
          <w:lang w:val="uk-UA"/>
        </w:rPr>
        <w:t>1</w:t>
      </w:r>
      <w:r w:rsidRPr="00C5220D">
        <w:rPr>
          <w:sz w:val="28"/>
          <w:szCs w:val="28"/>
          <w:lang w:val="uk-UA"/>
        </w:rPr>
        <w:t xml:space="preserve"> розрахунки за квартирну плату (утримання будинків і споруд та прибудинкових територій), управління багатоквартирним будинком, вивезення побутового сміття та рідких нечистот. Розрахунки за цими послугами передбачено здійснювати Казначейство</w:t>
      </w:r>
      <w:r w:rsidR="00662AEE">
        <w:rPr>
          <w:sz w:val="28"/>
          <w:szCs w:val="28"/>
          <w:lang w:val="uk-UA"/>
        </w:rPr>
        <w:t>м</w:t>
      </w:r>
      <w:r w:rsidRPr="00C5220D">
        <w:rPr>
          <w:sz w:val="28"/>
          <w:szCs w:val="28"/>
          <w:lang w:val="uk-UA"/>
        </w:rPr>
        <w:t xml:space="preserve"> на рахунки в банківських установах;</w:t>
      </w:r>
    </w:p>
    <w:p w:rsidR="0089017A" w:rsidRPr="00C5220D" w:rsidRDefault="0089017A" w:rsidP="00122977">
      <w:pPr>
        <w:ind w:firstLine="709"/>
        <w:jc w:val="both"/>
        <w:rPr>
          <w:sz w:val="28"/>
          <w:szCs w:val="28"/>
          <w:lang w:val="uk-UA"/>
        </w:rPr>
      </w:pPr>
      <w:r w:rsidRPr="00C5220D">
        <w:rPr>
          <w:sz w:val="28"/>
          <w:szCs w:val="28"/>
          <w:lang w:val="uk-UA"/>
        </w:rPr>
        <w:t>для надавачів послуг із водопостачання і водовідведення передбачено можливість спрямування коштів на розрахунки за питну воду, придбану для централізованого постачання споживачам;</w:t>
      </w:r>
    </w:p>
    <w:p w:rsidR="0089017A" w:rsidRPr="00C5220D" w:rsidRDefault="0089017A" w:rsidP="00122977">
      <w:pPr>
        <w:ind w:firstLine="709"/>
        <w:jc w:val="both"/>
        <w:rPr>
          <w:sz w:val="28"/>
          <w:szCs w:val="28"/>
          <w:lang w:val="uk-UA"/>
        </w:rPr>
      </w:pPr>
      <w:r w:rsidRPr="00C5220D">
        <w:rPr>
          <w:sz w:val="28"/>
          <w:szCs w:val="28"/>
          <w:lang w:val="uk-UA"/>
        </w:rPr>
        <w:t>для надавачів послуг із централізованого теплопостачання передбачена можливість спрямування коштів на оплату купованої теплової енергії, питну воду та послуги з водопостачання придбані для надання послу із централізованого постачання гарячої води;</w:t>
      </w:r>
    </w:p>
    <w:p w:rsidR="0089017A" w:rsidRPr="00C5220D" w:rsidRDefault="0089017A" w:rsidP="00122977">
      <w:pPr>
        <w:ind w:firstLine="709"/>
        <w:jc w:val="both"/>
        <w:rPr>
          <w:sz w:val="28"/>
          <w:szCs w:val="28"/>
          <w:lang w:val="uk-UA"/>
        </w:rPr>
      </w:pPr>
      <w:r w:rsidRPr="00C5220D">
        <w:rPr>
          <w:sz w:val="28"/>
          <w:szCs w:val="28"/>
          <w:lang w:val="uk-UA"/>
        </w:rPr>
        <w:t>доповнено скрізь по тексту «послуги на управління багатоквартирними будинком»;</w:t>
      </w:r>
    </w:p>
    <w:p w:rsidR="0089017A" w:rsidRPr="00C5220D" w:rsidRDefault="0089017A" w:rsidP="00122977">
      <w:pPr>
        <w:ind w:firstLine="709"/>
        <w:jc w:val="both"/>
        <w:rPr>
          <w:sz w:val="28"/>
          <w:szCs w:val="28"/>
          <w:lang w:val="uk-UA"/>
        </w:rPr>
      </w:pPr>
      <w:r w:rsidRPr="00C5220D">
        <w:rPr>
          <w:sz w:val="28"/>
          <w:szCs w:val="28"/>
          <w:lang w:val="uk-UA"/>
        </w:rPr>
        <w:t>скорочено терміни перерахування коштів;</w:t>
      </w:r>
    </w:p>
    <w:p w:rsidR="0089017A" w:rsidRDefault="0089017A" w:rsidP="00122977">
      <w:pPr>
        <w:ind w:firstLine="709"/>
        <w:jc w:val="both"/>
        <w:rPr>
          <w:sz w:val="28"/>
          <w:szCs w:val="28"/>
          <w:lang w:val="uk-UA"/>
        </w:rPr>
      </w:pPr>
      <w:r w:rsidRPr="00C5220D">
        <w:rPr>
          <w:sz w:val="28"/>
          <w:szCs w:val="28"/>
          <w:lang w:val="uk-UA"/>
        </w:rPr>
        <w:t>замінено у відповідності до норм Бюджетного кодексу України скрізь по тексту назву о</w:t>
      </w:r>
      <w:r w:rsidR="00662AEE">
        <w:rPr>
          <w:sz w:val="28"/>
          <w:szCs w:val="28"/>
          <w:lang w:val="uk-UA"/>
        </w:rPr>
        <w:t>б’єднаних територіальних громад;</w:t>
      </w:r>
    </w:p>
    <w:p w:rsidR="00662AEE" w:rsidRPr="00C5220D" w:rsidRDefault="00662AEE" w:rsidP="00122977">
      <w:pPr>
        <w:ind w:firstLine="709"/>
        <w:jc w:val="both"/>
        <w:rPr>
          <w:sz w:val="28"/>
          <w:szCs w:val="28"/>
          <w:lang w:val="uk-UA"/>
        </w:rPr>
      </w:pPr>
      <w:r>
        <w:rPr>
          <w:sz w:val="28"/>
          <w:szCs w:val="28"/>
          <w:lang w:val="uk-UA"/>
        </w:rPr>
        <w:t xml:space="preserve">спрощено заповнення додатків 1-10 та доповнено додатком 11 згідно з яким до Казначейства буде подаватися інформація щодо зобов’язань місцевих бюджетів по пільгах та субсидій для розрахунків  з ОСББ, ЖБК та іншими </w:t>
      </w:r>
      <w:r>
        <w:rPr>
          <w:rFonts w:ascii="Times New Roman CYR" w:hAnsi="Times New Roman CYR" w:cs="Times New Roman CYR"/>
          <w:sz w:val="28"/>
          <w:szCs w:val="28"/>
          <w:lang w:val="uk-UA"/>
        </w:rPr>
        <w:t xml:space="preserve"> надавачами житлово-комунальних послуг в частині </w:t>
      </w:r>
      <w:r w:rsidRPr="00C5220D">
        <w:rPr>
          <w:sz w:val="28"/>
          <w:szCs w:val="28"/>
          <w:lang w:val="uk-UA"/>
        </w:rPr>
        <w:t>вивезення побутового сміття та рідких нечистот</w:t>
      </w:r>
      <w:r>
        <w:rPr>
          <w:sz w:val="28"/>
          <w:szCs w:val="28"/>
          <w:lang w:val="uk-UA"/>
        </w:rPr>
        <w:t>.</w:t>
      </w:r>
    </w:p>
    <w:p w:rsidR="0089017A" w:rsidRPr="009F237B" w:rsidRDefault="0089017A" w:rsidP="00B04F6D">
      <w:pPr>
        <w:ind w:firstLine="709"/>
        <w:jc w:val="both"/>
        <w:rPr>
          <w:sz w:val="28"/>
          <w:szCs w:val="28"/>
          <w:lang w:val="uk-UA"/>
        </w:rPr>
      </w:pPr>
    </w:p>
    <w:p w:rsidR="00337E14" w:rsidRDefault="009B0828" w:rsidP="00B04F6D">
      <w:pPr>
        <w:pStyle w:val="21"/>
        <w:ind w:firstLine="709"/>
        <w:jc w:val="both"/>
        <w:rPr>
          <w:b/>
          <w:sz w:val="28"/>
          <w:szCs w:val="28"/>
          <w:lang w:val="uk-UA"/>
        </w:rPr>
      </w:pPr>
      <w:r>
        <w:rPr>
          <w:b/>
          <w:sz w:val="28"/>
          <w:szCs w:val="28"/>
        </w:rPr>
        <w:t>VI</w:t>
      </w:r>
      <w:r w:rsidR="00337E14" w:rsidRPr="009F237B">
        <w:rPr>
          <w:b/>
          <w:sz w:val="28"/>
          <w:szCs w:val="28"/>
          <w:lang w:val="uk-UA"/>
        </w:rPr>
        <w:t xml:space="preserve">. Оцінка виконання вимог регуляторного </w:t>
      </w:r>
      <w:proofErr w:type="spellStart"/>
      <w:r w:rsidR="00337E14" w:rsidRPr="009F237B">
        <w:rPr>
          <w:b/>
          <w:sz w:val="28"/>
          <w:szCs w:val="28"/>
          <w:lang w:val="uk-UA"/>
        </w:rPr>
        <w:t>акта</w:t>
      </w:r>
      <w:proofErr w:type="spellEnd"/>
      <w:r w:rsidR="00337E14" w:rsidRPr="009F237B">
        <w:rPr>
          <w:b/>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37E14" w:rsidRPr="009F237B" w:rsidRDefault="00337E14" w:rsidP="00B04F6D">
      <w:pPr>
        <w:pStyle w:val="a4"/>
        <w:spacing w:line="240" w:lineRule="auto"/>
        <w:ind w:firstLine="709"/>
        <w:rPr>
          <w:color w:val="000000"/>
          <w:sz w:val="28"/>
          <w:szCs w:val="28"/>
        </w:rPr>
      </w:pPr>
      <w:r w:rsidRPr="009F237B">
        <w:rPr>
          <w:color w:val="000000"/>
          <w:sz w:val="28"/>
          <w:szCs w:val="28"/>
        </w:rPr>
        <w:t xml:space="preserve">Прийняття проекту </w:t>
      </w:r>
      <w:r w:rsidR="008C4A84" w:rsidRPr="009F237B">
        <w:rPr>
          <w:color w:val="000000"/>
          <w:sz w:val="28"/>
          <w:szCs w:val="28"/>
        </w:rPr>
        <w:t xml:space="preserve">наказу </w:t>
      </w:r>
      <w:r w:rsidRPr="009F237B">
        <w:rPr>
          <w:color w:val="000000"/>
          <w:sz w:val="28"/>
          <w:szCs w:val="28"/>
        </w:rPr>
        <w:t>не потребує додаткових витрат державного бюджету.</w:t>
      </w:r>
    </w:p>
    <w:p w:rsidR="00337E14" w:rsidRPr="009F237B" w:rsidRDefault="00337E14" w:rsidP="00B04F6D">
      <w:pPr>
        <w:pStyle w:val="21"/>
        <w:ind w:firstLine="709"/>
        <w:jc w:val="both"/>
        <w:rPr>
          <w:sz w:val="28"/>
          <w:szCs w:val="28"/>
          <w:lang w:val="uk-UA"/>
        </w:rPr>
      </w:pPr>
      <w:r w:rsidRPr="009F237B">
        <w:rPr>
          <w:sz w:val="28"/>
          <w:szCs w:val="28"/>
          <w:lang w:val="uk-UA"/>
        </w:rPr>
        <w:t xml:space="preserve">Реалізація проекту </w:t>
      </w:r>
      <w:r w:rsidR="008C4A84" w:rsidRPr="009F237B">
        <w:rPr>
          <w:sz w:val="28"/>
          <w:szCs w:val="28"/>
          <w:lang w:val="uk-UA"/>
        </w:rPr>
        <w:t xml:space="preserve">наказу </w:t>
      </w:r>
      <w:r w:rsidRPr="009F237B">
        <w:rPr>
          <w:sz w:val="28"/>
          <w:szCs w:val="28"/>
          <w:lang w:val="uk-UA"/>
        </w:rPr>
        <w:t xml:space="preserve"> не потребує додаткових матеріальних витрат та часу для суб’єктів господарювання</w:t>
      </w:r>
      <w:r w:rsidR="00662AEE">
        <w:rPr>
          <w:sz w:val="28"/>
          <w:szCs w:val="28"/>
          <w:lang w:val="uk-UA"/>
        </w:rPr>
        <w:t>.</w:t>
      </w:r>
      <w:r w:rsidRPr="009F237B">
        <w:rPr>
          <w:sz w:val="28"/>
          <w:szCs w:val="28"/>
          <w:lang w:val="uk-UA"/>
        </w:rPr>
        <w:t xml:space="preserve"> </w:t>
      </w:r>
    </w:p>
    <w:p w:rsidR="00337E14" w:rsidRPr="009F237B" w:rsidRDefault="00337E14" w:rsidP="00B04F6D">
      <w:pPr>
        <w:pStyle w:val="a4"/>
        <w:spacing w:line="240" w:lineRule="auto"/>
        <w:ind w:firstLine="709"/>
        <w:rPr>
          <w:color w:val="000000"/>
          <w:sz w:val="28"/>
          <w:szCs w:val="28"/>
        </w:rPr>
      </w:pPr>
      <w:r w:rsidRPr="009F237B">
        <w:rPr>
          <w:color w:val="000000"/>
          <w:sz w:val="28"/>
          <w:szCs w:val="28"/>
        </w:rPr>
        <w:t>Не передбачається вплив будь-яких зовнішніх факторів на дію запропонованого регуляторного акту.</w:t>
      </w:r>
    </w:p>
    <w:p w:rsidR="00337E14" w:rsidRPr="009F237B" w:rsidRDefault="00337E14" w:rsidP="00B04F6D">
      <w:pPr>
        <w:pStyle w:val="21"/>
        <w:ind w:firstLine="709"/>
        <w:jc w:val="both"/>
        <w:rPr>
          <w:b/>
          <w:sz w:val="28"/>
          <w:szCs w:val="28"/>
          <w:lang w:val="uk-UA"/>
        </w:rPr>
      </w:pPr>
    </w:p>
    <w:p w:rsidR="00337E14" w:rsidRPr="009F237B" w:rsidRDefault="009B0828" w:rsidP="00B04F6D">
      <w:pPr>
        <w:pStyle w:val="21"/>
        <w:ind w:firstLine="709"/>
        <w:jc w:val="both"/>
        <w:rPr>
          <w:b/>
          <w:sz w:val="28"/>
          <w:szCs w:val="28"/>
          <w:lang w:val="uk-UA"/>
        </w:rPr>
      </w:pPr>
      <w:r>
        <w:rPr>
          <w:b/>
          <w:sz w:val="28"/>
          <w:szCs w:val="28"/>
        </w:rPr>
        <w:t>VII</w:t>
      </w:r>
      <w:proofErr w:type="gramStart"/>
      <w:r w:rsidR="00337E14" w:rsidRPr="009F237B">
        <w:rPr>
          <w:b/>
          <w:sz w:val="28"/>
          <w:szCs w:val="28"/>
          <w:lang w:val="uk-UA"/>
        </w:rPr>
        <w:t>.  Обґрунтування</w:t>
      </w:r>
      <w:proofErr w:type="gramEnd"/>
      <w:r w:rsidR="00337E14" w:rsidRPr="009F237B">
        <w:rPr>
          <w:b/>
          <w:sz w:val="28"/>
          <w:szCs w:val="28"/>
          <w:lang w:val="uk-UA"/>
        </w:rPr>
        <w:t xml:space="preserve"> запропонованого строку дії регуляторного акту</w:t>
      </w:r>
    </w:p>
    <w:p w:rsidR="00337E14" w:rsidRPr="009F237B" w:rsidRDefault="00337E14" w:rsidP="00B04F6D">
      <w:pPr>
        <w:ind w:firstLine="709"/>
        <w:jc w:val="both"/>
        <w:outlineLvl w:val="0"/>
        <w:rPr>
          <w:sz w:val="28"/>
          <w:szCs w:val="28"/>
          <w:lang w:val="uk-UA"/>
        </w:rPr>
      </w:pPr>
      <w:r w:rsidRPr="009F237B">
        <w:rPr>
          <w:sz w:val="28"/>
          <w:szCs w:val="28"/>
          <w:lang w:val="uk-UA"/>
        </w:rPr>
        <w:t xml:space="preserve">Обмежень строку дії регуляторного </w:t>
      </w:r>
      <w:proofErr w:type="spellStart"/>
      <w:r w:rsidRPr="009F237B">
        <w:rPr>
          <w:sz w:val="28"/>
          <w:szCs w:val="28"/>
          <w:lang w:val="uk-UA"/>
        </w:rPr>
        <w:t>акта</w:t>
      </w:r>
      <w:proofErr w:type="spellEnd"/>
      <w:r w:rsidRPr="009F237B">
        <w:rPr>
          <w:sz w:val="28"/>
          <w:szCs w:val="28"/>
          <w:lang w:val="uk-UA"/>
        </w:rPr>
        <w:t xml:space="preserve"> немає.</w:t>
      </w:r>
    </w:p>
    <w:p w:rsidR="00337E14" w:rsidRPr="009F237B" w:rsidRDefault="00337E14" w:rsidP="00B04F6D">
      <w:pPr>
        <w:pStyle w:val="21"/>
        <w:ind w:firstLine="709"/>
        <w:jc w:val="both"/>
        <w:rPr>
          <w:sz w:val="28"/>
          <w:szCs w:val="28"/>
          <w:lang w:val="uk-UA"/>
        </w:rPr>
      </w:pPr>
    </w:p>
    <w:p w:rsidR="00337E14" w:rsidRPr="009F237B" w:rsidRDefault="009B0828" w:rsidP="00B04F6D">
      <w:pPr>
        <w:pStyle w:val="21"/>
        <w:ind w:firstLine="709"/>
        <w:jc w:val="both"/>
        <w:rPr>
          <w:b/>
          <w:sz w:val="28"/>
          <w:szCs w:val="28"/>
          <w:lang w:val="uk-UA"/>
        </w:rPr>
      </w:pPr>
      <w:r>
        <w:rPr>
          <w:b/>
          <w:sz w:val="28"/>
          <w:szCs w:val="28"/>
        </w:rPr>
        <w:t>VIII</w:t>
      </w:r>
      <w:r w:rsidR="00337E14" w:rsidRPr="009F237B">
        <w:rPr>
          <w:b/>
          <w:sz w:val="28"/>
          <w:szCs w:val="28"/>
          <w:lang w:val="uk-UA"/>
        </w:rPr>
        <w:t xml:space="preserve">. Визначення показників </w:t>
      </w:r>
      <w:r w:rsidR="00662AEE" w:rsidRPr="009F237B">
        <w:rPr>
          <w:b/>
          <w:sz w:val="28"/>
          <w:szCs w:val="28"/>
          <w:lang w:val="uk-UA"/>
        </w:rPr>
        <w:t>результативності дії</w:t>
      </w:r>
      <w:r w:rsidR="00337E14" w:rsidRPr="009F237B">
        <w:rPr>
          <w:b/>
          <w:sz w:val="28"/>
          <w:szCs w:val="28"/>
          <w:lang w:val="uk-UA"/>
        </w:rPr>
        <w:t xml:space="preserve"> регуляторного акту</w:t>
      </w:r>
    </w:p>
    <w:p w:rsidR="00337E14" w:rsidRPr="009F237B" w:rsidRDefault="00337E14" w:rsidP="00B04F6D">
      <w:pPr>
        <w:pStyle w:val="21"/>
        <w:ind w:firstLine="709"/>
        <w:jc w:val="both"/>
        <w:rPr>
          <w:sz w:val="28"/>
          <w:szCs w:val="28"/>
          <w:lang w:val="uk-UA"/>
        </w:rPr>
      </w:pPr>
      <w:r w:rsidRPr="009F237B">
        <w:rPr>
          <w:sz w:val="28"/>
          <w:szCs w:val="28"/>
          <w:lang w:val="uk-UA"/>
        </w:rPr>
        <w:t>Показниками результативності регуляторного акту є:</w:t>
      </w:r>
    </w:p>
    <w:p w:rsidR="00337E14" w:rsidRPr="009F237B" w:rsidRDefault="00337E14" w:rsidP="00B04F6D">
      <w:pPr>
        <w:pStyle w:val="21"/>
        <w:ind w:firstLine="709"/>
        <w:jc w:val="both"/>
        <w:rPr>
          <w:color w:val="000000"/>
          <w:sz w:val="28"/>
          <w:szCs w:val="28"/>
          <w:lang w:val="uk-UA"/>
        </w:rPr>
      </w:pPr>
      <w:r w:rsidRPr="009F237B">
        <w:rPr>
          <w:color w:val="000000"/>
          <w:sz w:val="28"/>
          <w:szCs w:val="28"/>
          <w:lang w:val="uk-UA"/>
        </w:rPr>
        <w:t xml:space="preserve">1. Розмір надходжень до державного </w:t>
      </w:r>
      <w:r w:rsidR="002265A4" w:rsidRPr="009F237B">
        <w:rPr>
          <w:color w:val="000000"/>
          <w:sz w:val="28"/>
          <w:szCs w:val="28"/>
          <w:lang w:val="uk-UA"/>
        </w:rPr>
        <w:t>бюджету.</w:t>
      </w:r>
      <w:r w:rsidRPr="009F237B">
        <w:rPr>
          <w:color w:val="000000"/>
          <w:sz w:val="28"/>
          <w:szCs w:val="28"/>
          <w:lang w:val="uk-UA"/>
        </w:rPr>
        <w:t xml:space="preserve"> </w:t>
      </w:r>
    </w:p>
    <w:p w:rsidR="00337E14" w:rsidRPr="009F237B" w:rsidRDefault="00337E14" w:rsidP="00B04F6D">
      <w:pPr>
        <w:pStyle w:val="21"/>
        <w:ind w:firstLine="709"/>
        <w:jc w:val="both"/>
        <w:rPr>
          <w:color w:val="000000"/>
          <w:sz w:val="28"/>
          <w:szCs w:val="28"/>
          <w:lang w:val="uk-UA"/>
        </w:rPr>
      </w:pPr>
      <w:r w:rsidRPr="009F237B">
        <w:rPr>
          <w:color w:val="000000"/>
          <w:sz w:val="28"/>
          <w:szCs w:val="28"/>
          <w:lang w:val="uk-UA"/>
        </w:rPr>
        <w:t>2. Кількість суб</w:t>
      </w:r>
      <w:r w:rsidR="0089017A">
        <w:rPr>
          <w:color w:val="000000"/>
          <w:sz w:val="28"/>
          <w:szCs w:val="28"/>
          <w:lang w:val="uk-UA"/>
        </w:rPr>
        <w:t>’</w:t>
      </w:r>
      <w:r w:rsidRPr="009F237B">
        <w:rPr>
          <w:color w:val="000000"/>
          <w:sz w:val="28"/>
          <w:szCs w:val="28"/>
          <w:lang w:val="uk-UA"/>
        </w:rPr>
        <w:t xml:space="preserve">єктів господарювання та/або фізичних осіб, на яких поширюватиметься дія </w:t>
      </w:r>
      <w:proofErr w:type="spellStart"/>
      <w:r w:rsidRPr="009F237B">
        <w:rPr>
          <w:color w:val="000000"/>
          <w:sz w:val="28"/>
          <w:szCs w:val="28"/>
          <w:lang w:val="uk-UA"/>
        </w:rPr>
        <w:t>акта</w:t>
      </w:r>
      <w:proofErr w:type="spellEnd"/>
      <w:r w:rsidRPr="009F237B">
        <w:rPr>
          <w:color w:val="000000"/>
          <w:sz w:val="28"/>
          <w:szCs w:val="28"/>
          <w:lang w:val="uk-UA"/>
        </w:rPr>
        <w:t xml:space="preserve"> – близько 3</w:t>
      </w:r>
      <w:r w:rsidR="0089017A">
        <w:rPr>
          <w:color w:val="000000"/>
          <w:sz w:val="28"/>
          <w:szCs w:val="28"/>
          <w:lang w:val="uk-UA"/>
        </w:rPr>
        <w:t xml:space="preserve"> </w:t>
      </w:r>
      <w:r w:rsidRPr="009F237B">
        <w:rPr>
          <w:color w:val="000000"/>
          <w:sz w:val="28"/>
          <w:szCs w:val="28"/>
          <w:lang w:val="uk-UA"/>
        </w:rPr>
        <w:t>000.</w:t>
      </w:r>
    </w:p>
    <w:p w:rsidR="0089017A" w:rsidRDefault="00337E14" w:rsidP="00B04F6D">
      <w:pPr>
        <w:pStyle w:val="21"/>
        <w:ind w:firstLine="709"/>
        <w:jc w:val="both"/>
        <w:rPr>
          <w:color w:val="000000"/>
          <w:sz w:val="28"/>
          <w:szCs w:val="28"/>
          <w:lang w:val="uk-UA"/>
        </w:rPr>
      </w:pPr>
      <w:r w:rsidRPr="009F237B">
        <w:rPr>
          <w:color w:val="000000"/>
          <w:sz w:val="28"/>
          <w:szCs w:val="28"/>
          <w:lang w:val="uk-UA"/>
        </w:rPr>
        <w:t>3. Розмір коштів і час, що витрачатимуться суб'єктами господарювання та/або фізичними особами, пов'язаними з виконанням вимог акт</w:t>
      </w:r>
      <w:r w:rsidR="002265A4" w:rsidRPr="009F237B">
        <w:rPr>
          <w:color w:val="000000"/>
          <w:sz w:val="28"/>
          <w:szCs w:val="28"/>
          <w:lang w:val="uk-UA"/>
        </w:rPr>
        <w:t>у</w:t>
      </w:r>
      <w:r w:rsidRPr="009F237B">
        <w:rPr>
          <w:color w:val="000000"/>
          <w:sz w:val="28"/>
          <w:szCs w:val="28"/>
          <w:lang w:val="uk-UA"/>
        </w:rPr>
        <w:t xml:space="preserve"> – не зміниться.</w:t>
      </w:r>
    </w:p>
    <w:p w:rsidR="00337E14" w:rsidRPr="009F237B" w:rsidRDefault="00337E14" w:rsidP="00B04F6D">
      <w:pPr>
        <w:pStyle w:val="21"/>
        <w:ind w:firstLine="709"/>
        <w:jc w:val="both"/>
        <w:rPr>
          <w:color w:val="000000"/>
          <w:sz w:val="28"/>
          <w:szCs w:val="28"/>
          <w:lang w:val="uk-UA"/>
        </w:rPr>
      </w:pPr>
      <w:r w:rsidRPr="009F237B">
        <w:rPr>
          <w:color w:val="000000"/>
          <w:sz w:val="28"/>
          <w:szCs w:val="28"/>
          <w:lang w:val="uk-UA"/>
        </w:rPr>
        <w:t xml:space="preserve">4. Рівень поінформованості суб'єктів господарювання та/або фізичних осіб з основних положень </w:t>
      </w:r>
      <w:proofErr w:type="spellStart"/>
      <w:r w:rsidRPr="009F237B">
        <w:rPr>
          <w:color w:val="000000"/>
          <w:sz w:val="28"/>
          <w:szCs w:val="28"/>
          <w:lang w:val="uk-UA"/>
        </w:rPr>
        <w:t>акта</w:t>
      </w:r>
      <w:proofErr w:type="spellEnd"/>
      <w:r w:rsidRPr="009F237B">
        <w:rPr>
          <w:color w:val="000000"/>
          <w:sz w:val="28"/>
          <w:szCs w:val="28"/>
          <w:lang w:val="uk-UA"/>
        </w:rPr>
        <w:t xml:space="preserve"> є високим. Проект </w:t>
      </w:r>
      <w:r w:rsidR="008C4A84" w:rsidRPr="009F237B">
        <w:rPr>
          <w:color w:val="000000"/>
          <w:sz w:val="28"/>
          <w:szCs w:val="28"/>
          <w:lang w:val="uk-UA"/>
        </w:rPr>
        <w:t xml:space="preserve">наказу </w:t>
      </w:r>
      <w:r w:rsidRPr="009F237B">
        <w:rPr>
          <w:color w:val="000000"/>
          <w:sz w:val="28"/>
          <w:szCs w:val="28"/>
          <w:lang w:val="uk-UA"/>
        </w:rPr>
        <w:t xml:space="preserve"> розміщено на офіційному веб–порталі Міністерства фінансів України в мережі Інтернет.</w:t>
      </w:r>
    </w:p>
    <w:p w:rsidR="0089017A" w:rsidRDefault="00337E14" w:rsidP="00B04F6D">
      <w:pPr>
        <w:pStyle w:val="21"/>
        <w:ind w:firstLine="709"/>
        <w:jc w:val="both"/>
        <w:rPr>
          <w:color w:val="000000"/>
          <w:sz w:val="28"/>
          <w:szCs w:val="28"/>
          <w:lang w:val="uk-UA"/>
        </w:rPr>
      </w:pPr>
      <w:r w:rsidRPr="009F237B">
        <w:rPr>
          <w:color w:val="000000"/>
          <w:sz w:val="28"/>
          <w:szCs w:val="28"/>
          <w:lang w:val="uk-UA"/>
        </w:rPr>
        <w:t>5. Розмір заборгованості</w:t>
      </w:r>
      <w:r w:rsidR="006E0C0F" w:rsidRPr="009F237B">
        <w:rPr>
          <w:color w:val="000000"/>
          <w:sz w:val="28"/>
          <w:szCs w:val="28"/>
          <w:lang w:val="uk-UA"/>
        </w:rPr>
        <w:t xml:space="preserve"> з пільг і  субсидій за спожиті енергоносії та надані житлово-комунальні послуги</w:t>
      </w:r>
      <w:r w:rsidR="00853CA1">
        <w:rPr>
          <w:color w:val="000000"/>
          <w:sz w:val="28"/>
          <w:szCs w:val="28"/>
          <w:lang w:val="uk-UA"/>
        </w:rPr>
        <w:t>.</w:t>
      </w:r>
    </w:p>
    <w:p w:rsidR="002265A4" w:rsidRPr="009F237B" w:rsidRDefault="00337E14" w:rsidP="00B04F6D">
      <w:pPr>
        <w:pStyle w:val="21"/>
        <w:ind w:firstLine="709"/>
        <w:jc w:val="both"/>
        <w:rPr>
          <w:color w:val="000000"/>
          <w:sz w:val="28"/>
          <w:szCs w:val="28"/>
          <w:lang w:val="uk-UA"/>
        </w:rPr>
      </w:pPr>
      <w:r w:rsidRPr="009F237B">
        <w:rPr>
          <w:color w:val="000000"/>
          <w:sz w:val="28"/>
          <w:szCs w:val="28"/>
          <w:lang w:val="uk-UA"/>
        </w:rPr>
        <w:t>6. Розмір фактично виплачених субсидій</w:t>
      </w:r>
      <w:r w:rsidR="006E0C0F" w:rsidRPr="009F237B">
        <w:rPr>
          <w:color w:val="000000"/>
          <w:sz w:val="28"/>
          <w:szCs w:val="28"/>
          <w:lang w:val="uk-UA"/>
        </w:rPr>
        <w:t xml:space="preserve"> постачальникам  енергоносіїв та житлово-комунальних послуг</w:t>
      </w:r>
      <w:r w:rsidR="00853CA1">
        <w:rPr>
          <w:color w:val="000000"/>
          <w:sz w:val="28"/>
          <w:szCs w:val="28"/>
          <w:lang w:val="uk-UA"/>
        </w:rPr>
        <w:t>.</w:t>
      </w:r>
    </w:p>
    <w:p w:rsidR="002265A4" w:rsidRPr="009F237B" w:rsidRDefault="002265A4" w:rsidP="00B04F6D">
      <w:pPr>
        <w:pStyle w:val="21"/>
        <w:ind w:firstLine="709"/>
        <w:jc w:val="both"/>
        <w:rPr>
          <w:color w:val="000000"/>
          <w:sz w:val="28"/>
          <w:szCs w:val="28"/>
          <w:lang w:val="uk-UA"/>
        </w:rPr>
      </w:pPr>
    </w:p>
    <w:p w:rsidR="00337E14" w:rsidRPr="009F237B" w:rsidRDefault="009B0828" w:rsidP="00B04F6D">
      <w:pPr>
        <w:pStyle w:val="21"/>
        <w:ind w:firstLine="709"/>
        <w:jc w:val="both"/>
        <w:rPr>
          <w:b/>
          <w:color w:val="000000"/>
          <w:sz w:val="28"/>
          <w:szCs w:val="28"/>
          <w:lang w:val="uk-UA"/>
        </w:rPr>
      </w:pPr>
      <w:r>
        <w:rPr>
          <w:b/>
          <w:color w:val="000000"/>
          <w:sz w:val="28"/>
          <w:szCs w:val="28"/>
        </w:rPr>
        <w:t>IX</w:t>
      </w:r>
      <w:r>
        <w:rPr>
          <w:b/>
          <w:color w:val="000000"/>
          <w:sz w:val="28"/>
          <w:szCs w:val="28"/>
          <w:lang w:val="uk-UA"/>
        </w:rPr>
        <w:t xml:space="preserve">. </w:t>
      </w:r>
      <w:r w:rsidR="00337E14" w:rsidRPr="009F237B">
        <w:rPr>
          <w:b/>
          <w:color w:val="000000"/>
          <w:sz w:val="28"/>
          <w:szCs w:val="28"/>
          <w:lang w:val="uk-UA"/>
        </w:rPr>
        <w:t>Визначення з</w:t>
      </w:r>
      <w:r w:rsidR="00337E14" w:rsidRPr="009F237B">
        <w:rPr>
          <w:b/>
          <w:sz w:val="28"/>
          <w:szCs w:val="28"/>
          <w:lang w:val="uk-UA"/>
        </w:rPr>
        <w:t>аходів, за допомогою яких буде здійснюватися відстеження результатів</w:t>
      </w:r>
    </w:p>
    <w:p w:rsidR="00337E14" w:rsidRPr="009F237B" w:rsidRDefault="00337E14" w:rsidP="00B04F6D">
      <w:pPr>
        <w:pStyle w:val="21"/>
        <w:ind w:firstLine="709"/>
        <w:jc w:val="both"/>
        <w:rPr>
          <w:color w:val="000000"/>
          <w:sz w:val="28"/>
          <w:szCs w:val="28"/>
          <w:lang w:val="uk-UA"/>
        </w:rPr>
      </w:pPr>
      <w:r w:rsidRPr="009F237B">
        <w:rPr>
          <w:color w:val="000000"/>
          <w:sz w:val="28"/>
          <w:szCs w:val="28"/>
          <w:lang w:val="uk-UA"/>
        </w:rPr>
        <w:t xml:space="preserve">У разі прийняття проекту </w:t>
      </w:r>
      <w:r w:rsidR="008C4A84" w:rsidRPr="009F237B">
        <w:rPr>
          <w:color w:val="000000"/>
          <w:sz w:val="28"/>
          <w:szCs w:val="28"/>
          <w:lang w:val="uk-UA"/>
        </w:rPr>
        <w:t xml:space="preserve">наказу </w:t>
      </w:r>
      <w:r w:rsidRPr="009F237B">
        <w:rPr>
          <w:color w:val="000000"/>
          <w:sz w:val="28"/>
          <w:szCs w:val="28"/>
          <w:lang w:val="uk-UA"/>
        </w:rPr>
        <w:t>послідовно здійснюватимуться базове, повторне та періодичне відстеження його результативності згідно зі статтею 10 Закону України від 11 вересня 2003 року № 1160-IV «Про засади державної регуляторної політики у сфері господарської діяльності» та Методикою відстеження результативності регуляторного акту, затвердженою постановою Кабінету Міністрів України від</w:t>
      </w:r>
      <w:r w:rsidR="005C3B2B">
        <w:rPr>
          <w:color w:val="000000"/>
          <w:sz w:val="28"/>
          <w:szCs w:val="28"/>
          <w:lang w:val="uk-UA"/>
        </w:rPr>
        <w:t xml:space="preserve"> </w:t>
      </w:r>
      <w:r w:rsidRPr="009F237B">
        <w:rPr>
          <w:color w:val="000000"/>
          <w:sz w:val="28"/>
          <w:szCs w:val="28"/>
          <w:lang w:val="uk-UA"/>
        </w:rPr>
        <w:t>11 березня 2004 року № 308.</w:t>
      </w:r>
    </w:p>
    <w:p w:rsidR="005C3B2B" w:rsidRDefault="00337E14" w:rsidP="00B04F6D">
      <w:pPr>
        <w:ind w:firstLine="709"/>
        <w:jc w:val="both"/>
        <w:rPr>
          <w:sz w:val="28"/>
          <w:szCs w:val="28"/>
          <w:lang w:val="uk-UA"/>
        </w:rPr>
      </w:pPr>
      <w:r w:rsidRPr="009F237B">
        <w:rPr>
          <w:sz w:val="28"/>
          <w:szCs w:val="28"/>
          <w:lang w:val="uk-UA"/>
        </w:rPr>
        <w:t>Базове відстеження результативності зазначеного регуляторного акту буде проводитися через рік після набуття чинності регуляторним актом шляхом аналізу інформації, що буде надаватися Державною казначейською службою.</w:t>
      </w:r>
    </w:p>
    <w:p w:rsidR="00337E14" w:rsidRPr="009F237B" w:rsidRDefault="00337E14" w:rsidP="00B04F6D">
      <w:pPr>
        <w:ind w:firstLine="709"/>
        <w:jc w:val="both"/>
        <w:rPr>
          <w:sz w:val="28"/>
          <w:szCs w:val="28"/>
          <w:lang w:val="uk-UA"/>
        </w:rPr>
      </w:pPr>
      <w:r w:rsidRPr="009F237B">
        <w:rPr>
          <w:sz w:val="28"/>
          <w:szCs w:val="28"/>
          <w:lang w:val="uk-UA"/>
        </w:rPr>
        <w:t>Повторне відстеження результативності регуляторного акту проводиться через два роки після набрання чинності регуляторного акту шляхом аналізу інформації Державної казначейської служби</w:t>
      </w:r>
      <w:r w:rsidR="00ED244C">
        <w:rPr>
          <w:sz w:val="28"/>
          <w:szCs w:val="28"/>
          <w:lang w:val="uk-UA"/>
        </w:rPr>
        <w:t>.</w:t>
      </w:r>
    </w:p>
    <w:p w:rsidR="00337E14" w:rsidRPr="009F237B" w:rsidRDefault="00337E14" w:rsidP="00B04F6D">
      <w:pPr>
        <w:ind w:firstLine="709"/>
        <w:jc w:val="both"/>
        <w:rPr>
          <w:sz w:val="28"/>
          <w:szCs w:val="28"/>
          <w:lang w:val="uk-UA"/>
        </w:rPr>
      </w:pPr>
      <w:r w:rsidRPr="009F237B">
        <w:rPr>
          <w:sz w:val="28"/>
          <w:szCs w:val="28"/>
          <w:lang w:val="uk-UA"/>
        </w:rPr>
        <w:t xml:space="preserve">Періодичне відстеження результативності регуляторного акту буде проводитись один раз на три роки після проведення заходів повторного відстеження регуляторного </w:t>
      </w:r>
      <w:proofErr w:type="spellStart"/>
      <w:r w:rsidRPr="009F237B">
        <w:rPr>
          <w:sz w:val="28"/>
          <w:szCs w:val="28"/>
          <w:lang w:val="uk-UA"/>
        </w:rPr>
        <w:t>акта</w:t>
      </w:r>
      <w:proofErr w:type="spellEnd"/>
      <w:r w:rsidRPr="009F237B">
        <w:rPr>
          <w:sz w:val="28"/>
          <w:szCs w:val="28"/>
          <w:lang w:val="uk-UA"/>
        </w:rPr>
        <w:t xml:space="preserve"> шляхом аналізу даних Державної казначейської служби.</w:t>
      </w:r>
    </w:p>
    <w:p w:rsidR="00337E14" w:rsidRDefault="00337E14" w:rsidP="00B04F6D">
      <w:pPr>
        <w:ind w:firstLine="709"/>
        <w:jc w:val="both"/>
        <w:rPr>
          <w:sz w:val="28"/>
          <w:szCs w:val="28"/>
          <w:lang w:val="uk-UA"/>
        </w:rPr>
      </w:pPr>
    </w:p>
    <w:p w:rsidR="0089017A" w:rsidRDefault="0089017A" w:rsidP="00B04F6D">
      <w:pPr>
        <w:ind w:firstLine="709"/>
        <w:jc w:val="both"/>
        <w:rPr>
          <w:sz w:val="28"/>
          <w:szCs w:val="28"/>
          <w:lang w:val="uk-UA"/>
        </w:rPr>
      </w:pPr>
    </w:p>
    <w:p w:rsidR="005C3B2B" w:rsidRPr="009F237B" w:rsidRDefault="005C3B2B" w:rsidP="00B04F6D">
      <w:pPr>
        <w:ind w:firstLine="709"/>
        <w:jc w:val="both"/>
        <w:rPr>
          <w:sz w:val="28"/>
          <w:szCs w:val="28"/>
          <w:lang w:val="uk-UA"/>
        </w:rPr>
      </w:pPr>
    </w:p>
    <w:p w:rsidR="0089017A" w:rsidRDefault="0089017A" w:rsidP="0089017A">
      <w:pPr>
        <w:jc w:val="both"/>
        <w:rPr>
          <w:b/>
          <w:sz w:val="28"/>
          <w:szCs w:val="28"/>
          <w:lang w:val="uk-UA"/>
        </w:rPr>
      </w:pPr>
      <w:r w:rsidRPr="00756CEA">
        <w:rPr>
          <w:b/>
          <w:sz w:val="28"/>
          <w:szCs w:val="28"/>
          <w:lang w:val="uk-UA"/>
        </w:rPr>
        <w:t>Заступник Міністра</w:t>
      </w:r>
    </w:p>
    <w:p w:rsidR="0089017A" w:rsidRPr="00756CEA" w:rsidRDefault="0089017A" w:rsidP="0089017A">
      <w:pPr>
        <w:jc w:val="both"/>
        <w:rPr>
          <w:sz w:val="28"/>
          <w:szCs w:val="28"/>
          <w:lang w:val="uk-UA"/>
        </w:rPr>
      </w:pPr>
      <w:r>
        <w:rPr>
          <w:b/>
          <w:sz w:val="28"/>
          <w:szCs w:val="28"/>
          <w:lang w:val="uk-UA"/>
        </w:rPr>
        <w:t xml:space="preserve">фінансів України  </w:t>
      </w:r>
      <w:r w:rsidRPr="00756CEA">
        <w:rPr>
          <w:b/>
          <w:sz w:val="28"/>
          <w:szCs w:val="28"/>
          <w:lang w:val="uk-UA"/>
        </w:rPr>
        <w:t xml:space="preserve">                                                                        С. МАРЧЕНКО</w:t>
      </w:r>
    </w:p>
    <w:p w:rsidR="00EF336C" w:rsidRDefault="00EF336C" w:rsidP="00EF336C">
      <w:pPr>
        <w:jc w:val="both"/>
        <w:rPr>
          <w:b/>
          <w:sz w:val="28"/>
          <w:szCs w:val="28"/>
          <w:lang w:val="uk-UA"/>
        </w:rPr>
      </w:pPr>
    </w:p>
    <w:p w:rsidR="00337E14" w:rsidRPr="009F237B" w:rsidRDefault="00337E14" w:rsidP="00B04F6D">
      <w:pPr>
        <w:pStyle w:val="23"/>
        <w:spacing w:after="0" w:line="240" w:lineRule="auto"/>
        <w:ind w:left="0" w:firstLine="709"/>
        <w:jc w:val="both"/>
        <w:rPr>
          <w:b/>
          <w:bCs/>
          <w:color w:val="000000"/>
          <w:spacing w:val="-2"/>
          <w:sz w:val="28"/>
          <w:szCs w:val="28"/>
          <w:lang w:val="uk-UA"/>
        </w:rPr>
      </w:pPr>
    </w:p>
    <w:p w:rsidR="00337E14" w:rsidRPr="009F237B" w:rsidRDefault="00337E14" w:rsidP="0089017A">
      <w:pPr>
        <w:rPr>
          <w:color w:val="000000"/>
          <w:sz w:val="28"/>
          <w:szCs w:val="28"/>
          <w:lang w:val="uk-UA"/>
        </w:rPr>
      </w:pPr>
      <w:r w:rsidRPr="009F237B">
        <w:rPr>
          <w:color w:val="000000"/>
          <w:sz w:val="28"/>
          <w:szCs w:val="28"/>
          <w:lang w:val="uk-UA"/>
        </w:rPr>
        <w:t xml:space="preserve">«____» </w:t>
      </w:r>
      <w:r w:rsidR="00B04F6D">
        <w:rPr>
          <w:color w:val="000000"/>
          <w:sz w:val="28"/>
          <w:szCs w:val="28"/>
          <w:lang w:val="uk-UA"/>
        </w:rPr>
        <w:t>березня</w:t>
      </w:r>
      <w:r w:rsidRPr="009F237B">
        <w:rPr>
          <w:color w:val="000000"/>
          <w:sz w:val="28"/>
          <w:szCs w:val="28"/>
          <w:lang w:val="uk-UA"/>
        </w:rPr>
        <w:t xml:space="preserve"> 201</w:t>
      </w:r>
      <w:r w:rsidR="00B04F6D">
        <w:rPr>
          <w:color w:val="000000"/>
          <w:sz w:val="28"/>
          <w:szCs w:val="28"/>
          <w:lang w:val="uk-UA"/>
        </w:rPr>
        <w:t>8</w:t>
      </w:r>
      <w:r w:rsidRPr="009F237B">
        <w:rPr>
          <w:color w:val="000000"/>
          <w:sz w:val="28"/>
          <w:szCs w:val="28"/>
          <w:lang w:val="uk-UA"/>
        </w:rPr>
        <w:t xml:space="preserve"> р.</w:t>
      </w:r>
    </w:p>
    <w:p w:rsidR="00337E14" w:rsidRPr="009F237B" w:rsidRDefault="00337E14" w:rsidP="00B04F6D">
      <w:pPr>
        <w:ind w:firstLine="709"/>
        <w:rPr>
          <w:lang w:val="uk-UA"/>
        </w:rPr>
      </w:pPr>
    </w:p>
    <w:sectPr w:rsidR="00337E14" w:rsidRPr="009F237B" w:rsidSect="005C3B2B">
      <w:headerReference w:type="default" r:id="rId9"/>
      <w:pgSz w:w="11906" w:h="16838" w:code="9"/>
      <w:pgMar w:top="1134" w:right="567"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42" w:rsidRDefault="00247142" w:rsidP="007B23E7">
      <w:r>
        <w:separator/>
      </w:r>
    </w:p>
  </w:endnote>
  <w:endnote w:type="continuationSeparator" w:id="0">
    <w:p w:rsidR="00247142" w:rsidRDefault="00247142" w:rsidP="007B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Microsoft YaHe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42" w:rsidRDefault="00247142" w:rsidP="007B23E7">
      <w:r>
        <w:separator/>
      </w:r>
    </w:p>
  </w:footnote>
  <w:footnote w:type="continuationSeparator" w:id="0">
    <w:p w:rsidR="00247142" w:rsidRDefault="00247142" w:rsidP="007B2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240552"/>
      <w:docPartObj>
        <w:docPartGallery w:val="Page Numbers (Top of Page)"/>
        <w:docPartUnique/>
      </w:docPartObj>
    </w:sdtPr>
    <w:sdtEndPr>
      <w:rPr>
        <w:noProof/>
      </w:rPr>
    </w:sdtEndPr>
    <w:sdtContent>
      <w:p w:rsidR="007B23E7" w:rsidRDefault="007B23E7">
        <w:pPr>
          <w:pStyle w:val="aa"/>
          <w:jc w:val="center"/>
        </w:pPr>
        <w:r>
          <w:fldChar w:fldCharType="begin"/>
        </w:r>
        <w:r>
          <w:instrText xml:space="preserve"> PAGE   \* MERGEFORMAT </w:instrText>
        </w:r>
        <w:r>
          <w:fldChar w:fldCharType="separate"/>
        </w:r>
        <w:r w:rsidR="00EA54A8">
          <w:rPr>
            <w:noProof/>
          </w:rPr>
          <w:t>2</w:t>
        </w:r>
        <w:r>
          <w:rPr>
            <w:noProof/>
          </w:rPr>
          <w:fldChar w:fldCharType="end"/>
        </w:r>
      </w:p>
    </w:sdtContent>
  </w:sdt>
  <w:p w:rsidR="007B23E7" w:rsidRDefault="007B23E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8415F32"/>
    <w:multiLevelType w:val="hybridMultilevel"/>
    <w:tmpl w:val="C1E4FB48"/>
    <w:lvl w:ilvl="0" w:tplc="4E6C1D5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50627926"/>
    <w:multiLevelType w:val="hybridMultilevel"/>
    <w:tmpl w:val="60C6021C"/>
    <w:lvl w:ilvl="0" w:tplc="77207DD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7DE2814"/>
    <w:multiLevelType w:val="hybridMultilevel"/>
    <w:tmpl w:val="8C9E270A"/>
    <w:lvl w:ilvl="0" w:tplc="2612098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711050A3"/>
    <w:multiLevelType w:val="hybridMultilevel"/>
    <w:tmpl w:val="56B84820"/>
    <w:lvl w:ilvl="0" w:tplc="7CD0C154">
      <w:start w:val="2"/>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AB"/>
    <w:rsid w:val="000236AB"/>
    <w:rsid w:val="00040F03"/>
    <w:rsid w:val="00045542"/>
    <w:rsid w:val="00047CE0"/>
    <w:rsid w:val="00067D5D"/>
    <w:rsid w:val="00073F51"/>
    <w:rsid w:val="000879C1"/>
    <w:rsid w:val="000D275E"/>
    <w:rsid w:val="000F0BEB"/>
    <w:rsid w:val="00122977"/>
    <w:rsid w:val="00141382"/>
    <w:rsid w:val="00154992"/>
    <w:rsid w:val="00187FBA"/>
    <w:rsid w:val="001A7E39"/>
    <w:rsid w:val="0020610F"/>
    <w:rsid w:val="00207913"/>
    <w:rsid w:val="002253F4"/>
    <w:rsid w:val="002265A4"/>
    <w:rsid w:val="002448DB"/>
    <w:rsid w:val="00247142"/>
    <w:rsid w:val="002678E5"/>
    <w:rsid w:val="002B5E6B"/>
    <w:rsid w:val="002D4188"/>
    <w:rsid w:val="00337C6B"/>
    <w:rsid w:val="00337E14"/>
    <w:rsid w:val="0038780E"/>
    <w:rsid w:val="003A7281"/>
    <w:rsid w:val="003D5170"/>
    <w:rsid w:val="00462564"/>
    <w:rsid w:val="00465EFB"/>
    <w:rsid w:val="004C43A5"/>
    <w:rsid w:val="00514B4C"/>
    <w:rsid w:val="00521EDE"/>
    <w:rsid w:val="00525B1E"/>
    <w:rsid w:val="005604DC"/>
    <w:rsid w:val="005852BA"/>
    <w:rsid w:val="00593FCC"/>
    <w:rsid w:val="005A2E01"/>
    <w:rsid w:val="005C3B2B"/>
    <w:rsid w:val="005C56DB"/>
    <w:rsid w:val="005C7584"/>
    <w:rsid w:val="005F0650"/>
    <w:rsid w:val="005F458E"/>
    <w:rsid w:val="00607B16"/>
    <w:rsid w:val="006217F4"/>
    <w:rsid w:val="006514CD"/>
    <w:rsid w:val="00662AEE"/>
    <w:rsid w:val="006703D4"/>
    <w:rsid w:val="006E0C0F"/>
    <w:rsid w:val="00713DDE"/>
    <w:rsid w:val="007579C2"/>
    <w:rsid w:val="00781C0F"/>
    <w:rsid w:val="007A0D38"/>
    <w:rsid w:val="007B23E7"/>
    <w:rsid w:val="007D16EA"/>
    <w:rsid w:val="007F5A3E"/>
    <w:rsid w:val="0081091B"/>
    <w:rsid w:val="00824E9F"/>
    <w:rsid w:val="00832B50"/>
    <w:rsid w:val="0083548C"/>
    <w:rsid w:val="00853CA1"/>
    <w:rsid w:val="008826DA"/>
    <w:rsid w:val="0089017A"/>
    <w:rsid w:val="008A5526"/>
    <w:rsid w:val="008A7149"/>
    <w:rsid w:val="008C4A84"/>
    <w:rsid w:val="008E0122"/>
    <w:rsid w:val="00936069"/>
    <w:rsid w:val="00943FBD"/>
    <w:rsid w:val="00973565"/>
    <w:rsid w:val="009874CD"/>
    <w:rsid w:val="009948A0"/>
    <w:rsid w:val="009A6C54"/>
    <w:rsid w:val="009B0828"/>
    <w:rsid w:val="009E2EDF"/>
    <w:rsid w:val="009E3D31"/>
    <w:rsid w:val="009F237B"/>
    <w:rsid w:val="00A11BD3"/>
    <w:rsid w:val="00A36E10"/>
    <w:rsid w:val="00A63779"/>
    <w:rsid w:val="00A66F04"/>
    <w:rsid w:val="00A77521"/>
    <w:rsid w:val="00AA70EF"/>
    <w:rsid w:val="00AB0EA3"/>
    <w:rsid w:val="00AC3E0D"/>
    <w:rsid w:val="00B04F6D"/>
    <w:rsid w:val="00B435E9"/>
    <w:rsid w:val="00B816C0"/>
    <w:rsid w:val="00B87389"/>
    <w:rsid w:val="00BB0875"/>
    <w:rsid w:val="00BC7FE1"/>
    <w:rsid w:val="00C05788"/>
    <w:rsid w:val="00C15C4A"/>
    <w:rsid w:val="00C374D4"/>
    <w:rsid w:val="00CA4D5C"/>
    <w:rsid w:val="00CD205D"/>
    <w:rsid w:val="00CF66F3"/>
    <w:rsid w:val="00D971A3"/>
    <w:rsid w:val="00DB034A"/>
    <w:rsid w:val="00DE7156"/>
    <w:rsid w:val="00DF3DC9"/>
    <w:rsid w:val="00E3006B"/>
    <w:rsid w:val="00EA54A8"/>
    <w:rsid w:val="00EB30B7"/>
    <w:rsid w:val="00EC12C2"/>
    <w:rsid w:val="00ED244C"/>
    <w:rsid w:val="00EF336C"/>
    <w:rsid w:val="00EF5D19"/>
    <w:rsid w:val="00F26393"/>
    <w:rsid w:val="00F3326E"/>
    <w:rsid w:val="00F93F59"/>
    <w:rsid w:val="00FC12DC"/>
    <w:rsid w:val="00FE6C6D"/>
    <w:rsid w:val="00FE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6AB"/>
    <w:rPr>
      <w:rFonts w:ascii="Times New Roman" w:eastAsia="Times New Roman" w:hAnsi="Times New Roman"/>
      <w:sz w:val="20"/>
      <w:szCs w:val="20"/>
      <w:lang w:val="ru-RU" w:eastAsia="ru-RU"/>
    </w:rPr>
  </w:style>
  <w:style w:type="paragraph" w:styleId="2">
    <w:name w:val="heading 2"/>
    <w:basedOn w:val="a"/>
    <w:next w:val="a"/>
    <w:link w:val="20"/>
    <w:uiPriority w:val="99"/>
    <w:qFormat/>
    <w:rsid w:val="000236AB"/>
    <w:pPr>
      <w:keepNext/>
      <w:jc w:val="center"/>
      <w:outlineLvl w:val="1"/>
    </w:pPr>
    <w:rPr>
      <w:rFonts w:ascii="Cambria" w:hAnsi="Cambria"/>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236AB"/>
    <w:rPr>
      <w:rFonts w:ascii="Cambria" w:hAnsi="Cambria" w:cs="Times New Roman"/>
      <w:b/>
      <w:bCs/>
      <w:i/>
      <w:iCs/>
      <w:sz w:val="28"/>
      <w:szCs w:val="28"/>
    </w:rPr>
  </w:style>
  <w:style w:type="paragraph" w:styleId="a3">
    <w:name w:val="Normal (Web)"/>
    <w:basedOn w:val="a"/>
    <w:uiPriority w:val="99"/>
    <w:rsid w:val="000236AB"/>
    <w:pPr>
      <w:spacing w:before="100" w:beforeAutospacing="1" w:after="100" w:afterAutospacing="1"/>
    </w:pPr>
    <w:rPr>
      <w:sz w:val="24"/>
      <w:szCs w:val="24"/>
    </w:rPr>
  </w:style>
  <w:style w:type="paragraph" w:styleId="a4">
    <w:name w:val="caption"/>
    <w:basedOn w:val="a"/>
    <w:next w:val="a"/>
    <w:uiPriority w:val="99"/>
    <w:qFormat/>
    <w:rsid w:val="000236AB"/>
    <w:pPr>
      <w:spacing w:line="360" w:lineRule="exact"/>
      <w:ind w:firstLine="754"/>
      <w:jc w:val="both"/>
    </w:pPr>
    <w:rPr>
      <w:color w:val="000080"/>
      <w:sz w:val="26"/>
      <w:szCs w:val="26"/>
      <w:lang w:val="uk-UA"/>
    </w:rPr>
  </w:style>
  <w:style w:type="paragraph" w:styleId="21">
    <w:name w:val="Body Text 2"/>
    <w:basedOn w:val="a"/>
    <w:link w:val="22"/>
    <w:uiPriority w:val="99"/>
    <w:rsid w:val="000236AB"/>
    <w:pPr>
      <w:jc w:val="center"/>
    </w:pPr>
    <w:rPr>
      <w:lang w:val="en-US"/>
    </w:rPr>
  </w:style>
  <w:style w:type="character" w:customStyle="1" w:styleId="22">
    <w:name w:val="Основний текст 2 Знак"/>
    <w:basedOn w:val="a0"/>
    <w:link w:val="21"/>
    <w:uiPriority w:val="99"/>
    <w:locked/>
    <w:rsid w:val="000236AB"/>
    <w:rPr>
      <w:rFonts w:ascii="Times New Roman" w:hAnsi="Times New Roman" w:cs="Times New Roman"/>
      <w:sz w:val="20"/>
      <w:szCs w:val="20"/>
    </w:rPr>
  </w:style>
  <w:style w:type="paragraph" w:styleId="23">
    <w:name w:val="Body Text Indent 2"/>
    <w:basedOn w:val="a"/>
    <w:link w:val="24"/>
    <w:uiPriority w:val="99"/>
    <w:semiHidden/>
    <w:rsid w:val="000236AB"/>
    <w:pPr>
      <w:spacing w:after="120" w:line="480" w:lineRule="auto"/>
      <w:ind w:left="283"/>
    </w:pPr>
  </w:style>
  <w:style w:type="character" w:customStyle="1" w:styleId="24">
    <w:name w:val="Основний текст з відступом 2 Знак"/>
    <w:basedOn w:val="a0"/>
    <w:link w:val="23"/>
    <w:uiPriority w:val="99"/>
    <w:semiHidden/>
    <w:locked/>
    <w:rsid w:val="000236AB"/>
    <w:rPr>
      <w:rFonts w:ascii="Times New Roman" w:hAnsi="Times New Roman" w:cs="Times New Roman"/>
      <w:sz w:val="20"/>
      <w:szCs w:val="20"/>
      <w:lang w:val="ru-RU" w:eastAsia="ru-RU"/>
    </w:rPr>
  </w:style>
  <w:style w:type="paragraph" w:customStyle="1" w:styleId="Iniiaieeoaeno">
    <w:name w:val="Iniiaiee oaeno"/>
    <w:uiPriority w:val="99"/>
    <w:rsid w:val="000236AB"/>
    <w:pPr>
      <w:ind w:firstLine="709"/>
      <w:jc w:val="both"/>
    </w:pPr>
    <w:rPr>
      <w:rFonts w:ascii="Times New Roman" w:eastAsia="Times New Roman" w:hAnsi="Times New Roman"/>
      <w:sz w:val="28"/>
      <w:szCs w:val="28"/>
      <w:lang w:val="uk-UA" w:eastAsia="ru-RU"/>
    </w:rPr>
  </w:style>
  <w:style w:type="paragraph" w:customStyle="1" w:styleId="a5">
    <w:name w:val="Стандартний"/>
    <w:basedOn w:val="a"/>
    <w:uiPriority w:val="99"/>
    <w:rsid w:val="000236AB"/>
    <w:pPr>
      <w:spacing w:before="120"/>
      <w:ind w:firstLine="720"/>
      <w:jc w:val="both"/>
    </w:pPr>
    <w:rPr>
      <w:color w:val="0000FF"/>
      <w:sz w:val="28"/>
      <w:szCs w:val="28"/>
      <w:lang w:val="uk-UA"/>
    </w:rPr>
  </w:style>
  <w:style w:type="paragraph" w:styleId="a6">
    <w:name w:val="Balloon Text"/>
    <w:basedOn w:val="a"/>
    <w:link w:val="a7"/>
    <w:uiPriority w:val="99"/>
    <w:semiHidden/>
    <w:rsid w:val="00FE6C6D"/>
    <w:rPr>
      <w:rFonts w:ascii="Tahoma" w:hAnsi="Tahoma" w:cs="Tahoma"/>
      <w:sz w:val="16"/>
      <w:szCs w:val="16"/>
    </w:rPr>
  </w:style>
  <w:style w:type="character" w:customStyle="1" w:styleId="a7">
    <w:name w:val="Текст у виносці Знак"/>
    <w:basedOn w:val="a0"/>
    <w:link w:val="a6"/>
    <w:uiPriority w:val="99"/>
    <w:semiHidden/>
    <w:locked/>
    <w:rsid w:val="00FE6C6D"/>
    <w:rPr>
      <w:rFonts w:ascii="Tahoma" w:hAnsi="Tahoma" w:cs="Tahoma"/>
      <w:sz w:val="16"/>
      <w:szCs w:val="16"/>
      <w:lang w:val="ru-RU" w:eastAsia="ru-RU"/>
    </w:rPr>
  </w:style>
  <w:style w:type="paragraph" w:styleId="a8">
    <w:name w:val="List Paragraph"/>
    <w:basedOn w:val="a"/>
    <w:uiPriority w:val="99"/>
    <w:qFormat/>
    <w:rsid w:val="000F0BEB"/>
    <w:pPr>
      <w:ind w:left="720"/>
      <w:contextualSpacing/>
    </w:pPr>
  </w:style>
  <w:style w:type="table" w:styleId="a9">
    <w:name w:val="Table Grid"/>
    <w:basedOn w:val="a1"/>
    <w:uiPriority w:val="99"/>
    <w:rsid w:val="009A6C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B23E7"/>
    <w:pPr>
      <w:tabs>
        <w:tab w:val="center" w:pos="4819"/>
        <w:tab w:val="right" w:pos="9639"/>
      </w:tabs>
    </w:pPr>
  </w:style>
  <w:style w:type="character" w:customStyle="1" w:styleId="ab">
    <w:name w:val="Верхній колонтитул Знак"/>
    <w:basedOn w:val="a0"/>
    <w:link w:val="aa"/>
    <w:uiPriority w:val="99"/>
    <w:rsid w:val="007B23E7"/>
    <w:rPr>
      <w:rFonts w:ascii="Times New Roman" w:eastAsia="Times New Roman" w:hAnsi="Times New Roman"/>
      <w:sz w:val="20"/>
      <w:szCs w:val="20"/>
      <w:lang w:val="ru-RU" w:eastAsia="ru-RU"/>
    </w:rPr>
  </w:style>
  <w:style w:type="paragraph" w:styleId="ac">
    <w:name w:val="footer"/>
    <w:basedOn w:val="a"/>
    <w:link w:val="ad"/>
    <w:uiPriority w:val="99"/>
    <w:unhideWhenUsed/>
    <w:rsid w:val="007B23E7"/>
    <w:pPr>
      <w:tabs>
        <w:tab w:val="center" w:pos="4819"/>
        <w:tab w:val="right" w:pos="9639"/>
      </w:tabs>
    </w:pPr>
  </w:style>
  <w:style w:type="character" w:customStyle="1" w:styleId="ad">
    <w:name w:val="Нижній колонтитул Знак"/>
    <w:basedOn w:val="a0"/>
    <w:link w:val="ac"/>
    <w:uiPriority w:val="99"/>
    <w:rsid w:val="007B23E7"/>
    <w:rPr>
      <w:rFonts w:ascii="Times New Roman" w:eastAsia="Times New Roman" w:hAnsi="Times New Roman"/>
      <w:sz w:val="20"/>
      <w:szCs w:val="20"/>
      <w:lang w:val="ru-RU" w:eastAsia="ru-RU"/>
    </w:rPr>
  </w:style>
  <w:style w:type="paragraph" w:customStyle="1" w:styleId="ae">
    <w:name w:val="Назва документа"/>
    <w:basedOn w:val="a"/>
    <w:next w:val="a"/>
    <w:rsid w:val="002B5E6B"/>
    <w:pPr>
      <w:keepNext/>
      <w:keepLines/>
      <w:spacing w:before="240" w:after="240"/>
      <w:jc w:val="center"/>
    </w:pPr>
    <w:rPr>
      <w:rFonts w:ascii="Antiqua" w:hAnsi="Antiqua"/>
      <w:b/>
      <w:sz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6AB"/>
    <w:rPr>
      <w:rFonts w:ascii="Times New Roman" w:eastAsia="Times New Roman" w:hAnsi="Times New Roman"/>
      <w:sz w:val="20"/>
      <w:szCs w:val="20"/>
      <w:lang w:val="ru-RU" w:eastAsia="ru-RU"/>
    </w:rPr>
  </w:style>
  <w:style w:type="paragraph" w:styleId="2">
    <w:name w:val="heading 2"/>
    <w:basedOn w:val="a"/>
    <w:next w:val="a"/>
    <w:link w:val="20"/>
    <w:uiPriority w:val="99"/>
    <w:qFormat/>
    <w:rsid w:val="000236AB"/>
    <w:pPr>
      <w:keepNext/>
      <w:jc w:val="center"/>
      <w:outlineLvl w:val="1"/>
    </w:pPr>
    <w:rPr>
      <w:rFonts w:ascii="Cambria" w:hAnsi="Cambria"/>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236AB"/>
    <w:rPr>
      <w:rFonts w:ascii="Cambria" w:hAnsi="Cambria" w:cs="Times New Roman"/>
      <w:b/>
      <w:bCs/>
      <w:i/>
      <w:iCs/>
      <w:sz w:val="28"/>
      <w:szCs w:val="28"/>
    </w:rPr>
  </w:style>
  <w:style w:type="paragraph" w:styleId="a3">
    <w:name w:val="Normal (Web)"/>
    <w:basedOn w:val="a"/>
    <w:uiPriority w:val="99"/>
    <w:rsid w:val="000236AB"/>
    <w:pPr>
      <w:spacing w:before="100" w:beforeAutospacing="1" w:after="100" w:afterAutospacing="1"/>
    </w:pPr>
    <w:rPr>
      <w:sz w:val="24"/>
      <w:szCs w:val="24"/>
    </w:rPr>
  </w:style>
  <w:style w:type="paragraph" w:styleId="a4">
    <w:name w:val="caption"/>
    <w:basedOn w:val="a"/>
    <w:next w:val="a"/>
    <w:uiPriority w:val="99"/>
    <w:qFormat/>
    <w:rsid w:val="000236AB"/>
    <w:pPr>
      <w:spacing w:line="360" w:lineRule="exact"/>
      <w:ind w:firstLine="754"/>
      <w:jc w:val="both"/>
    </w:pPr>
    <w:rPr>
      <w:color w:val="000080"/>
      <w:sz w:val="26"/>
      <w:szCs w:val="26"/>
      <w:lang w:val="uk-UA"/>
    </w:rPr>
  </w:style>
  <w:style w:type="paragraph" w:styleId="21">
    <w:name w:val="Body Text 2"/>
    <w:basedOn w:val="a"/>
    <w:link w:val="22"/>
    <w:uiPriority w:val="99"/>
    <w:rsid w:val="000236AB"/>
    <w:pPr>
      <w:jc w:val="center"/>
    </w:pPr>
    <w:rPr>
      <w:lang w:val="en-US"/>
    </w:rPr>
  </w:style>
  <w:style w:type="character" w:customStyle="1" w:styleId="22">
    <w:name w:val="Основний текст 2 Знак"/>
    <w:basedOn w:val="a0"/>
    <w:link w:val="21"/>
    <w:uiPriority w:val="99"/>
    <w:locked/>
    <w:rsid w:val="000236AB"/>
    <w:rPr>
      <w:rFonts w:ascii="Times New Roman" w:hAnsi="Times New Roman" w:cs="Times New Roman"/>
      <w:sz w:val="20"/>
      <w:szCs w:val="20"/>
    </w:rPr>
  </w:style>
  <w:style w:type="paragraph" w:styleId="23">
    <w:name w:val="Body Text Indent 2"/>
    <w:basedOn w:val="a"/>
    <w:link w:val="24"/>
    <w:uiPriority w:val="99"/>
    <w:semiHidden/>
    <w:rsid w:val="000236AB"/>
    <w:pPr>
      <w:spacing w:after="120" w:line="480" w:lineRule="auto"/>
      <w:ind w:left="283"/>
    </w:pPr>
  </w:style>
  <w:style w:type="character" w:customStyle="1" w:styleId="24">
    <w:name w:val="Основний текст з відступом 2 Знак"/>
    <w:basedOn w:val="a0"/>
    <w:link w:val="23"/>
    <w:uiPriority w:val="99"/>
    <w:semiHidden/>
    <w:locked/>
    <w:rsid w:val="000236AB"/>
    <w:rPr>
      <w:rFonts w:ascii="Times New Roman" w:hAnsi="Times New Roman" w:cs="Times New Roman"/>
      <w:sz w:val="20"/>
      <w:szCs w:val="20"/>
      <w:lang w:val="ru-RU" w:eastAsia="ru-RU"/>
    </w:rPr>
  </w:style>
  <w:style w:type="paragraph" w:customStyle="1" w:styleId="Iniiaieeoaeno">
    <w:name w:val="Iniiaiee oaeno"/>
    <w:uiPriority w:val="99"/>
    <w:rsid w:val="000236AB"/>
    <w:pPr>
      <w:ind w:firstLine="709"/>
      <w:jc w:val="both"/>
    </w:pPr>
    <w:rPr>
      <w:rFonts w:ascii="Times New Roman" w:eastAsia="Times New Roman" w:hAnsi="Times New Roman"/>
      <w:sz w:val="28"/>
      <w:szCs w:val="28"/>
      <w:lang w:val="uk-UA" w:eastAsia="ru-RU"/>
    </w:rPr>
  </w:style>
  <w:style w:type="paragraph" w:customStyle="1" w:styleId="a5">
    <w:name w:val="Стандартний"/>
    <w:basedOn w:val="a"/>
    <w:uiPriority w:val="99"/>
    <w:rsid w:val="000236AB"/>
    <w:pPr>
      <w:spacing w:before="120"/>
      <w:ind w:firstLine="720"/>
      <w:jc w:val="both"/>
    </w:pPr>
    <w:rPr>
      <w:color w:val="0000FF"/>
      <w:sz w:val="28"/>
      <w:szCs w:val="28"/>
      <w:lang w:val="uk-UA"/>
    </w:rPr>
  </w:style>
  <w:style w:type="paragraph" w:styleId="a6">
    <w:name w:val="Balloon Text"/>
    <w:basedOn w:val="a"/>
    <w:link w:val="a7"/>
    <w:uiPriority w:val="99"/>
    <w:semiHidden/>
    <w:rsid w:val="00FE6C6D"/>
    <w:rPr>
      <w:rFonts w:ascii="Tahoma" w:hAnsi="Tahoma" w:cs="Tahoma"/>
      <w:sz w:val="16"/>
      <w:szCs w:val="16"/>
    </w:rPr>
  </w:style>
  <w:style w:type="character" w:customStyle="1" w:styleId="a7">
    <w:name w:val="Текст у виносці Знак"/>
    <w:basedOn w:val="a0"/>
    <w:link w:val="a6"/>
    <w:uiPriority w:val="99"/>
    <w:semiHidden/>
    <w:locked/>
    <w:rsid w:val="00FE6C6D"/>
    <w:rPr>
      <w:rFonts w:ascii="Tahoma" w:hAnsi="Tahoma" w:cs="Tahoma"/>
      <w:sz w:val="16"/>
      <w:szCs w:val="16"/>
      <w:lang w:val="ru-RU" w:eastAsia="ru-RU"/>
    </w:rPr>
  </w:style>
  <w:style w:type="paragraph" w:styleId="a8">
    <w:name w:val="List Paragraph"/>
    <w:basedOn w:val="a"/>
    <w:uiPriority w:val="99"/>
    <w:qFormat/>
    <w:rsid w:val="000F0BEB"/>
    <w:pPr>
      <w:ind w:left="720"/>
      <w:contextualSpacing/>
    </w:pPr>
  </w:style>
  <w:style w:type="table" w:styleId="a9">
    <w:name w:val="Table Grid"/>
    <w:basedOn w:val="a1"/>
    <w:uiPriority w:val="99"/>
    <w:rsid w:val="009A6C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B23E7"/>
    <w:pPr>
      <w:tabs>
        <w:tab w:val="center" w:pos="4819"/>
        <w:tab w:val="right" w:pos="9639"/>
      </w:tabs>
    </w:pPr>
  </w:style>
  <w:style w:type="character" w:customStyle="1" w:styleId="ab">
    <w:name w:val="Верхній колонтитул Знак"/>
    <w:basedOn w:val="a0"/>
    <w:link w:val="aa"/>
    <w:uiPriority w:val="99"/>
    <w:rsid w:val="007B23E7"/>
    <w:rPr>
      <w:rFonts w:ascii="Times New Roman" w:eastAsia="Times New Roman" w:hAnsi="Times New Roman"/>
      <w:sz w:val="20"/>
      <w:szCs w:val="20"/>
      <w:lang w:val="ru-RU" w:eastAsia="ru-RU"/>
    </w:rPr>
  </w:style>
  <w:style w:type="paragraph" w:styleId="ac">
    <w:name w:val="footer"/>
    <w:basedOn w:val="a"/>
    <w:link w:val="ad"/>
    <w:uiPriority w:val="99"/>
    <w:unhideWhenUsed/>
    <w:rsid w:val="007B23E7"/>
    <w:pPr>
      <w:tabs>
        <w:tab w:val="center" w:pos="4819"/>
        <w:tab w:val="right" w:pos="9639"/>
      </w:tabs>
    </w:pPr>
  </w:style>
  <w:style w:type="character" w:customStyle="1" w:styleId="ad">
    <w:name w:val="Нижній колонтитул Знак"/>
    <w:basedOn w:val="a0"/>
    <w:link w:val="ac"/>
    <w:uiPriority w:val="99"/>
    <w:rsid w:val="007B23E7"/>
    <w:rPr>
      <w:rFonts w:ascii="Times New Roman" w:eastAsia="Times New Roman" w:hAnsi="Times New Roman"/>
      <w:sz w:val="20"/>
      <w:szCs w:val="20"/>
      <w:lang w:val="ru-RU" w:eastAsia="ru-RU"/>
    </w:rPr>
  </w:style>
  <w:style w:type="paragraph" w:customStyle="1" w:styleId="ae">
    <w:name w:val="Назва документа"/>
    <w:basedOn w:val="a"/>
    <w:next w:val="a"/>
    <w:rsid w:val="002B5E6B"/>
    <w:pPr>
      <w:keepNext/>
      <w:keepLines/>
      <w:spacing w:before="240" w:after="240"/>
      <w:jc w:val="center"/>
    </w:pPr>
    <w:rPr>
      <w:rFonts w:ascii="Antiqua" w:hAnsi="Antiqua"/>
      <w:b/>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42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DF7F-8499-4E20-87D3-A6A03E76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9307</Words>
  <Characters>5306</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cp:lastPrinted>2017-11-23T12:34:00Z</cp:lastPrinted>
  <dcterms:created xsi:type="dcterms:W3CDTF">2018-03-05T17:05:00Z</dcterms:created>
  <dcterms:modified xsi:type="dcterms:W3CDTF">2018-03-05T17:05:00Z</dcterms:modified>
</cp:coreProperties>
</file>