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7484" w14:textId="77777777" w:rsidR="009E1A6A" w:rsidRPr="002F6E84" w:rsidRDefault="009E1A6A" w:rsidP="009E1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71C3B1" w14:textId="77777777" w:rsidR="000E1891" w:rsidRPr="002F0202" w:rsidRDefault="00B6116E" w:rsidP="00B6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02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</w:t>
      </w:r>
      <w:r w:rsidR="009E1A6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566D520A" w14:textId="4A9DA8FF" w:rsidR="00B6116E" w:rsidRPr="002F0202" w:rsidRDefault="00B6116E" w:rsidP="00B6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0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2F0202">
        <w:rPr>
          <w:rFonts w:ascii="Times New Roman" w:hAnsi="Times New Roman" w:cs="Times New Roman"/>
          <w:b/>
          <w:sz w:val="28"/>
          <w:szCs w:val="28"/>
        </w:rPr>
        <w:t>про</w:t>
      </w:r>
      <w:r w:rsidR="00210498">
        <w:rPr>
          <w:rFonts w:ascii="Times New Roman" w:hAnsi="Times New Roman" w:cs="Times New Roman"/>
          <w:b/>
          <w:sz w:val="28"/>
          <w:szCs w:val="28"/>
        </w:rPr>
        <w:t>є</w:t>
      </w:r>
      <w:r w:rsidRPr="002F0202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2F0202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</w:p>
    <w:p w14:paraId="3AF12379" w14:textId="30B5C949" w:rsidR="00B6116E" w:rsidRPr="002F0202" w:rsidRDefault="00B6116E" w:rsidP="00B6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02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D2220A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C07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20A">
        <w:rPr>
          <w:rFonts w:ascii="Times New Roman" w:hAnsi="Times New Roman" w:cs="Times New Roman"/>
          <w:b/>
          <w:sz w:val="28"/>
          <w:szCs w:val="28"/>
        </w:rPr>
        <w:t>З</w:t>
      </w:r>
      <w:r w:rsidRPr="002F0202">
        <w:rPr>
          <w:rFonts w:ascii="Times New Roman" w:hAnsi="Times New Roman" w:cs="Times New Roman"/>
          <w:b/>
          <w:sz w:val="28"/>
          <w:szCs w:val="28"/>
        </w:rPr>
        <w:t xml:space="preserve">мін до </w:t>
      </w:r>
      <w:r w:rsidR="00D2220A" w:rsidRPr="00D2220A">
        <w:rPr>
          <w:rFonts w:ascii="Times New Roman" w:hAnsi="Times New Roman" w:cs="Times New Roman"/>
          <w:b/>
          <w:sz w:val="28"/>
          <w:szCs w:val="28"/>
        </w:rPr>
        <w:t xml:space="preserve">Національного положення (стандарту) бухгалтерського обліку </w:t>
      </w:r>
      <w:r w:rsidR="00D2220A" w:rsidRPr="00D2220A">
        <w:rPr>
          <w:rFonts w:ascii="Times New Roman" w:hAnsi="Times New Roman" w:cs="Times New Roman"/>
          <w:b/>
          <w:sz w:val="28"/>
          <w:szCs w:val="28"/>
        </w:rPr>
        <w:br/>
        <w:t>в державному секторі 122 «Нематеріальні активи</w:t>
      </w:r>
      <w:r w:rsidR="00C07BAE">
        <w:rPr>
          <w:rFonts w:ascii="Times New Roman" w:hAnsi="Times New Roman" w:cs="Times New Roman"/>
          <w:b/>
          <w:sz w:val="28"/>
          <w:szCs w:val="28"/>
        </w:rPr>
        <w:t>»</w:t>
      </w:r>
    </w:p>
    <w:p w14:paraId="4FEAAAA1" w14:textId="77777777" w:rsidR="00B6116E" w:rsidRPr="002F0202" w:rsidRDefault="00B6116E" w:rsidP="00B6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7372"/>
        <w:gridCol w:w="7796"/>
      </w:tblGrid>
      <w:tr w:rsidR="00905600" w:rsidRPr="0039448F" w14:paraId="59E4A806" w14:textId="77777777" w:rsidTr="00042B75">
        <w:trPr>
          <w:trHeight w:val="365"/>
        </w:trPr>
        <w:tc>
          <w:tcPr>
            <w:tcW w:w="7372" w:type="dxa"/>
          </w:tcPr>
          <w:p w14:paraId="78A0BBE0" w14:textId="77777777" w:rsidR="00905600" w:rsidRPr="0039448F" w:rsidRDefault="00905600" w:rsidP="00B61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 xml:space="preserve">Зміст положення </w:t>
            </w:r>
            <w:proofErr w:type="spellStart"/>
            <w:r w:rsidRPr="0039448F">
              <w:rPr>
                <w:rFonts w:ascii="Times New Roman" w:hAnsi="Times New Roman" w:cs="Times New Roman"/>
                <w:b/>
              </w:rPr>
              <w:t>акта</w:t>
            </w:r>
            <w:proofErr w:type="spellEnd"/>
            <w:r w:rsidRPr="0039448F">
              <w:rPr>
                <w:rFonts w:ascii="Times New Roman" w:hAnsi="Times New Roman" w:cs="Times New Roman"/>
                <w:b/>
              </w:rPr>
              <w:t xml:space="preserve"> законодавства</w:t>
            </w:r>
          </w:p>
        </w:tc>
        <w:tc>
          <w:tcPr>
            <w:tcW w:w="7796" w:type="dxa"/>
          </w:tcPr>
          <w:p w14:paraId="4817F37C" w14:textId="08921D64" w:rsidR="00905600" w:rsidRPr="0039448F" w:rsidRDefault="00905600" w:rsidP="00D32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>Зміст відповідного положення про</w:t>
            </w:r>
            <w:r w:rsidR="00D326A4">
              <w:rPr>
                <w:rFonts w:ascii="Times New Roman" w:hAnsi="Times New Roman" w:cs="Times New Roman"/>
                <w:b/>
              </w:rPr>
              <w:t>є</w:t>
            </w:r>
            <w:bookmarkStart w:id="0" w:name="_GoBack"/>
            <w:bookmarkEnd w:id="0"/>
            <w:r w:rsidRPr="0039448F">
              <w:rPr>
                <w:rFonts w:ascii="Times New Roman" w:hAnsi="Times New Roman" w:cs="Times New Roman"/>
                <w:b/>
              </w:rPr>
              <w:t xml:space="preserve">кту </w:t>
            </w:r>
            <w:proofErr w:type="spellStart"/>
            <w:r w:rsidRPr="0039448F">
              <w:rPr>
                <w:rFonts w:ascii="Times New Roman" w:hAnsi="Times New Roman" w:cs="Times New Roman"/>
                <w:b/>
              </w:rPr>
              <w:t>акта</w:t>
            </w:r>
            <w:proofErr w:type="spellEnd"/>
          </w:p>
        </w:tc>
      </w:tr>
      <w:tr w:rsidR="00905600" w:rsidRPr="0039448F" w14:paraId="3360463B" w14:textId="77777777" w:rsidTr="00042B75">
        <w:trPr>
          <w:trHeight w:val="365"/>
        </w:trPr>
        <w:tc>
          <w:tcPr>
            <w:tcW w:w="15168" w:type="dxa"/>
            <w:gridSpan w:val="2"/>
          </w:tcPr>
          <w:p w14:paraId="26D84B1B" w14:textId="76178782" w:rsidR="00905600" w:rsidRPr="0039448F" w:rsidRDefault="00905600" w:rsidP="00905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>Національне положення (стандарт) бухгалтерського обліку в державному секторі 122 «Нематеріальні активи», затверджене наказом Міністерства фінансів України від 12 жовтня 2010 року № 1202, зареєстроване в Міністерстві юстиції України 01 листопада 2010 року за № 1018/18313</w:t>
            </w:r>
          </w:p>
          <w:p w14:paraId="1B7D5CDD" w14:textId="193CF1B4" w:rsidR="00905600" w:rsidRPr="0039448F" w:rsidRDefault="00905600" w:rsidP="00905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5600" w:rsidRPr="0039448F" w14:paraId="5C08B0EB" w14:textId="77777777" w:rsidTr="00042B75">
        <w:trPr>
          <w:trHeight w:val="395"/>
        </w:trPr>
        <w:tc>
          <w:tcPr>
            <w:tcW w:w="15168" w:type="dxa"/>
            <w:gridSpan w:val="2"/>
          </w:tcPr>
          <w:p w14:paraId="0C195477" w14:textId="6786645D" w:rsidR="00905600" w:rsidRPr="0039448F" w:rsidRDefault="00905600" w:rsidP="0090560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I. Загальні положення</w:t>
            </w:r>
          </w:p>
        </w:tc>
      </w:tr>
      <w:tr w:rsidR="00905600" w:rsidRPr="0039448F" w14:paraId="67AC051C" w14:textId="77777777" w:rsidTr="00042B75">
        <w:trPr>
          <w:trHeight w:val="406"/>
        </w:trPr>
        <w:tc>
          <w:tcPr>
            <w:tcW w:w="7372" w:type="dxa"/>
          </w:tcPr>
          <w:p w14:paraId="3CF625F8" w14:textId="4AD209AC" w:rsidR="00905600" w:rsidRPr="0039448F" w:rsidRDefault="006C651D" w:rsidP="00905600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7796" w:type="dxa"/>
          </w:tcPr>
          <w:p w14:paraId="4A1B6366" w14:textId="0C20E8F5" w:rsidR="00905600" w:rsidRPr="0039448F" w:rsidRDefault="006C651D" w:rsidP="00905600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905600" w:rsidRPr="0039448F" w14:paraId="35743082" w14:textId="77777777" w:rsidTr="00042B75">
        <w:trPr>
          <w:trHeight w:val="305"/>
        </w:trPr>
        <w:tc>
          <w:tcPr>
            <w:tcW w:w="7372" w:type="dxa"/>
          </w:tcPr>
          <w:p w14:paraId="2DF63DB7" w14:textId="77777777" w:rsidR="00905600" w:rsidRPr="0039448F" w:rsidRDefault="00905600" w:rsidP="0090560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3.</w:t>
            </w:r>
          </w:p>
          <w:p w14:paraId="5AAA7038" w14:textId="0999F760" w:rsidR="00905600" w:rsidRPr="0039448F" w:rsidRDefault="001F1729" w:rsidP="0090560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05600" w:rsidRPr="0039448F">
              <w:rPr>
                <w:rFonts w:ascii="Times New Roman" w:hAnsi="Times New Roman" w:cs="Times New Roman"/>
              </w:rPr>
              <w:t>Це Національне положення (стандарт) не поширюється на гудвіл та операції з нематеріальними активами, особливості обліку яких визначаються іншими національними положеннями (стандартами) бухгалтерського обліку в державному секторі.</w:t>
            </w:r>
          </w:p>
        </w:tc>
        <w:tc>
          <w:tcPr>
            <w:tcW w:w="7796" w:type="dxa"/>
          </w:tcPr>
          <w:p w14:paraId="579FECE8" w14:textId="77777777" w:rsidR="00905600" w:rsidRPr="0039448F" w:rsidRDefault="00905600" w:rsidP="0090560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3.</w:t>
            </w:r>
          </w:p>
          <w:p w14:paraId="2D5074F2" w14:textId="36467F3B" w:rsidR="00905600" w:rsidRPr="0039448F" w:rsidRDefault="001F1729" w:rsidP="00C868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05600" w:rsidRPr="0039448F">
              <w:rPr>
                <w:rFonts w:ascii="Times New Roman" w:hAnsi="Times New Roman" w:cs="Times New Roman"/>
              </w:rPr>
              <w:t>Це Національне положення (стандарт) не поширюється на гудвіл</w:t>
            </w:r>
            <w:r w:rsidR="00905600" w:rsidRPr="0039448F">
              <w:rPr>
                <w:rFonts w:ascii="Times New Roman" w:hAnsi="Times New Roman" w:cs="Times New Roman"/>
                <w:b/>
              </w:rPr>
              <w:t>,</w:t>
            </w:r>
            <w:r w:rsidR="00905600" w:rsidRPr="0039448F">
              <w:rPr>
                <w:rFonts w:ascii="Times New Roman" w:hAnsi="Times New Roman" w:cs="Times New Roman"/>
              </w:rPr>
              <w:t xml:space="preserve"> </w:t>
            </w:r>
            <w:r w:rsidR="00905600" w:rsidRPr="0039448F">
              <w:rPr>
                <w:rFonts w:ascii="Times New Roman" w:hAnsi="Times New Roman" w:cs="Times New Roman"/>
                <w:b/>
              </w:rPr>
              <w:t>повноваження і права, надані згідно із законодавством,</w:t>
            </w:r>
            <w:r w:rsidR="00905600" w:rsidRPr="0039448F">
              <w:rPr>
                <w:rFonts w:ascii="Times New Roman" w:hAnsi="Times New Roman" w:cs="Times New Roman"/>
              </w:rPr>
              <w:t xml:space="preserve"> та операції з нематеріальними активами, особливості обліку яких визначаються іншими національними положеннями (стандартами) бухгалтерського обліку в державному секторі.</w:t>
            </w:r>
          </w:p>
        </w:tc>
      </w:tr>
      <w:tr w:rsidR="00905600" w:rsidRPr="0039448F" w14:paraId="2AC010B7" w14:textId="77777777" w:rsidTr="00042B75">
        <w:trPr>
          <w:trHeight w:val="305"/>
        </w:trPr>
        <w:tc>
          <w:tcPr>
            <w:tcW w:w="7372" w:type="dxa"/>
          </w:tcPr>
          <w:p w14:paraId="4575B914" w14:textId="77777777" w:rsidR="00905600" w:rsidRPr="0039448F" w:rsidRDefault="00905600" w:rsidP="00905600">
            <w:pPr>
              <w:widowControl w:val="0"/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4:</w:t>
            </w:r>
          </w:p>
          <w:p w14:paraId="504A038A" w14:textId="395F561E" w:rsidR="00905600" w:rsidRPr="0039448F" w:rsidRDefault="001F1729" w:rsidP="00905600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05600" w:rsidRPr="0039448F">
              <w:rPr>
                <w:rFonts w:ascii="Times New Roman" w:hAnsi="Times New Roman" w:cs="Times New Roman"/>
              </w:rPr>
              <w:t>Терміни, що використовуються в національних положеннях (стандартах) бухгалтерського обліку в державному секторі, мають таке значення:</w:t>
            </w:r>
          </w:p>
        </w:tc>
        <w:tc>
          <w:tcPr>
            <w:tcW w:w="7796" w:type="dxa"/>
          </w:tcPr>
          <w:p w14:paraId="4276A5B7" w14:textId="77777777" w:rsidR="00905600" w:rsidRPr="0039448F" w:rsidRDefault="00905600" w:rsidP="00905600">
            <w:pPr>
              <w:widowControl w:val="0"/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Пункт </w:t>
            </w:r>
            <w:r w:rsidRPr="0039448F">
              <w:rPr>
                <w:rFonts w:ascii="Times New Roman" w:hAnsi="Times New Roman" w:cs="Times New Roman"/>
                <w:strike/>
              </w:rPr>
              <w:t>4</w:t>
            </w:r>
            <w:r w:rsidRPr="0039448F">
              <w:rPr>
                <w:rFonts w:ascii="Times New Roman" w:hAnsi="Times New Roman" w:cs="Times New Roman"/>
              </w:rPr>
              <w:t xml:space="preserve">: </w:t>
            </w:r>
          </w:p>
          <w:p w14:paraId="5CC03C7D" w14:textId="7795D5A7" w:rsidR="00905600" w:rsidRPr="0039448F" w:rsidRDefault="001F1729" w:rsidP="001F172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05600" w:rsidRPr="0039448F">
              <w:rPr>
                <w:rFonts w:ascii="Times New Roman" w:hAnsi="Times New Roman" w:cs="Times New Roman"/>
              </w:rPr>
              <w:t>Терміни, що використовуються в національних положеннях (стандартах) бухгалтерського обліку в державному секторі, мають таке значення:</w:t>
            </w:r>
          </w:p>
        </w:tc>
      </w:tr>
      <w:tr w:rsidR="00905600" w:rsidRPr="0039448F" w14:paraId="2C26AF0C" w14:textId="77777777" w:rsidTr="00042B75">
        <w:trPr>
          <w:trHeight w:val="305"/>
        </w:trPr>
        <w:tc>
          <w:tcPr>
            <w:tcW w:w="7372" w:type="dxa"/>
          </w:tcPr>
          <w:p w14:paraId="254DFE32" w14:textId="21D292D8" w:rsidR="00905600" w:rsidRPr="001F1729" w:rsidRDefault="001F1729" w:rsidP="00905600">
            <w:pPr>
              <w:widowControl w:val="0"/>
              <w:ind w:firstLine="284"/>
              <w:rPr>
                <w:rFonts w:ascii="Times New Roman" w:hAnsi="Times New Roman" w:cs="Times New Roman"/>
                <w:b/>
              </w:rPr>
            </w:pPr>
            <w:r w:rsidRPr="001F1729">
              <w:rPr>
                <w:rFonts w:ascii="Times New Roman" w:hAnsi="Times New Roman" w:cs="Times New Roman"/>
                <w:b/>
              </w:rPr>
              <w:t>В</w:t>
            </w:r>
            <w:r w:rsidR="00905600" w:rsidRPr="001F1729">
              <w:rPr>
                <w:rFonts w:ascii="Times New Roman" w:hAnsi="Times New Roman" w:cs="Times New Roman"/>
                <w:b/>
              </w:rPr>
              <w:t>ідсутнє</w:t>
            </w:r>
          </w:p>
        </w:tc>
        <w:tc>
          <w:tcPr>
            <w:tcW w:w="7796" w:type="dxa"/>
          </w:tcPr>
          <w:p w14:paraId="3C1D831B" w14:textId="3016BC99" w:rsidR="00905600" w:rsidRPr="0039448F" w:rsidRDefault="00905600" w:rsidP="00210498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0498">
              <w:rPr>
                <w:rFonts w:ascii="Times New Roman" w:hAnsi="Times New Roman" w:cs="Times New Roman"/>
                <w:b/>
              </w:rPr>
              <w:t>амортизація</w:t>
            </w:r>
            <w:r w:rsidRPr="0039448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9448F">
              <w:rPr>
                <w:rFonts w:ascii="Times New Roman" w:hAnsi="Times New Roman" w:cs="Times New Roman"/>
                <w:b/>
              </w:rPr>
              <w:t>– систематичний розподіл вартості нематеріального активу, що амортизується, протягом строку його корисного використання;</w:t>
            </w:r>
          </w:p>
        </w:tc>
      </w:tr>
      <w:tr w:rsidR="00905600" w:rsidRPr="0039448F" w14:paraId="1D0EB9A3" w14:textId="77777777" w:rsidTr="00042B75">
        <w:trPr>
          <w:trHeight w:val="305"/>
        </w:trPr>
        <w:tc>
          <w:tcPr>
            <w:tcW w:w="7372" w:type="dxa"/>
          </w:tcPr>
          <w:p w14:paraId="63162484" w14:textId="77777777" w:rsidR="00905600" w:rsidRPr="00210498" w:rsidRDefault="00905600" w:rsidP="0090560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10498">
              <w:rPr>
                <w:rFonts w:ascii="Times New Roman" w:hAnsi="Times New Roman" w:cs="Times New Roman"/>
              </w:rPr>
              <w:t>група нематеріальних активів - сукупність однотипних за призначенням та умовами використання нематеріальних активів;</w:t>
            </w:r>
          </w:p>
        </w:tc>
        <w:tc>
          <w:tcPr>
            <w:tcW w:w="7796" w:type="dxa"/>
          </w:tcPr>
          <w:p w14:paraId="6383CEE4" w14:textId="11FCD15F" w:rsidR="00905600" w:rsidRPr="00210498" w:rsidRDefault="00905600" w:rsidP="0021049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10498">
              <w:rPr>
                <w:rFonts w:ascii="Times New Roman" w:hAnsi="Times New Roman" w:cs="Times New Roman"/>
              </w:rPr>
              <w:t xml:space="preserve">група нематеріальних активів </w:t>
            </w:r>
            <w:r w:rsidR="00210498">
              <w:rPr>
                <w:rFonts w:ascii="Times New Roman" w:hAnsi="Times New Roman" w:cs="Times New Roman"/>
              </w:rPr>
              <w:t>–</w:t>
            </w:r>
            <w:r w:rsidRPr="00210498">
              <w:rPr>
                <w:rFonts w:ascii="Times New Roman" w:hAnsi="Times New Roman" w:cs="Times New Roman"/>
              </w:rPr>
              <w:t xml:space="preserve"> сукупність</w:t>
            </w:r>
            <w:r w:rsidR="00210498">
              <w:rPr>
                <w:rFonts w:ascii="Times New Roman" w:hAnsi="Times New Roman" w:cs="Times New Roman"/>
              </w:rPr>
              <w:t xml:space="preserve"> </w:t>
            </w:r>
            <w:r w:rsidRPr="00210498">
              <w:rPr>
                <w:rFonts w:ascii="Times New Roman" w:hAnsi="Times New Roman" w:cs="Times New Roman"/>
              </w:rPr>
              <w:t>однотипних за призначенням та умовами використання нематеріальних активів;</w:t>
            </w:r>
          </w:p>
        </w:tc>
      </w:tr>
      <w:tr w:rsidR="00905600" w:rsidRPr="0039448F" w14:paraId="2E032CD0" w14:textId="77777777" w:rsidTr="00042B75">
        <w:trPr>
          <w:trHeight w:val="305"/>
        </w:trPr>
        <w:tc>
          <w:tcPr>
            <w:tcW w:w="7372" w:type="dxa"/>
          </w:tcPr>
          <w:p w14:paraId="58F4547E" w14:textId="6C2E4CDC" w:rsidR="00905600" w:rsidRPr="0039448F" w:rsidRDefault="006C651D" w:rsidP="009056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i/>
              </w:rPr>
              <w:t>…………..</w:t>
            </w:r>
          </w:p>
        </w:tc>
        <w:tc>
          <w:tcPr>
            <w:tcW w:w="7796" w:type="dxa"/>
          </w:tcPr>
          <w:p w14:paraId="305A3B0B" w14:textId="1EC2B791" w:rsidR="00042B75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i/>
              </w:rPr>
              <w:t>……………………………</w:t>
            </w:r>
            <w:r w:rsidR="00042B7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C651D" w:rsidRPr="0039448F" w14:paraId="616F53BA" w14:textId="77777777" w:rsidTr="00042B75">
        <w:trPr>
          <w:trHeight w:val="305"/>
        </w:trPr>
        <w:tc>
          <w:tcPr>
            <w:tcW w:w="15168" w:type="dxa"/>
            <w:gridSpan w:val="2"/>
          </w:tcPr>
          <w:p w14:paraId="32EE1238" w14:textId="1588055D" w:rsidR="006C651D" w:rsidRPr="0039448F" w:rsidRDefault="006C651D" w:rsidP="006C651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II. Визнання та первісна оцінка нематеріальних активів</w:t>
            </w:r>
          </w:p>
        </w:tc>
      </w:tr>
      <w:tr w:rsidR="006C651D" w:rsidRPr="0039448F" w14:paraId="306DEE67" w14:textId="77777777" w:rsidTr="00042B75">
        <w:trPr>
          <w:trHeight w:val="305"/>
        </w:trPr>
        <w:tc>
          <w:tcPr>
            <w:tcW w:w="7372" w:type="dxa"/>
          </w:tcPr>
          <w:p w14:paraId="59A2577C" w14:textId="77777777" w:rsidR="00042B75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1:</w:t>
            </w:r>
          </w:p>
          <w:p w14:paraId="409F4BD1" w14:textId="4AD90E42" w:rsidR="006C651D" w:rsidRPr="0039448F" w:rsidRDefault="00042B75" w:rsidP="00042B75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C651D" w:rsidRPr="0039448F">
              <w:rPr>
                <w:rFonts w:ascii="Times New Roman" w:hAnsi="Times New Roman" w:cs="Times New Roman"/>
              </w:rPr>
              <w:t>Нематеріальний актив визнається активом, якщо його можна ідентифікувати (може бути виділений чи відокремлений від інших активів) та існує ймовірність отримання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 xml:space="preserve">єктом державного сектору майбутніх </w:t>
            </w:r>
            <w:r w:rsidR="006C651D" w:rsidRPr="0039448F">
              <w:rPr>
                <w:rFonts w:ascii="Times New Roman" w:hAnsi="Times New Roman" w:cs="Times New Roman"/>
              </w:rPr>
              <w:lastRenderedPageBreak/>
              <w:t>економічних вигід, пов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язаних з його використанням, та/або якщо він має потенціал корисності і його вартість може бути достовірно визначена.</w:t>
            </w:r>
          </w:p>
        </w:tc>
        <w:tc>
          <w:tcPr>
            <w:tcW w:w="7796" w:type="dxa"/>
          </w:tcPr>
          <w:p w14:paraId="35C9F28D" w14:textId="77777777" w:rsidR="006C651D" w:rsidRPr="001F1729" w:rsidRDefault="006C651D" w:rsidP="006C651D">
            <w:pPr>
              <w:ind w:firstLine="284"/>
              <w:rPr>
                <w:rFonts w:ascii="Times New Roman" w:hAnsi="Times New Roman" w:cs="Times New Roman"/>
              </w:rPr>
            </w:pPr>
            <w:r w:rsidRPr="001F1729">
              <w:rPr>
                <w:rFonts w:ascii="Times New Roman" w:hAnsi="Times New Roman" w:cs="Times New Roman"/>
              </w:rPr>
              <w:lastRenderedPageBreak/>
              <w:t>Пункт 1:</w:t>
            </w:r>
          </w:p>
          <w:p w14:paraId="1F6AD062" w14:textId="68B418EE" w:rsidR="006C651D" w:rsidRPr="001F1729" w:rsidRDefault="00042B75" w:rsidP="006C651D">
            <w:pPr>
              <w:ind w:firstLine="389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="006C651D" w:rsidRPr="001F1729">
              <w:rPr>
                <w:rFonts w:ascii="Times New Roman" w:eastAsia="Times New Roman" w:hAnsi="Times New Roman" w:cs="Times New Roman"/>
                <w:lang w:val="ro-RO" w:eastAsia="uk-UA"/>
              </w:rPr>
              <w:t>Нематеріальний актив визнається активом, якщо</w:t>
            </w:r>
            <w:r w:rsidR="006C651D" w:rsidRPr="001F1729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14:paraId="5FC90C2D" w14:textId="77777777" w:rsidR="006C651D" w:rsidRPr="001F1729" w:rsidRDefault="006C651D" w:rsidP="006C651D">
            <w:pPr>
              <w:ind w:left="32" w:firstLine="328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F1729">
              <w:rPr>
                <w:rFonts w:ascii="Times New Roman" w:eastAsia="Times New Roman" w:hAnsi="Times New Roman" w:cs="Times New Roman"/>
                <w:lang w:eastAsia="uk-UA"/>
              </w:rPr>
              <w:t>його можна ідентифікувати (може бути виділений чи відокремлений від інших активів)</w:t>
            </w:r>
            <w:r w:rsidRPr="00210498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; </w:t>
            </w:r>
            <w:r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>або</w:t>
            </w:r>
          </w:p>
          <w:p w14:paraId="3EE50C9D" w14:textId="36AC6915" w:rsidR="006C651D" w:rsidRPr="001F1729" w:rsidRDefault="006C651D" w:rsidP="006C651D">
            <w:pPr>
              <w:ind w:left="32" w:firstLine="3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lastRenderedPageBreak/>
              <w:t>виникає внаслідок угод, які мають обов</w:t>
            </w:r>
            <w:r w:rsidR="0042292A"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>’</w:t>
            </w:r>
            <w:r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>язкову силу незалежно від того, чи можуть вони бути передані або відокремлені від суб</w:t>
            </w:r>
            <w:r w:rsidR="0042292A"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>’</w:t>
            </w:r>
            <w:r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>єкта державного сектор</w:t>
            </w:r>
            <w:r w:rsidRPr="00850F9D">
              <w:rPr>
                <w:rFonts w:ascii="Times New Roman" w:eastAsia="Times New Roman" w:hAnsi="Times New Roman" w:cs="Times New Roman"/>
                <w:b/>
                <w:lang w:eastAsia="uk-UA"/>
              </w:rPr>
              <w:t>а</w:t>
            </w:r>
            <w:r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чи від інших прав та зобов</w:t>
            </w:r>
            <w:r w:rsidR="0042292A"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>’</w:t>
            </w:r>
            <w:r w:rsidRPr="001F1729">
              <w:rPr>
                <w:rFonts w:ascii="Times New Roman" w:eastAsia="Times New Roman" w:hAnsi="Times New Roman" w:cs="Times New Roman"/>
                <w:b/>
                <w:lang w:eastAsia="uk-UA"/>
              </w:rPr>
              <w:t>язань;</w:t>
            </w:r>
            <w:r w:rsidRPr="001F1729">
              <w:rPr>
                <w:rFonts w:ascii="Times New Roman" w:eastAsia="Times New Roman" w:hAnsi="Times New Roman" w:cs="Times New Roman"/>
                <w:lang w:eastAsia="uk-UA"/>
              </w:rPr>
              <w:t xml:space="preserve"> та</w:t>
            </w:r>
          </w:p>
          <w:p w14:paraId="7421BCF2" w14:textId="39CD012D" w:rsidR="006C651D" w:rsidRPr="001F1729" w:rsidRDefault="006C651D" w:rsidP="006C651D">
            <w:pPr>
              <w:ind w:left="32" w:firstLine="3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F1729">
              <w:rPr>
                <w:rFonts w:ascii="Times New Roman" w:eastAsia="Times New Roman" w:hAnsi="Times New Roman" w:cs="Times New Roman"/>
                <w:lang w:eastAsia="uk-UA"/>
              </w:rPr>
              <w:t>існує ймовірність отримання суб</w:t>
            </w:r>
            <w:r w:rsidR="0042292A" w:rsidRPr="001F1729">
              <w:rPr>
                <w:rFonts w:ascii="Times New Roman" w:eastAsia="Times New Roman" w:hAnsi="Times New Roman" w:cs="Times New Roman"/>
                <w:lang w:eastAsia="uk-UA"/>
              </w:rPr>
              <w:t>’</w:t>
            </w:r>
            <w:r w:rsidRPr="001F1729">
              <w:rPr>
                <w:rFonts w:ascii="Times New Roman" w:eastAsia="Times New Roman" w:hAnsi="Times New Roman" w:cs="Times New Roman"/>
                <w:lang w:eastAsia="uk-UA"/>
              </w:rPr>
              <w:t>єктом державного сектору майбутніх економічних вигід, пов</w:t>
            </w:r>
            <w:r w:rsidR="0042292A" w:rsidRPr="001F1729">
              <w:rPr>
                <w:rFonts w:ascii="Times New Roman" w:eastAsia="Times New Roman" w:hAnsi="Times New Roman" w:cs="Times New Roman"/>
                <w:lang w:eastAsia="uk-UA"/>
              </w:rPr>
              <w:t>’</w:t>
            </w:r>
            <w:r w:rsidRPr="001F1729">
              <w:rPr>
                <w:rFonts w:ascii="Times New Roman" w:eastAsia="Times New Roman" w:hAnsi="Times New Roman" w:cs="Times New Roman"/>
                <w:lang w:eastAsia="uk-UA"/>
              </w:rPr>
              <w:t>язаних з його використанням</w:t>
            </w:r>
            <w:r w:rsidRPr="00210498">
              <w:rPr>
                <w:rFonts w:ascii="Times New Roman" w:eastAsia="Times New Roman" w:hAnsi="Times New Roman" w:cs="Times New Roman"/>
                <w:b/>
                <w:lang w:eastAsia="uk-UA"/>
              </w:rPr>
              <w:t>;</w:t>
            </w:r>
            <w:r w:rsidRPr="001F1729">
              <w:rPr>
                <w:rFonts w:ascii="Times New Roman" w:eastAsia="Times New Roman" w:hAnsi="Times New Roman" w:cs="Times New Roman"/>
                <w:lang w:eastAsia="uk-UA"/>
              </w:rPr>
              <w:t xml:space="preserve"> та/або </w:t>
            </w:r>
          </w:p>
          <w:p w14:paraId="3A2C600D" w14:textId="4D5A8EEB" w:rsidR="006C651D" w:rsidRPr="001F1729" w:rsidRDefault="006C651D" w:rsidP="006C651D">
            <w:pPr>
              <w:ind w:firstLine="284"/>
              <w:rPr>
                <w:rFonts w:ascii="Times New Roman" w:hAnsi="Times New Roman" w:cs="Times New Roman"/>
              </w:rPr>
            </w:pPr>
            <w:r w:rsidRPr="001F1729">
              <w:rPr>
                <w:rFonts w:ascii="Times New Roman" w:eastAsia="Times New Roman" w:hAnsi="Times New Roman" w:cs="Times New Roman"/>
                <w:lang w:eastAsia="uk-UA"/>
              </w:rPr>
              <w:t>якщо він має потенціал корисності і його вартість може бути достовірно визначена.</w:t>
            </w:r>
          </w:p>
        </w:tc>
      </w:tr>
      <w:tr w:rsidR="006C651D" w:rsidRPr="0039448F" w14:paraId="4281BE8E" w14:textId="77777777" w:rsidTr="00042B75">
        <w:trPr>
          <w:trHeight w:val="305"/>
        </w:trPr>
        <w:tc>
          <w:tcPr>
            <w:tcW w:w="7372" w:type="dxa"/>
          </w:tcPr>
          <w:p w14:paraId="06EBEE0D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lastRenderedPageBreak/>
              <w:t>Пункт 2:</w:t>
            </w:r>
          </w:p>
          <w:p w14:paraId="24181648" w14:textId="3C18F122" w:rsidR="006C651D" w:rsidRPr="0039448F" w:rsidRDefault="00042B75" w:rsidP="00042B75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651D" w:rsidRPr="0039448F">
              <w:rPr>
                <w:rFonts w:ascii="Times New Roman" w:hAnsi="Times New Roman" w:cs="Times New Roman"/>
              </w:rPr>
              <w:t xml:space="preserve">Для цілей бухгалтерського обліку нематеріальні активи включають: </w:t>
            </w:r>
          </w:p>
        </w:tc>
        <w:tc>
          <w:tcPr>
            <w:tcW w:w="7796" w:type="dxa"/>
          </w:tcPr>
          <w:p w14:paraId="4B1B8C6A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2:</w:t>
            </w:r>
          </w:p>
          <w:p w14:paraId="7AE6AA8D" w14:textId="273CC700" w:rsidR="006C651D" w:rsidRPr="0039448F" w:rsidRDefault="00042B75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651D" w:rsidRPr="0039448F">
              <w:rPr>
                <w:rFonts w:ascii="Times New Roman" w:hAnsi="Times New Roman" w:cs="Times New Roman"/>
              </w:rPr>
              <w:t xml:space="preserve">Для цілей бухгалтерського обліку нематеріальні активи включають: </w:t>
            </w:r>
          </w:p>
        </w:tc>
      </w:tr>
      <w:tr w:rsidR="006C651D" w:rsidRPr="0039448F" w14:paraId="1446624D" w14:textId="77777777" w:rsidTr="00042B75">
        <w:trPr>
          <w:trHeight w:val="305"/>
        </w:trPr>
        <w:tc>
          <w:tcPr>
            <w:tcW w:w="7372" w:type="dxa"/>
          </w:tcPr>
          <w:p w14:paraId="067836CA" w14:textId="52A07930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авторське </w:t>
            </w:r>
            <w:r w:rsidRPr="0039448F">
              <w:rPr>
                <w:rFonts w:ascii="Times New Roman" w:hAnsi="Times New Roman" w:cs="Times New Roman"/>
                <w:strike/>
              </w:rPr>
              <w:t>та суміжні з ним</w:t>
            </w:r>
            <w:r w:rsidRPr="0039448F">
              <w:rPr>
                <w:rFonts w:ascii="Times New Roman" w:hAnsi="Times New Roman" w:cs="Times New Roman"/>
              </w:rPr>
              <w:t xml:space="preserve"> права (право на літературні, художні, музичні твори, комп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ютерні програми, програми для електронно-обчислювальних машин, компіляції даних (бази даних), виконання, фонограми, відеограми, передачі (програми) організацій мовлення тощо);</w:t>
            </w:r>
          </w:p>
        </w:tc>
        <w:tc>
          <w:tcPr>
            <w:tcW w:w="7796" w:type="dxa"/>
          </w:tcPr>
          <w:p w14:paraId="4CDA97C2" w14:textId="0E32747D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авторське</w:t>
            </w:r>
            <w:r w:rsidRPr="0039448F">
              <w:rPr>
                <w:rFonts w:ascii="Times New Roman" w:hAnsi="Times New Roman" w:cs="Times New Roman"/>
                <w:b/>
              </w:rPr>
              <w:t xml:space="preserve"> право та/або суміжні</w:t>
            </w:r>
            <w:r w:rsidR="00DA5EEE" w:rsidRPr="0039448F">
              <w:rPr>
                <w:rFonts w:ascii="Times New Roman" w:hAnsi="Times New Roman" w:cs="Times New Roman"/>
              </w:rPr>
              <w:t xml:space="preserve"> </w:t>
            </w:r>
            <w:r w:rsidRPr="0039448F">
              <w:rPr>
                <w:rFonts w:ascii="Times New Roman" w:hAnsi="Times New Roman" w:cs="Times New Roman"/>
              </w:rPr>
              <w:t>права (право на літературні, художні, музичні твори, комп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ютерні програми, програми для електронно-обчислювальних машин, компіляції даних (бази даних), виконання, фонограми, відеограми, передачі (програми) організацій мовлення тощо);</w:t>
            </w:r>
          </w:p>
        </w:tc>
      </w:tr>
      <w:tr w:rsidR="006C651D" w:rsidRPr="0039448F" w14:paraId="404FD5C9" w14:textId="77777777" w:rsidTr="00042B75">
        <w:trPr>
          <w:trHeight w:val="305"/>
        </w:trPr>
        <w:tc>
          <w:tcPr>
            <w:tcW w:w="7372" w:type="dxa"/>
          </w:tcPr>
          <w:p w14:paraId="6B35D067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права користування природними ресурсами (право користування надрами, іншими ресурсами природного середовища, геологічною та іншою інформацією про природне середовище тощо);</w:t>
            </w:r>
          </w:p>
        </w:tc>
        <w:tc>
          <w:tcPr>
            <w:tcW w:w="7796" w:type="dxa"/>
          </w:tcPr>
          <w:p w14:paraId="0A88F49C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права користування природними ресурсами (право користування надрами, іншими ресурсами природного середовища, геологічною та іншою інформацією про природне середовище тощо);</w:t>
            </w:r>
          </w:p>
        </w:tc>
      </w:tr>
      <w:tr w:rsidR="006C651D" w:rsidRPr="0039448F" w14:paraId="47D0BB24" w14:textId="77777777" w:rsidTr="00042B75">
        <w:trPr>
          <w:trHeight w:val="305"/>
        </w:trPr>
        <w:tc>
          <w:tcPr>
            <w:tcW w:w="7372" w:type="dxa"/>
          </w:tcPr>
          <w:p w14:paraId="51C963E6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права на </w:t>
            </w:r>
            <w:r w:rsidRPr="00210498">
              <w:rPr>
                <w:rFonts w:ascii="Times New Roman" w:hAnsi="Times New Roman" w:cs="Times New Roman"/>
                <w:strike/>
              </w:rPr>
              <w:t>знаки для товарів і послуг (товарні знаки, торгові марки, фірмові найменування тощо)</w:t>
            </w:r>
            <w:r w:rsidRPr="0039448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796" w:type="dxa"/>
          </w:tcPr>
          <w:p w14:paraId="360A4D44" w14:textId="499D813D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39448F">
              <w:rPr>
                <w:rFonts w:ascii="Times New Roman" w:hAnsi="Times New Roman" w:cs="Times New Roman"/>
              </w:rPr>
              <w:t xml:space="preserve">права на </w:t>
            </w:r>
            <w:r w:rsidRPr="0039448F">
              <w:rPr>
                <w:rFonts w:ascii="Times New Roman" w:hAnsi="Times New Roman" w:cs="Times New Roman"/>
                <w:b/>
              </w:rPr>
              <w:t xml:space="preserve">торговельні марки </w:t>
            </w:r>
            <w:r w:rsidRPr="00210498">
              <w:rPr>
                <w:rFonts w:ascii="Times New Roman" w:hAnsi="Times New Roman" w:cs="Times New Roman"/>
                <w:b/>
              </w:rPr>
              <w:t>(фірмові найменування тощо)</w:t>
            </w:r>
            <w:r w:rsidRPr="0039448F">
              <w:rPr>
                <w:rFonts w:ascii="Times New Roman" w:hAnsi="Times New Roman" w:cs="Times New Roman"/>
              </w:rPr>
              <w:t>;</w:t>
            </w:r>
          </w:p>
        </w:tc>
      </w:tr>
      <w:tr w:rsidR="006C651D" w:rsidRPr="0039448F" w14:paraId="2D4ADCCE" w14:textId="77777777" w:rsidTr="00042B75">
        <w:trPr>
          <w:trHeight w:val="305"/>
        </w:trPr>
        <w:tc>
          <w:tcPr>
            <w:tcW w:w="7372" w:type="dxa"/>
          </w:tcPr>
          <w:p w14:paraId="2DA8236E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права користування майном (право користування земельною ділянкою, крім права постійного користування земельною ділянкою, право користування будівлею, право на оренду приміщень тощо);</w:t>
            </w:r>
          </w:p>
        </w:tc>
        <w:tc>
          <w:tcPr>
            <w:tcW w:w="7796" w:type="dxa"/>
          </w:tcPr>
          <w:p w14:paraId="2663F427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права користування майном (право користування земельною ділянкою, крім права постійного користування земельною ділянкою, право користування будівлею, право на оренду приміщень тощо);</w:t>
            </w:r>
          </w:p>
        </w:tc>
      </w:tr>
      <w:tr w:rsidR="006C651D" w:rsidRPr="0039448F" w14:paraId="0AD4E587" w14:textId="77777777" w:rsidTr="00042B75">
        <w:trPr>
          <w:trHeight w:val="305"/>
        </w:trPr>
        <w:tc>
          <w:tcPr>
            <w:tcW w:w="7372" w:type="dxa"/>
          </w:tcPr>
          <w:p w14:paraId="2C0590E5" w14:textId="149E7891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права на 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єкти промислової власності (право на винаходи, розробки, корисні моделі, промислові зразки, сорти рослин, породи тварин, захист від недобросовісної конкуренції тощо);</w:t>
            </w:r>
          </w:p>
        </w:tc>
        <w:tc>
          <w:tcPr>
            <w:tcW w:w="7796" w:type="dxa"/>
          </w:tcPr>
          <w:p w14:paraId="6C9474A9" w14:textId="4A995014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права на 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єкти промислової власності (право на винаходи, розробки, корисні моделі, промислові зразки, сорти рослин, породи тварин, захист від недобросовісної конкуренції тощо);</w:t>
            </w:r>
          </w:p>
        </w:tc>
      </w:tr>
      <w:tr w:rsidR="006C651D" w:rsidRPr="0039448F" w14:paraId="5E2E9644" w14:textId="77777777" w:rsidTr="00042B75">
        <w:trPr>
          <w:trHeight w:val="305"/>
        </w:trPr>
        <w:tc>
          <w:tcPr>
            <w:tcW w:w="7372" w:type="dxa"/>
          </w:tcPr>
          <w:p w14:paraId="24762165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інші нематеріальні активи (право на провадження діяльності, використання економічних та інших привілеїв тощо).</w:t>
            </w:r>
          </w:p>
        </w:tc>
        <w:tc>
          <w:tcPr>
            <w:tcW w:w="7796" w:type="dxa"/>
          </w:tcPr>
          <w:p w14:paraId="62EBDFC1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інші нематеріальні активи (право на провадження діяльності, використання економічних та інших привілеїв тощо).</w:t>
            </w:r>
          </w:p>
        </w:tc>
      </w:tr>
      <w:tr w:rsidR="006C651D" w:rsidRPr="0039448F" w14:paraId="3A70A881" w14:textId="77777777" w:rsidTr="00042B75">
        <w:trPr>
          <w:trHeight w:val="305"/>
        </w:trPr>
        <w:tc>
          <w:tcPr>
            <w:tcW w:w="7372" w:type="dxa"/>
          </w:tcPr>
          <w:p w14:paraId="213F57CC" w14:textId="261AD9A0" w:rsidR="006C651D" w:rsidRPr="0039448F" w:rsidRDefault="006C651D" w:rsidP="006C651D">
            <w:pPr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7796" w:type="dxa"/>
          </w:tcPr>
          <w:p w14:paraId="2F62B165" w14:textId="07FD5D3D" w:rsidR="006C651D" w:rsidRPr="0039448F" w:rsidRDefault="006C651D" w:rsidP="006C651D">
            <w:pPr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6C651D" w:rsidRPr="0039448F" w14:paraId="2614A356" w14:textId="77777777" w:rsidTr="00042B75">
        <w:trPr>
          <w:trHeight w:val="305"/>
        </w:trPr>
        <w:tc>
          <w:tcPr>
            <w:tcW w:w="7372" w:type="dxa"/>
          </w:tcPr>
          <w:p w14:paraId="2ADF1AA7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4:</w:t>
            </w:r>
          </w:p>
          <w:p w14:paraId="4C0E4F5C" w14:textId="6675BEA8" w:rsidR="006C651D" w:rsidRPr="0039448F" w:rsidRDefault="00042B75" w:rsidP="00042B75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C651D" w:rsidRPr="0039448F">
              <w:rPr>
                <w:rFonts w:ascii="Times New Roman" w:hAnsi="Times New Roman" w:cs="Times New Roman"/>
              </w:rPr>
              <w:t>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 нематеріальних активів оцінюється за первісною вартістю, якою є:</w:t>
            </w:r>
          </w:p>
        </w:tc>
        <w:tc>
          <w:tcPr>
            <w:tcW w:w="7796" w:type="dxa"/>
          </w:tcPr>
          <w:p w14:paraId="5C075C54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Пункт </w:t>
            </w:r>
            <w:r w:rsidRPr="0039448F">
              <w:rPr>
                <w:rFonts w:ascii="Times New Roman" w:hAnsi="Times New Roman" w:cs="Times New Roman"/>
                <w:strike/>
              </w:rPr>
              <w:t>4</w:t>
            </w:r>
            <w:r w:rsidRPr="0039448F">
              <w:rPr>
                <w:rFonts w:ascii="Times New Roman" w:hAnsi="Times New Roman" w:cs="Times New Roman"/>
              </w:rPr>
              <w:t>:</w:t>
            </w:r>
          </w:p>
          <w:p w14:paraId="216DEF8A" w14:textId="1603B546" w:rsidR="006C651D" w:rsidRPr="0039448F" w:rsidRDefault="00042B75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C651D" w:rsidRPr="0039448F">
              <w:rPr>
                <w:rFonts w:ascii="Times New Roman" w:hAnsi="Times New Roman" w:cs="Times New Roman"/>
              </w:rPr>
              <w:t>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 нематеріальних активів оцінюється за первісною вартістю, якою є:</w:t>
            </w:r>
          </w:p>
        </w:tc>
      </w:tr>
      <w:tr w:rsidR="006C651D" w:rsidRPr="0039448F" w14:paraId="469EB02C" w14:textId="77777777" w:rsidTr="00042B75">
        <w:trPr>
          <w:trHeight w:val="305"/>
        </w:trPr>
        <w:tc>
          <w:tcPr>
            <w:tcW w:w="7372" w:type="dxa"/>
          </w:tcPr>
          <w:p w14:paraId="00CAD54A" w14:textId="77777777" w:rsidR="006C651D" w:rsidRPr="0039448F" w:rsidRDefault="006C651D" w:rsidP="00042B75">
            <w:pPr>
              <w:pStyle w:val="HTML"/>
              <w:shd w:val="clear" w:color="auto" w:fill="FFFFFF"/>
              <w:ind w:firstLine="28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944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вартість придбання у разі придбання за плату;</w:t>
            </w:r>
          </w:p>
        </w:tc>
        <w:tc>
          <w:tcPr>
            <w:tcW w:w="7796" w:type="dxa"/>
          </w:tcPr>
          <w:p w14:paraId="00653075" w14:textId="77777777" w:rsidR="006C651D" w:rsidRPr="0039448F" w:rsidRDefault="006C651D" w:rsidP="00042B75">
            <w:pPr>
              <w:pStyle w:val="HTML"/>
              <w:shd w:val="clear" w:color="auto" w:fill="FFFFFF"/>
              <w:ind w:firstLine="28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944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вартість придбання у разі придбання за плату;</w:t>
            </w:r>
          </w:p>
        </w:tc>
      </w:tr>
      <w:tr w:rsidR="006C651D" w:rsidRPr="0039448F" w14:paraId="3525136F" w14:textId="77777777" w:rsidTr="00042B75">
        <w:trPr>
          <w:trHeight w:val="305"/>
        </w:trPr>
        <w:tc>
          <w:tcPr>
            <w:tcW w:w="7372" w:type="dxa"/>
          </w:tcPr>
          <w:p w14:paraId="50D96A37" w14:textId="77777777" w:rsidR="006C651D" w:rsidRPr="0039448F" w:rsidRDefault="006C651D" w:rsidP="00042B75">
            <w:pPr>
              <w:pStyle w:val="HTML"/>
              <w:shd w:val="clear" w:color="auto" w:fill="FFFFFF"/>
              <w:ind w:firstLine="28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944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собівартість виробництва у разі самостійного виготовлення (створення);</w:t>
            </w:r>
          </w:p>
        </w:tc>
        <w:tc>
          <w:tcPr>
            <w:tcW w:w="7796" w:type="dxa"/>
          </w:tcPr>
          <w:p w14:paraId="3FCC9ED7" w14:textId="77777777" w:rsidR="006C651D" w:rsidRPr="0039448F" w:rsidRDefault="006C651D" w:rsidP="00042B75">
            <w:pPr>
              <w:pStyle w:val="HTML"/>
              <w:shd w:val="clear" w:color="auto" w:fill="FFFFFF"/>
              <w:ind w:firstLine="28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944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собівартість виробництва у разі самостійного виготовлення (створення);</w:t>
            </w:r>
          </w:p>
        </w:tc>
      </w:tr>
      <w:tr w:rsidR="006C651D" w:rsidRPr="0039448F" w14:paraId="1C50F81B" w14:textId="77777777" w:rsidTr="00042B75">
        <w:trPr>
          <w:trHeight w:val="305"/>
        </w:trPr>
        <w:tc>
          <w:tcPr>
            <w:tcW w:w="7372" w:type="dxa"/>
          </w:tcPr>
          <w:p w14:paraId="6A674A49" w14:textId="02D73EFF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справедлива вартість у разі отримання без оплати від фізичних та юридичних осіб (крім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єктів державного сектору);</w:t>
            </w:r>
          </w:p>
        </w:tc>
        <w:tc>
          <w:tcPr>
            <w:tcW w:w="7796" w:type="dxa"/>
          </w:tcPr>
          <w:p w14:paraId="1799BEDE" w14:textId="6FAD6A3E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справедлива вартість у разі отримання без оплати від фізичних та юридичних осіб (крім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єктів державного сектору);</w:t>
            </w:r>
          </w:p>
        </w:tc>
      </w:tr>
      <w:tr w:rsidR="006C651D" w:rsidRPr="0039448F" w14:paraId="27806E77" w14:textId="77777777" w:rsidTr="00042B75">
        <w:trPr>
          <w:trHeight w:val="305"/>
        </w:trPr>
        <w:tc>
          <w:tcPr>
            <w:tcW w:w="7372" w:type="dxa"/>
          </w:tcPr>
          <w:p w14:paraId="694ADB7B" w14:textId="0D20B353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lastRenderedPageBreak/>
              <w:t>первісна (переоцінена) вартість нематеріальних активів у разі отримання без оплати від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єктів державного сектору;</w:t>
            </w:r>
          </w:p>
        </w:tc>
        <w:tc>
          <w:tcPr>
            <w:tcW w:w="7796" w:type="dxa"/>
          </w:tcPr>
          <w:p w14:paraId="77D2E455" w14:textId="2E85B193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первісна (переоцінена) вартість нематеріальних активів у разі отримання без оплати від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єктів державного сектору;</w:t>
            </w:r>
          </w:p>
        </w:tc>
      </w:tr>
      <w:tr w:rsidR="006C651D" w:rsidRPr="0039448F" w14:paraId="7F9389F8" w14:textId="77777777" w:rsidTr="00042B75">
        <w:trPr>
          <w:trHeight w:val="305"/>
        </w:trPr>
        <w:tc>
          <w:tcPr>
            <w:tcW w:w="7372" w:type="dxa"/>
          </w:tcPr>
          <w:p w14:paraId="051A93D7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залишкова вартість переданого нематеріального активу у разі отримання в результаті обміну на інший актив</w:t>
            </w:r>
            <w:r w:rsidRPr="00394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14:paraId="67A652F4" w14:textId="2C2967E5" w:rsidR="006C651D" w:rsidRPr="0039448F" w:rsidRDefault="00210498" w:rsidP="00210498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справедлива вартість</w:t>
            </w:r>
            <w:r w:rsidR="006C651D" w:rsidRPr="0039448F">
              <w:rPr>
                <w:rFonts w:ascii="Times New Roman" w:hAnsi="Times New Roman" w:cs="Times New Roman"/>
                <w:b/>
              </w:rPr>
              <w:t xml:space="preserve"> у разі отримання нематеріального активу  в результаті обміну на інший актив згідно із законодавством.</w:t>
            </w:r>
          </w:p>
          <w:p w14:paraId="72C94F27" w14:textId="77777777" w:rsidR="006C651D" w:rsidRPr="0039448F" w:rsidRDefault="006C651D" w:rsidP="00042B75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C651D" w:rsidRPr="0039448F" w14:paraId="64295F65" w14:textId="77777777" w:rsidTr="00042B75">
        <w:trPr>
          <w:trHeight w:val="305"/>
        </w:trPr>
        <w:tc>
          <w:tcPr>
            <w:tcW w:w="7372" w:type="dxa"/>
          </w:tcPr>
          <w:p w14:paraId="22FF260C" w14:textId="77777777" w:rsidR="006C651D" w:rsidRPr="0039448F" w:rsidRDefault="006C651D" w:rsidP="006C651D">
            <w:pPr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………….</w:t>
            </w:r>
          </w:p>
          <w:p w14:paraId="3EBC6F02" w14:textId="0F4346C8" w:rsidR="006C651D" w:rsidRPr="0039448F" w:rsidRDefault="006C651D" w:rsidP="006C65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141D19B8" w14:textId="3E1ED6A9" w:rsidR="006C651D" w:rsidRPr="0039448F" w:rsidRDefault="006C651D" w:rsidP="006C651D">
            <w:pPr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……………..</w:t>
            </w:r>
          </w:p>
        </w:tc>
      </w:tr>
      <w:tr w:rsidR="006C651D" w:rsidRPr="0039448F" w14:paraId="79966C0B" w14:textId="77777777" w:rsidTr="00042B75">
        <w:trPr>
          <w:trHeight w:val="305"/>
        </w:trPr>
        <w:tc>
          <w:tcPr>
            <w:tcW w:w="7372" w:type="dxa"/>
          </w:tcPr>
          <w:p w14:paraId="279686B0" w14:textId="77777777" w:rsidR="006C651D" w:rsidRPr="0039448F" w:rsidRDefault="006C651D" w:rsidP="006C651D">
            <w:pPr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39448F">
              <w:rPr>
                <w:rFonts w:ascii="Times New Roman" w:hAnsi="Times New Roman" w:cs="Times New Roman"/>
              </w:rPr>
              <w:t>Пункт 6</w:t>
            </w:r>
            <w:r w:rsidRPr="0039448F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54B9E8AD" w14:textId="4864C823" w:rsidR="006C651D" w:rsidRPr="0039448F" w:rsidRDefault="00042B75" w:rsidP="00042B75">
            <w:pPr>
              <w:ind w:firstLine="320"/>
              <w:jc w:val="both"/>
              <w:rPr>
                <w:rFonts w:ascii="Times New Roman" w:hAnsi="Times New Roman" w:cs="Times New Roman"/>
              </w:rPr>
            </w:pPr>
            <w:r w:rsidRPr="00042B75">
              <w:rPr>
                <w:rFonts w:ascii="Times New Roman" w:hAnsi="Times New Roman" w:cs="Times New Roman"/>
                <w:strike/>
              </w:rPr>
              <w:t xml:space="preserve">6. </w:t>
            </w:r>
            <w:r w:rsidR="006C651D" w:rsidRPr="00042B75">
              <w:rPr>
                <w:rFonts w:ascii="Times New Roman" w:hAnsi="Times New Roman" w:cs="Times New Roman"/>
                <w:strike/>
              </w:rPr>
              <w:t>Первісною</w:t>
            </w:r>
            <w:r w:rsidR="006C651D" w:rsidRPr="0039448F">
              <w:rPr>
                <w:rFonts w:ascii="Times New Roman" w:hAnsi="Times New Roman" w:cs="Times New Roman"/>
                <w:strike/>
              </w:rPr>
              <w:t xml:space="preserve"> вартістю об</w:t>
            </w:r>
            <w:r w:rsidR="0042292A" w:rsidRPr="0039448F">
              <w:rPr>
                <w:rFonts w:ascii="Times New Roman" w:hAnsi="Times New Roman" w:cs="Times New Roman"/>
                <w:strike/>
              </w:rPr>
              <w:t>’</w:t>
            </w:r>
            <w:r w:rsidR="006C651D" w:rsidRPr="0039448F">
              <w:rPr>
                <w:rFonts w:ascii="Times New Roman" w:hAnsi="Times New Roman" w:cs="Times New Roman"/>
                <w:strike/>
              </w:rPr>
              <w:t>єкта нематеріальних активів, отриманого у результаті обміну на інший актив, є залишкова вартість переданого об</w:t>
            </w:r>
            <w:r w:rsidR="0042292A" w:rsidRPr="0039448F">
              <w:rPr>
                <w:rFonts w:ascii="Times New Roman" w:hAnsi="Times New Roman" w:cs="Times New Roman"/>
                <w:strike/>
              </w:rPr>
              <w:t>’</w:t>
            </w:r>
            <w:r w:rsidR="006C651D" w:rsidRPr="0039448F">
              <w:rPr>
                <w:rFonts w:ascii="Times New Roman" w:hAnsi="Times New Roman" w:cs="Times New Roman"/>
                <w:strike/>
              </w:rPr>
              <w:t>єкта нематеріальних активів. Якщо залишкова вартість переданого об</w:t>
            </w:r>
            <w:r w:rsidR="0042292A" w:rsidRPr="0039448F">
              <w:rPr>
                <w:rFonts w:ascii="Times New Roman" w:hAnsi="Times New Roman" w:cs="Times New Roman"/>
                <w:strike/>
              </w:rPr>
              <w:t>’</w:t>
            </w:r>
            <w:r w:rsidR="006C651D" w:rsidRPr="0039448F">
              <w:rPr>
                <w:rFonts w:ascii="Times New Roman" w:hAnsi="Times New Roman" w:cs="Times New Roman"/>
                <w:strike/>
              </w:rPr>
              <w:t>єкта нематеріальних активів дорівнює нулю, то первісною вартістю отриманого об</w:t>
            </w:r>
            <w:r w:rsidR="0042292A" w:rsidRPr="0039448F">
              <w:rPr>
                <w:rFonts w:ascii="Times New Roman" w:hAnsi="Times New Roman" w:cs="Times New Roman"/>
                <w:strike/>
              </w:rPr>
              <w:t>’</w:t>
            </w:r>
            <w:r w:rsidR="006C651D" w:rsidRPr="0039448F">
              <w:rPr>
                <w:rFonts w:ascii="Times New Roman" w:hAnsi="Times New Roman" w:cs="Times New Roman"/>
                <w:strike/>
              </w:rPr>
              <w:t>єкта нематеріальних активів є його справедлива вартість на дату оприбуткування</w:t>
            </w:r>
            <w:r w:rsidR="006C651D" w:rsidRPr="00394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14:paraId="7B200D69" w14:textId="77777777" w:rsidR="006C651D" w:rsidRPr="0039448F" w:rsidRDefault="006C651D" w:rsidP="006C651D">
            <w:pPr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39448F">
              <w:rPr>
                <w:rFonts w:ascii="Times New Roman" w:hAnsi="Times New Roman" w:cs="Times New Roman"/>
              </w:rPr>
              <w:t>Пункт 6</w:t>
            </w:r>
            <w:r w:rsidRPr="0039448F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17AF69D0" w14:textId="25B43806" w:rsidR="006C651D" w:rsidRPr="0039448F" w:rsidRDefault="00042B75" w:rsidP="00042B75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042B75">
              <w:rPr>
                <w:rFonts w:ascii="Times New Roman" w:hAnsi="Times New Roman" w:cs="Times New Roman"/>
                <w:b/>
              </w:rPr>
              <w:t xml:space="preserve">6. </w:t>
            </w:r>
            <w:r w:rsidR="006C651D" w:rsidRPr="00042B75">
              <w:rPr>
                <w:rFonts w:ascii="Times New Roman" w:hAnsi="Times New Roman" w:cs="Times New Roman"/>
                <w:b/>
              </w:rPr>
              <w:t>Первісною</w:t>
            </w:r>
            <w:r w:rsidR="006C651D" w:rsidRPr="0039448F">
              <w:rPr>
                <w:rFonts w:ascii="Times New Roman" w:hAnsi="Times New Roman" w:cs="Times New Roman"/>
                <w:b/>
              </w:rPr>
              <w:t xml:space="preserve"> вартістю об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="006C651D" w:rsidRPr="0039448F">
              <w:rPr>
                <w:rFonts w:ascii="Times New Roman" w:hAnsi="Times New Roman" w:cs="Times New Roman"/>
                <w:b/>
              </w:rPr>
              <w:t>єкта нематеріальних активів, отриманого у результаті обміну на інший актив згідно з законодавством, є його справедлива вартість на дату оприбуткування. Якщо справедливу вартість отриманого або переданого об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="006C651D" w:rsidRPr="0039448F">
              <w:rPr>
                <w:rFonts w:ascii="Times New Roman" w:hAnsi="Times New Roman" w:cs="Times New Roman"/>
                <w:b/>
              </w:rPr>
              <w:t>єкта нематеріальних активів визначити неможливо, то первісною вартістю отриманого об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="006C651D" w:rsidRPr="0039448F">
              <w:rPr>
                <w:rFonts w:ascii="Times New Roman" w:hAnsi="Times New Roman" w:cs="Times New Roman"/>
                <w:b/>
              </w:rPr>
              <w:t xml:space="preserve">єкта нематеріальних активів є первісна (переоцінена) вартість переданого активу з урахуванням суми накопиченої амортизації. </w:t>
            </w:r>
          </w:p>
        </w:tc>
      </w:tr>
      <w:tr w:rsidR="006C651D" w:rsidRPr="0039448F" w14:paraId="23B346A8" w14:textId="77777777" w:rsidTr="00042B75">
        <w:trPr>
          <w:trHeight w:val="305"/>
        </w:trPr>
        <w:tc>
          <w:tcPr>
            <w:tcW w:w="7372" w:type="dxa"/>
          </w:tcPr>
          <w:p w14:paraId="34FE4EFB" w14:textId="52210A04" w:rsidR="006C651D" w:rsidRPr="0039448F" w:rsidRDefault="006C651D" w:rsidP="006C651D">
            <w:pPr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7796" w:type="dxa"/>
          </w:tcPr>
          <w:p w14:paraId="07DB0A85" w14:textId="7F4291AD" w:rsidR="006C651D" w:rsidRPr="0039448F" w:rsidRDefault="006C651D" w:rsidP="006C651D">
            <w:pPr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6C651D" w:rsidRPr="0039448F" w14:paraId="0BF48C5D" w14:textId="77777777" w:rsidTr="00042B75">
        <w:trPr>
          <w:trHeight w:val="305"/>
        </w:trPr>
        <w:tc>
          <w:tcPr>
            <w:tcW w:w="7372" w:type="dxa"/>
          </w:tcPr>
          <w:p w14:paraId="3D649AC7" w14:textId="77777777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12:</w:t>
            </w:r>
          </w:p>
          <w:p w14:paraId="57929F54" w14:textId="3C980D4A" w:rsidR="006C651D" w:rsidRPr="0039448F" w:rsidRDefault="00042B75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6C651D" w:rsidRPr="0039448F">
              <w:rPr>
                <w:rFonts w:ascii="Times New Roman" w:hAnsi="Times New Roman" w:cs="Times New Roman"/>
              </w:rPr>
              <w:t>Не визнаються нематеріальним активом, а підлягають відображенню у складі витрат того періоду, в якому вони були здійснені, витрати на:</w:t>
            </w:r>
          </w:p>
        </w:tc>
        <w:tc>
          <w:tcPr>
            <w:tcW w:w="7796" w:type="dxa"/>
          </w:tcPr>
          <w:p w14:paraId="2EF74DF5" w14:textId="77777777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12:</w:t>
            </w:r>
          </w:p>
          <w:p w14:paraId="60766DD1" w14:textId="350DB3E6" w:rsidR="006C651D" w:rsidRPr="0039448F" w:rsidRDefault="00042B75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6C651D" w:rsidRPr="0039448F">
              <w:rPr>
                <w:rFonts w:ascii="Times New Roman" w:hAnsi="Times New Roman" w:cs="Times New Roman"/>
              </w:rPr>
              <w:t>Не визнаються нематеріальним активом, а підлягають відображенню у складі витрат того періоду, в якому вони були здійснені, витрати на:</w:t>
            </w:r>
          </w:p>
        </w:tc>
      </w:tr>
      <w:tr w:rsidR="006C651D" w:rsidRPr="0039448F" w14:paraId="544D4492" w14:textId="77777777" w:rsidTr="00042B75">
        <w:trPr>
          <w:trHeight w:val="305"/>
        </w:trPr>
        <w:tc>
          <w:tcPr>
            <w:tcW w:w="7372" w:type="dxa"/>
          </w:tcPr>
          <w:p w14:paraId="3FB980FC" w14:textId="77777777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дослідження;</w:t>
            </w:r>
          </w:p>
        </w:tc>
        <w:tc>
          <w:tcPr>
            <w:tcW w:w="7796" w:type="dxa"/>
          </w:tcPr>
          <w:p w14:paraId="4A961C09" w14:textId="77777777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дослідження;</w:t>
            </w:r>
          </w:p>
        </w:tc>
      </w:tr>
      <w:tr w:rsidR="006C651D" w:rsidRPr="0039448F" w14:paraId="70A22455" w14:textId="77777777" w:rsidTr="00042B75">
        <w:trPr>
          <w:trHeight w:val="305"/>
        </w:trPr>
        <w:tc>
          <w:tcPr>
            <w:tcW w:w="7372" w:type="dxa"/>
          </w:tcPr>
          <w:p w14:paraId="334C82F6" w14:textId="77777777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підготовку і перепідготовку кадрів;</w:t>
            </w:r>
          </w:p>
        </w:tc>
        <w:tc>
          <w:tcPr>
            <w:tcW w:w="7796" w:type="dxa"/>
          </w:tcPr>
          <w:p w14:paraId="1948DCC1" w14:textId="77777777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підготовку і перепідготовку кадрів;</w:t>
            </w:r>
          </w:p>
        </w:tc>
      </w:tr>
      <w:tr w:rsidR="006C651D" w:rsidRPr="0039448F" w14:paraId="219C2626" w14:textId="77777777" w:rsidTr="00042B75">
        <w:trPr>
          <w:trHeight w:val="305"/>
        </w:trPr>
        <w:tc>
          <w:tcPr>
            <w:tcW w:w="7372" w:type="dxa"/>
          </w:tcPr>
          <w:p w14:paraId="1758D248" w14:textId="29F510E1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створення, реорганізацію та переміщення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єкта державного сектору або його частини.</w:t>
            </w:r>
          </w:p>
        </w:tc>
        <w:tc>
          <w:tcPr>
            <w:tcW w:w="7796" w:type="dxa"/>
          </w:tcPr>
          <w:p w14:paraId="4587E24E" w14:textId="3026DAF6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створення, реорганізацію та переміщення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Pr="0039448F">
              <w:rPr>
                <w:rFonts w:ascii="Times New Roman" w:hAnsi="Times New Roman" w:cs="Times New Roman"/>
              </w:rPr>
              <w:t>єкта державного сектору або його частини</w:t>
            </w:r>
            <w:r w:rsidRPr="0039448F">
              <w:rPr>
                <w:rFonts w:ascii="Times New Roman" w:hAnsi="Times New Roman" w:cs="Times New Roman"/>
                <w:b/>
              </w:rPr>
              <w:t>;</w:t>
            </w:r>
          </w:p>
        </w:tc>
      </w:tr>
      <w:tr w:rsidR="006C651D" w:rsidRPr="0039448F" w14:paraId="22B3A148" w14:textId="77777777" w:rsidTr="00042B75">
        <w:trPr>
          <w:trHeight w:val="305"/>
        </w:trPr>
        <w:tc>
          <w:tcPr>
            <w:tcW w:w="7372" w:type="dxa"/>
          </w:tcPr>
          <w:p w14:paraId="7E7039F2" w14:textId="06C116EC" w:rsidR="006C651D" w:rsidRPr="0039448F" w:rsidRDefault="00C8682E" w:rsidP="00042B75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>відсутній</w:t>
            </w:r>
          </w:p>
        </w:tc>
        <w:tc>
          <w:tcPr>
            <w:tcW w:w="7796" w:type="dxa"/>
          </w:tcPr>
          <w:p w14:paraId="326BF752" w14:textId="7CF5D3A2" w:rsidR="006C651D" w:rsidRPr="0039448F" w:rsidRDefault="006C651D" w:rsidP="00042B75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>внутрішньо генеровані бренди, заголовки, назви видань, переліки користувачів послуг та інші подібні за своєю сутністю об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Pr="0039448F">
              <w:rPr>
                <w:rFonts w:ascii="Times New Roman" w:hAnsi="Times New Roman" w:cs="Times New Roman"/>
                <w:b/>
              </w:rPr>
              <w:t xml:space="preserve">єкти. </w:t>
            </w:r>
          </w:p>
        </w:tc>
      </w:tr>
      <w:tr w:rsidR="006C651D" w:rsidRPr="0039448F" w14:paraId="5FA52A34" w14:textId="77777777" w:rsidTr="00042B75">
        <w:trPr>
          <w:trHeight w:val="305"/>
        </w:trPr>
        <w:tc>
          <w:tcPr>
            <w:tcW w:w="7372" w:type="dxa"/>
          </w:tcPr>
          <w:p w14:paraId="6C699BC7" w14:textId="131CC28D" w:rsidR="006C651D" w:rsidRPr="0039448F" w:rsidRDefault="006C651D" w:rsidP="006C651D">
            <w:pPr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7796" w:type="dxa"/>
          </w:tcPr>
          <w:p w14:paraId="0EB867F5" w14:textId="09E38633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6C651D" w:rsidRPr="0039448F" w14:paraId="6966AEE7" w14:textId="77777777" w:rsidTr="00042B75">
        <w:trPr>
          <w:trHeight w:val="343"/>
        </w:trPr>
        <w:tc>
          <w:tcPr>
            <w:tcW w:w="15168" w:type="dxa"/>
            <w:gridSpan w:val="2"/>
          </w:tcPr>
          <w:p w14:paraId="45235F8F" w14:textId="77777777" w:rsidR="006C651D" w:rsidRPr="0039448F" w:rsidRDefault="006C651D" w:rsidP="006C651D">
            <w:pPr>
              <w:spacing w:before="120" w:line="243" w:lineRule="auto"/>
              <w:ind w:left="36" w:right="-9"/>
              <w:jc w:val="center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 xml:space="preserve">III. Оцінка після первісного визнання та переоцінка нематеріальних активів </w:t>
            </w:r>
          </w:p>
          <w:p w14:paraId="7526E67B" w14:textId="025391D7" w:rsidR="006C651D" w:rsidRPr="0039448F" w:rsidRDefault="006C651D" w:rsidP="0090560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51D" w:rsidRPr="0039448F" w14:paraId="1EFB3697" w14:textId="77777777" w:rsidTr="00042B75">
        <w:trPr>
          <w:trHeight w:val="305"/>
        </w:trPr>
        <w:tc>
          <w:tcPr>
            <w:tcW w:w="7372" w:type="dxa"/>
          </w:tcPr>
          <w:p w14:paraId="40832F27" w14:textId="59CB59F3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7796" w:type="dxa"/>
          </w:tcPr>
          <w:p w14:paraId="03B4CB15" w14:textId="60651A7E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……………….</w:t>
            </w:r>
          </w:p>
        </w:tc>
      </w:tr>
      <w:tr w:rsidR="006C651D" w:rsidRPr="0039448F" w14:paraId="30E71DC2" w14:textId="77777777" w:rsidTr="00042B75">
        <w:trPr>
          <w:trHeight w:val="305"/>
        </w:trPr>
        <w:tc>
          <w:tcPr>
            <w:tcW w:w="7372" w:type="dxa"/>
          </w:tcPr>
          <w:p w14:paraId="3C4C6186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Пункт 6: </w:t>
            </w:r>
          </w:p>
          <w:p w14:paraId="594632EF" w14:textId="6E55D261" w:rsidR="006C651D" w:rsidRPr="0039448F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C651D" w:rsidRPr="0039448F">
              <w:rPr>
                <w:rFonts w:ascii="Times New Roman" w:hAnsi="Times New Roman" w:cs="Times New Roman"/>
              </w:rPr>
              <w:t xml:space="preserve">Якщо нематеріальний актив у складі групи переоцінених нематеріальних активів не можна переоцінити (оскільки для нього не існує активного ринку), цей актив відображається за первісною вартістю, за </w:t>
            </w:r>
            <w:r w:rsidR="006C651D" w:rsidRPr="0039448F">
              <w:rPr>
                <w:rFonts w:ascii="Times New Roman" w:hAnsi="Times New Roman" w:cs="Times New Roman"/>
              </w:rPr>
              <w:lastRenderedPageBreak/>
              <w:t>вирахуванням суми будь-якої накопиченої амортизації та будь-яких накопичених втрат від зменшення корисності.</w:t>
            </w:r>
          </w:p>
        </w:tc>
        <w:tc>
          <w:tcPr>
            <w:tcW w:w="7796" w:type="dxa"/>
          </w:tcPr>
          <w:p w14:paraId="751CF22F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lastRenderedPageBreak/>
              <w:t xml:space="preserve">Пункт 6: </w:t>
            </w:r>
          </w:p>
          <w:p w14:paraId="7283DC79" w14:textId="52A87171" w:rsidR="006C651D" w:rsidRPr="0039448F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C651D" w:rsidRPr="0039448F">
              <w:rPr>
                <w:rFonts w:ascii="Times New Roman" w:hAnsi="Times New Roman" w:cs="Times New Roman"/>
              </w:rPr>
              <w:t xml:space="preserve">Якщо нематеріальний актив у складі групи переоцінених нематеріальних активів не можна переоцінити (оскільки для нього не існує активного ринку), цей актив відображається за первісною вартістю, за вирахуванням суми будь-якої </w:t>
            </w:r>
            <w:r w:rsidR="006C651D" w:rsidRPr="0039448F">
              <w:rPr>
                <w:rFonts w:ascii="Times New Roman" w:hAnsi="Times New Roman" w:cs="Times New Roman"/>
              </w:rPr>
              <w:lastRenderedPageBreak/>
              <w:t>накопиченої амортизації та будь-яких накопичених втрат від зменшення корисності.</w:t>
            </w:r>
          </w:p>
          <w:p w14:paraId="47AE0146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Якщо більше неможливо визначити справедливу вартість переоціненого нематеріального активу (оскільки для нього не існує активного ринку), цей актив відображається за переоціненою первісною вартістю </w:t>
            </w:r>
            <w:r w:rsidRPr="0039448F">
              <w:rPr>
                <w:rFonts w:ascii="Times New Roman" w:hAnsi="Times New Roman" w:cs="Times New Roman"/>
                <w:b/>
                <w:bCs/>
              </w:rPr>
              <w:t>на дату останньої переоцінки з використанням даних активного ринку</w:t>
            </w:r>
            <w:r w:rsidRPr="0039448F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за вирахуванням суми будь-якої накопиченої амортизації та будь-яких накопичених втрат від зменшення корисності.</w:t>
            </w:r>
          </w:p>
        </w:tc>
      </w:tr>
      <w:tr w:rsidR="006C651D" w:rsidRPr="0039448F" w14:paraId="12ACA777" w14:textId="77777777" w:rsidTr="00042B75">
        <w:trPr>
          <w:trHeight w:val="2996"/>
        </w:trPr>
        <w:tc>
          <w:tcPr>
            <w:tcW w:w="7372" w:type="dxa"/>
          </w:tcPr>
          <w:p w14:paraId="2D6D7B9C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lastRenderedPageBreak/>
              <w:t>Пункт 7:</w:t>
            </w:r>
          </w:p>
          <w:p w14:paraId="5C2BEB3C" w14:textId="73723465" w:rsidR="006C651D" w:rsidRPr="0039448F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6C651D" w:rsidRPr="0039448F">
              <w:rPr>
                <w:rFonts w:ascii="Times New Roman" w:hAnsi="Times New Roman" w:cs="Times New Roman"/>
              </w:rPr>
              <w:t>Переоцінена первісна вартість та накопичена амортизація 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єкта нематеріального активу визначаються як добуток відповідно первісної вартості або накопиченої амортизації та індексу переоцінки. Індекс переоцінки визначається діленням справедливої вартості 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єкта, який переоцінюється, на його залишкову вартість.</w:t>
            </w:r>
          </w:p>
          <w:p w14:paraId="1BEC354A" w14:textId="15A6DC7F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  <w:strike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Якщо залишкова вартість об</w:t>
            </w:r>
            <w:r w:rsidR="0042292A" w:rsidRPr="0039448F">
              <w:rPr>
                <w:rFonts w:ascii="Times New Roman" w:hAnsi="Times New Roman" w:cs="Times New Roman"/>
                <w:strike/>
              </w:rPr>
              <w:t>’</w:t>
            </w:r>
            <w:r w:rsidRPr="0039448F">
              <w:rPr>
                <w:rFonts w:ascii="Times New Roman" w:hAnsi="Times New Roman" w:cs="Times New Roman"/>
                <w:strike/>
              </w:rPr>
              <w:t>єкта нематеріальних активів дорівнює нулю, то його переоцінена залишкова вартість визначається додаванням справедливої вартості цього об</w:t>
            </w:r>
            <w:r w:rsidR="0042292A" w:rsidRPr="0039448F">
              <w:rPr>
                <w:rFonts w:ascii="Times New Roman" w:hAnsi="Times New Roman" w:cs="Times New Roman"/>
                <w:strike/>
              </w:rPr>
              <w:t>’</w:t>
            </w:r>
            <w:r w:rsidRPr="0039448F">
              <w:rPr>
                <w:rFonts w:ascii="Times New Roman" w:hAnsi="Times New Roman" w:cs="Times New Roman"/>
                <w:strike/>
              </w:rPr>
              <w:t>єкта до його первісної (переоціненої) вартості без зміни суми накопиченої амортизації об</w:t>
            </w:r>
            <w:r w:rsidR="0042292A" w:rsidRPr="0039448F">
              <w:rPr>
                <w:rFonts w:ascii="Times New Roman" w:hAnsi="Times New Roman" w:cs="Times New Roman"/>
                <w:strike/>
              </w:rPr>
              <w:t>’</w:t>
            </w:r>
            <w:r w:rsidRPr="0039448F">
              <w:rPr>
                <w:rFonts w:ascii="Times New Roman" w:hAnsi="Times New Roman" w:cs="Times New Roman"/>
                <w:strike/>
              </w:rPr>
              <w:t>єкта.</w:t>
            </w:r>
          </w:p>
          <w:p w14:paraId="4FC51F37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Відомості про зміни первісної вартості та суми накопиченої амортизації нематеріальних активів заносяться до регістрів їх аналітичного обліку.</w:t>
            </w:r>
          </w:p>
        </w:tc>
        <w:tc>
          <w:tcPr>
            <w:tcW w:w="7796" w:type="dxa"/>
          </w:tcPr>
          <w:p w14:paraId="584B57D2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7:</w:t>
            </w:r>
          </w:p>
          <w:p w14:paraId="5D750122" w14:textId="6C8D4473" w:rsidR="006C651D" w:rsidRPr="0039448F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6C651D" w:rsidRPr="0039448F">
              <w:rPr>
                <w:rFonts w:ascii="Times New Roman" w:hAnsi="Times New Roman" w:cs="Times New Roman"/>
              </w:rPr>
              <w:t>Переоцінена первісна вартість та накопичена амортизація 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єкта нематеріального активу визначаються як добуток відповідно первісної вартості або накопиченої амортизації та індексу переоцінки. Індекс переоцінки визначається діленням справедливої вартості об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єкта, який переоцінюється, на його залишкову вартість.</w:t>
            </w:r>
          </w:p>
          <w:p w14:paraId="5A79ED42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  <w:p w14:paraId="44AA5D19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  <w:p w14:paraId="01DFDBE0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  <w:p w14:paraId="48899D9F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  <w:b/>
                <w:strike/>
              </w:rPr>
            </w:pPr>
          </w:p>
          <w:p w14:paraId="1DC38998" w14:textId="4E2A519C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Відомості про зміни первісної вартості та суми накопиченої амортизації нематеріальних активів заносяться до регістрів їх аналітичного обліку.</w:t>
            </w:r>
          </w:p>
        </w:tc>
      </w:tr>
      <w:tr w:rsidR="006C651D" w:rsidRPr="0039448F" w14:paraId="008A93B0" w14:textId="77777777" w:rsidTr="00042B75">
        <w:trPr>
          <w:trHeight w:val="305"/>
        </w:trPr>
        <w:tc>
          <w:tcPr>
            <w:tcW w:w="7372" w:type="dxa"/>
          </w:tcPr>
          <w:p w14:paraId="385A8C24" w14:textId="19266DDF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7796" w:type="dxa"/>
          </w:tcPr>
          <w:p w14:paraId="31396966" w14:textId="406AABB3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………………..</w:t>
            </w:r>
          </w:p>
        </w:tc>
      </w:tr>
      <w:tr w:rsidR="006C651D" w:rsidRPr="0039448F" w14:paraId="4C99C21F" w14:textId="77777777" w:rsidTr="00042B75">
        <w:trPr>
          <w:trHeight w:val="305"/>
        </w:trPr>
        <w:tc>
          <w:tcPr>
            <w:tcW w:w="15168" w:type="dxa"/>
            <w:gridSpan w:val="2"/>
          </w:tcPr>
          <w:p w14:paraId="5B363AD2" w14:textId="77777777" w:rsidR="006C651D" w:rsidRPr="0039448F" w:rsidRDefault="006C651D" w:rsidP="006C651D">
            <w:pPr>
              <w:spacing w:before="120" w:line="243" w:lineRule="auto"/>
              <w:ind w:left="36" w:right="-9"/>
              <w:jc w:val="center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>IV. Амортизація нематеріальних активів</w:t>
            </w:r>
          </w:p>
          <w:p w14:paraId="29CDA66E" w14:textId="217E62CC" w:rsidR="006C651D" w:rsidRPr="0039448F" w:rsidRDefault="006C651D" w:rsidP="0090560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51D" w:rsidRPr="0039448F" w14:paraId="3FAD9B1B" w14:textId="77777777" w:rsidTr="00042B75">
        <w:trPr>
          <w:trHeight w:val="305"/>
        </w:trPr>
        <w:tc>
          <w:tcPr>
            <w:tcW w:w="7372" w:type="dxa"/>
          </w:tcPr>
          <w:p w14:paraId="167CE74F" w14:textId="4D256BED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7796" w:type="dxa"/>
          </w:tcPr>
          <w:p w14:paraId="50C283A3" w14:textId="7B6439BC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6C651D" w:rsidRPr="0039448F" w14:paraId="2E631544" w14:textId="77777777" w:rsidTr="00042B75">
        <w:trPr>
          <w:trHeight w:val="305"/>
        </w:trPr>
        <w:tc>
          <w:tcPr>
            <w:tcW w:w="7372" w:type="dxa"/>
          </w:tcPr>
          <w:p w14:paraId="0B86B201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Пункт 5: </w:t>
            </w:r>
          </w:p>
          <w:p w14:paraId="4967948C" w14:textId="54BC3065" w:rsidR="006C651D" w:rsidRPr="0039448F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6C651D" w:rsidRPr="0039448F">
              <w:rPr>
                <w:rFonts w:ascii="Times New Roman" w:hAnsi="Times New Roman" w:cs="Times New Roman"/>
              </w:rPr>
              <w:t xml:space="preserve">Строк корисного використання нематеріального активу переглядається </w:t>
            </w:r>
            <w:r w:rsidR="006C651D" w:rsidRPr="0039448F">
              <w:rPr>
                <w:rFonts w:ascii="Times New Roman" w:hAnsi="Times New Roman" w:cs="Times New Roman"/>
                <w:strike/>
              </w:rPr>
              <w:t>в кінці</w:t>
            </w:r>
            <w:r w:rsidR="006C651D" w:rsidRPr="0039448F">
              <w:rPr>
                <w:rFonts w:ascii="Times New Roman" w:hAnsi="Times New Roman" w:cs="Times New Roman"/>
              </w:rPr>
              <w:t xml:space="preserve"> звітного року, якщо в наступному періоді очікуються зміни строку корисного використання активу або зміни умов отримання майбутніх економічних вигід. Нематеріальні активи з невизначеним строком корисного використання </w:t>
            </w:r>
            <w:r w:rsidR="006C651D" w:rsidRPr="00210498">
              <w:rPr>
                <w:rFonts w:ascii="Times New Roman" w:hAnsi="Times New Roman" w:cs="Times New Roman"/>
                <w:strike/>
              </w:rPr>
              <w:t>в кінці кожного року також</w:t>
            </w:r>
            <w:r w:rsidR="006C651D" w:rsidRPr="0039448F">
              <w:rPr>
                <w:rFonts w:ascii="Times New Roman" w:hAnsi="Times New Roman" w:cs="Times New Roman"/>
              </w:rPr>
              <w:t xml:space="preserve"> оцінюються на наявність ознак невизначеності </w:t>
            </w:r>
            <w:r w:rsidR="006C651D" w:rsidRPr="0039448F">
              <w:rPr>
                <w:rFonts w:ascii="Times New Roman" w:hAnsi="Times New Roman" w:cs="Times New Roman"/>
                <w:strike/>
              </w:rPr>
              <w:t>обмеження</w:t>
            </w:r>
            <w:r w:rsidR="006C651D" w:rsidRPr="0039448F">
              <w:rPr>
                <w:rFonts w:ascii="Times New Roman" w:hAnsi="Times New Roman" w:cs="Times New Roman"/>
              </w:rPr>
              <w:t xml:space="preserve"> строку їх корисного використання, та за відсутності таких ознак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єктом державного сектору установлюється строк корисного використання таких нематеріальних активів.</w:t>
            </w:r>
          </w:p>
          <w:p w14:paraId="151BEF25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6EE83F77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40E6E559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7B480281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7F5FD2CB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56BBA33B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10B85D6F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61965AF2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137BC125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5A88BC11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725234F6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25597D4F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51EEEEDB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46C05245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198966D2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4C6A54D1" w14:textId="77777777" w:rsidR="000E3D55" w:rsidRPr="0039448F" w:rsidRDefault="000E3D5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25BAA3F1" w14:textId="790EEB6B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Амортизація нематеріального активу нараховується виходячи з нового строку використання, починаючи з місяця, наступного за місяцем змін.</w:t>
            </w:r>
          </w:p>
        </w:tc>
        <w:tc>
          <w:tcPr>
            <w:tcW w:w="7796" w:type="dxa"/>
          </w:tcPr>
          <w:p w14:paraId="0430094E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lastRenderedPageBreak/>
              <w:t xml:space="preserve">Пункт 5: </w:t>
            </w:r>
          </w:p>
          <w:p w14:paraId="41E1A404" w14:textId="62E52BA7" w:rsidR="006C651D" w:rsidRPr="0039448F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6C651D" w:rsidRPr="0039448F">
              <w:rPr>
                <w:rFonts w:ascii="Times New Roman" w:hAnsi="Times New Roman" w:cs="Times New Roman"/>
              </w:rPr>
              <w:t xml:space="preserve">Строк корисного використання, </w:t>
            </w:r>
            <w:r w:rsidR="006C651D" w:rsidRPr="0039448F">
              <w:rPr>
                <w:rFonts w:ascii="Times New Roman" w:hAnsi="Times New Roman" w:cs="Times New Roman"/>
                <w:b/>
              </w:rPr>
              <w:t>ліквідаційна вартість та метод амортизації</w:t>
            </w:r>
            <w:r w:rsidR="006C651D" w:rsidRPr="0039448F">
              <w:rPr>
                <w:rFonts w:ascii="Times New Roman" w:hAnsi="Times New Roman" w:cs="Times New Roman"/>
              </w:rPr>
              <w:t xml:space="preserve"> нематеріального активу переглядається </w:t>
            </w:r>
            <w:r w:rsidR="006C651D" w:rsidRPr="0039448F">
              <w:rPr>
                <w:rFonts w:ascii="Times New Roman" w:hAnsi="Times New Roman" w:cs="Times New Roman"/>
                <w:b/>
              </w:rPr>
              <w:t>на кінець звітного року</w:t>
            </w:r>
            <w:r w:rsidR="006C651D" w:rsidRPr="0039448F">
              <w:rPr>
                <w:rFonts w:ascii="Times New Roman" w:hAnsi="Times New Roman" w:cs="Times New Roman"/>
              </w:rPr>
              <w:t xml:space="preserve">, якщо в наступному періоді очікуються зміни строку корисного використання активу або зміни умов отримання майбутніх економічних вигід. Нематеріальні активи з невизначеним строком корисного використання </w:t>
            </w:r>
            <w:r w:rsidR="006C651D" w:rsidRPr="0039448F">
              <w:rPr>
                <w:rFonts w:ascii="Times New Roman" w:hAnsi="Times New Roman" w:cs="Times New Roman"/>
                <w:b/>
              </w:rPr>
              <w:t>також на кінець кожного звітного року</w:t>
            </w:r>
            <w:r w:rsidR="006C651D" w:rsidRPr="0039448F">
              <w:rPr>
                <w:rFonts w:ascii="Times New Roman" w:hAnsi="Times New Roman" w:cs="Times New Roman"/>
              </w:rPr>
              <w:t xml:space="preserve"> оцінюються на наявність ознак невизначеності строку їх корисного використання, та за відсутності таких ознак 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 xml:space="preserve">єктом державного сектору установлюється строк корисного використання таких нематеріальних активів. </w:t>
            </w:r>
            <w:r w:rsidR="006C651D" w:rsidRPr="0039448F">
              <w:rPr>
                <w:rFonts w:ascii="Times New Roman" w:hAnsi="Times New Roman" w:cs="Times New Roman"/>
                <w:b/>
              </w:rPr>
              <w:t>Якщо суб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="006C651D" w:rsidRPr="0039448F">
              <w:rPr>
                <w:rFonts w:ascii="Times New Roman" w:hAnsi="Times New Roman" w:cs="Times New Roman"/>
                <w:b/>
              </w:rPr>
              <w:t xml:space="preserve">єкт державного сектору описує чинник (чинники), які </w:t>
            </w:r>
            <w:r w:rsidR="006C651D" w:rsidRPr="0039448F">
              <w:rPr>
                <w:rFonts w:ascii="Times New Roman" w:hAnsi="Times New Roman" w:cs="Times New Roman"/>
                <w:b/>
              </w:rPr>
              <w:lastRenderedPageBreak/>
              <w:t>суттєво впливають на наявність ознак невизначеності строку корисної експлуатації нематеріального активу, він враховує перелік чинників, визначених у пункті 4 цього розділу, та наводить інформацію про причини, які підтверджують оцінку строку корисної експлуатації нематеріального активу як невизначеного у примітках до фінансових звітів.</w:t>
            </w:r>
          </w:p>
          <w:p w14:paraId="7BD3FAAF" w14:textId="354E4027" w:rsidR="006C651D" w:rsidRPr="0039448F" w:rsidRDefault="006C651D" w:rsidP="006C651D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>Строк корисної експлуатації нематеріального активу за угодою, яка має обов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Pr="0039448F">
              <w:rPr>
                <w:rFonts w:ascii="Times New Roman" w:hAnsi="Times New Roman" w:cs="Times New Roman"/>
                <w:b/>
              </w:rPr>
              <w:t>язкову силу (включаючи права за контрактами чи інші юридичні права), не повинен перевищувати строк дії угоди, що має обов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Pr="0039448F">
              <w:rPr>
                <w:rFonts w:ascii="Times New Roman" w:hAnsi="Times New Roman" w:cs="Times New Roman"/>
                <w:b/>
              </w:rPr>
              <w:t>язкову силу (включаючи права за контрактами чи інші юридичні права), але може бути коротшим від періоду, протягом якого суб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Pr="0039448F">
              <w:rPr>
                <w:rFonts w:ascii="Times New Roman" w:hAnsi="Times New Roman" w:cs="Times New Roman"/>
                <w:b/>
              </w:rPr>
              <w:t>єкт державного сектору очікує використовувати актив. Якщо строк угоди, що мають обов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Pr="0039448F">
              <w:rPr>
                <w:rFonts w:ascii="Times New Roman" w:hAnsi="Times New Roman" w:cs="Times New Roman"/>
                <w:b/>
              </w:rPr>
              <w:t>язкову силу (включаючи права за контрактами чи інші юридичні права), може бути подовжений, строк корисної експлуатації нематеріального активу повинен включати подовжений період (періоди), тільки якщо є свідчення, які підтверджують можливість такого подовження суб</w:t>
            </w:r>
            <w:r w:rsidR="0042292A" w:rsidRPr="0039448F">
              <w:rPr>
                <w:rFonts w:ascii="Times New Roman" w:hAnsi="Times New Roman" w:cs="Times New Roman"/>
                <w:b/>
              </w:rPr>
              <w:t>’</w:t>
            </w:r>
            <w:r w:rsidRPr="0039448F">
              <w:rPr>
                <w:rFonts w:ascii="Times New Roman" w:hAnsi="Times New Roman" w:cs="Times New Roman"/>
                <w:b/>
              </w:rPr>
              <w:t>єктом державного сектору без суттєвих витрат.</w:t>
            </w:r>
          </w:p>
          <w:p w14:paraId="0E44F8E6" w14:textId="77777777" w:rsidR="006C651D" w:rsidRPr="0039448F" w:rsidRDefault="006C651D" w:rsidP="006C651D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39448F">
              <w:rPr>
                <w:rFonts w:ascii="Times New Roman" w:hAnsi="Times New Roman" w:cs="Times New Roman"/>
              </w:rPr>
              <w:t xml:space="preserve">Амортизація нематеріального активу нараховується виходячи з нового строку корисного використання, </w:t>
            </w:r>
            <w:r w:rsidRPr="0039448F">
              <w:rPr>
                <w:rFonts w:ascii="Times New Roman" w:hAnsi="Times New Roman" w:cs="Times New Roman"/>
                <w:b/>
              </w:rPr>
              <w:t>методу нарахування амортизації та ліквідаційної вартості</w:t>
            </w:r>
            <w:r w:rsidRPr="0039448F">
              <w:rPr>
                <w:rFonts w:ascii="Times New Roman" w:hAnsi="Times New Roman" w:cs="Times New Roman"/>
              </w:rPr>
              <w:t>, починаючи з місяця, наступного за місяцем змін</w:t>
            </w:r>
            <w:r w:rsidRPr="0039448F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.</w:t>
            </w:r>
          </w:p>
          <w:p w14:paraId="070D43A2" w14:textId="129CE306" w:rsidR="006C651D" w:rsidRPr="0039448F" w:rsidRDefault="006C651D" w:rsidP="0021049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t>Зміна строку корисного використання, ліквідаційної вартості та методу амортизації нематеріального активу відображаються як зміни облікових оцінок відповідно до</w:t>
            </w:r>
            <w:r w:rsidR="00210498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tgtFrame="_blank" w:history="1">
              <w:r w:rsidRPr="0039448F">
                <w:rPr>
                  <w:rFonts w:ascii="Times New Roman" w:hAnsi="Times New Roman" w:cs="Times New Roman"/>
                  <w:b/>
                </w:rPr>
                <w:t>Національного положення (стандарту)</w:t>
              </w:r>
              <w:r w:rsidR="00210498">
                <w:rPr>
                  <w:rFonts w:ascii="Times New Roman" w:hAnsi="Times New Roman" w:cs="Times New Roman"/>
                  <w:b/>
                </w:rPr>
                <w:t xml:space="preserve"> </w:t>
              </w:r>
              <w:r w:rsidRPr="0039448F">
                <w:rPr>
                  <w:rFonts w:ascii="Times New Roman" w:hAnsi="Times New Roman" w:cs="Times New Roman"/>
                  <w:b/>
                </w:rPr>
                <w:t>бухгалтерського обліку в державному секторі 125 «Зміни облікових оцінок та виправлення помилок</w:t>
              </w:r>
            </w:hyperlink>
            <w:r w:rsidRPr="0039448F">
              <w:rPr>
                <w:rFonts w:ascii="Times New Roman" w:hAnsi="Times New Roman" w:cs="Times New Roman"/>
                <w:b/>
              </w:rPr>
              <w:t>», затвердженого наказом Міністерства фінансів України від 24 грудня 2010 року № 1629, зареєстрованого в Міністерстві юстиції України 20 січня 2011 року</w:t>
            </w:r>
            <w:r w:rsidR="00850F9D">
              <w:rPr>
                <w:rFonts w:ascii="Times New Roman" w:hAnsi="Times New Roman" w:cs="Times New Roman"/>
                <w:b/>
              </w:rPr>
              <w:t xml:space="preserve"> </w:t>
            </w:r>
            <w:r w:rsidRPr="0039448F">
              <w:rPr>
                <w:rFonts w:ascii="Times New Roman" w:hAnsi="Times New Roman" w:cs="Times New Roman"/>
                <w:b/>
              </w:rPr>
              <w:t>за № 90/18828.</w:t>
            </w:r>
          </w:p>
        </w:tc>
      </w:tr>
      <w:tr w:rsidR="006C651D" w:rsidRPr="0039448F" w14:paraId="2F4B652A" w14:textId="77777777" w:rsidTr="00042B75">
        <w:trPr>
          <w:trHeight w:val="305"/>
        </w:trPr>
        <w:tc>
          <w:tcPr>
            <w:tcW w:w="7372" w:type="dxa"/>
          </w:tcPr>
          <w:p w14:paraId="16A2BAB6" w14:textId="67EE7835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lastRenderedPageBreak/>
              <w:t>……………..</w:t>
            </w:r>
          </w:p>
        </w:tc>
        <w:tc>
          <w:tcPr>
            <w:tcW w:w="7796" w:type="dxa"/>
          </w:tcPr>
          <w:p w14:paraId="195B795F" w14:textId="3A64FF09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6C651D" w:rsidRPr="0039448F" w14:paraId="241ACF5B" w14:textId="77777777" w:rsidTr="00042B75">
        <w:trPr>
          <w:trHeight w:val="305"/>
        </w:trPr>
        <w:tc>
          <w:tcPr>
            <w:tcW w:w="7372" w:type="dxa"/>
          </w:tcPr>
          <w:p w14:paraId="7395C927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Пункт 8: </w:t>
            </w:r>
          </w:p>
          <w:p w14:paraId="791F3955" w14:textId="77777777" w:rsidR="00042B75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6C651D" w:rsidRPr="0039448F">
              <w:rPr>
                <w:rFonts w:ascii="Times New Roman" w:hAnsi="Times New Roman" w:cs="Times New Roman"/>
              </w:rPr>
              <w:t>Нарахування амортизації починається з місяця, наступного за місяцем, у якому нематеріальний актив уведено в господарський оборот.</w:t>
            </w:r>
            <w:r w:rsidRPr="0039448F">
              <w:rPr>
                <w:rFonts w:ascii="Times New Roman" w:hAnsi="Times New Roman" w:cs="Times New Roman"/>
              </w:rPr>
              <w:t xml:space="preserve"> </w:t>
            </w:r>
          </w:p>
          <w:p w14:paraId="5452C7DD" w14:textId="1A66E9AC" w:rsidR="006C651D" w:rsidRPr="0039448F" w:rsidRDefault="00042B75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Суму нарахованої амортизації суб’єкт державного сектору відображає збільшенням суми накопиченої амортизації нематеріальних активів та витрат.</w:t>
            </w:r>
          </w:p>
        </w:tc>
        <w:tc>
          <w:tcPr>
            <w:tcW w:w="7796" w:type="dxa"/>
          </w:tcPr>
          <w:p w14:paraId="06CA5C4E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 xml:space="preserve">Пункт 8: </w:t>
            </w:r>
          </w:p>
          <w:p w14:paraId="11A47941" w14:textId="77777777" w:rsidR="00042B75" w:rsidRDefault="00042B75" w:rsidP="00042B7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6C651D" w:rsidRPr="0039448F">
              <w:rPr>
                <w:rFonts w:ascii="Times New Roman" w:hAnsi="Times New Roman" w:cs="Times New Roman"/>
              </w:rPr>
              <w:t>Нарахування амортизації починається з місяця, наступного за місяцем, у якому нематеріальний актив уведено в господарський оборот.</w:t>
            </w:r>
            <w:r w:rsidRPr="0039448F">
              <w:rPr>
                <w:rFonts w:ascii="Times New Roman" w:hAnsi="Times New Roman" w:cs="Times New Roman"/>
              </w:rPr>
              <w:t xml:space="preserve"> </w:t>
            </w:r>
          </w:p>
          <w:p w14:paraId="1C43C8D9" w14:textId="06E517AE" w:rsidR="006C651D" w:rsidRPr="0039448F" w:rsidRDefault="00042B75" w:rsidP="00042B7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Суму нарахованої амортизації суб’єкт державного сектору відображає збільшенням суми накопиченої амортизації нематеріальних активів та витрат</w:t>
            </w:r>
            <w:r w:rsidRPr="00210498">
              <w:rPr>
                <w:rFonts w:ascii="Times New Roman" w:hAnsi="Times New Roman" w:cs="Times New Roman"/>
                <w:b/>
              </w:rPr>
              <w:t xml:space="preserve">, </w:t>
            </w:r>
            <w:r w:rsidRPr="0039448F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крім випадків, коли сума цих витрат включається до собівартості іншого активу і балансової вартості такого активу</w:t>
            </w:r>
            <w:r w:rsidRPr="0021049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</w:t>
            </w:r>
            <w:r w:rsidRPr="0039448F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</w:t>
            </w:r>
          </w:p>
        </w:tc>
      </w:tr>
      <w:tr w:rsidR="006C651D" w:rsidRPr="0039448F" w14:paraId="272DF752" w14:textId="77777777" w:rsidTr="00042B75">
        <w:trPr>
          <w:trHeight w:val="305"/>
        </w:trPr>
        <w:tc>
          <w:tcPr>
            <w:tcW w:w="7372" w:type="dxa"/>
          </w:tcPr>
          <w:p w14:paraId="4B45848E" w14:textId="753A4739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7796" w:type="dxa"/>
          </w:tcPr>
          <w:p w14:paraId="6FEA82D6" w14:textId="0546A602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6C651D" w:rsidRPr="0039448F" w14:paraId="42857DED" w14:textId="77777777" w:rsidTr="00042B75">
        <w:trPr>
          <w:trHeight w:val="305"/>
        </w:trPr>
        <w:tc>
          <w:tcPr>
            <w:tcW w:w="15168" w:type="dxa"/>
            <w:gridSpan w:val="2"/>
          </w:tcPr>
          <w:p w14:paraId="5C818E08" w14:textId="2FC65DDA" w:rsidR="006C651D" w:rsidRPr="0039448F" w:rsidRDefault="006C651D" w:rsidP="006C651D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lastRenderedPageBreak/>
              <w:t>VII. Розкриття інформації щодо нематеріальних активів у примітках до фінансових звітів</w:t>
            </w:r>
          </w:p>
        </w:tc>
      </w:tr>
      <w:tr w:rsidR="006C651D" w:rsidRPr="0039448F" w14:paraId="7AABD2EA" w14:textId="77777777" w:rsidTr="00042B75">
        <w:trPr>
          <w:trHeight w:val="305"/>
        </w:trPr>
        <w:tc>
          <w:tcPr>
            <w:tcW w:w="7372" w:type="dxa"/>
          </w:tcPr>
          <w:p w14:paraId="5DCF084C" w14:textId="576CC811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7796" w:type="dxa"/>
          </w:tcPr>
          <w:p w14:paraId="6A7E4524" w14:textId="216CFB4D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6C651D" w:rsidRPr="0039448F" w14:paraId="0DD04A89" w14:textId="77777777" w:rsidTr="00042B75">
        <w:trPr>
          <w:trHeight w:val="305"/>
        </w:trPr>
        <w:tc>
          <w:tcPr>
            <w:tcW w:w="7372" w:type="dxa"/>
          </w:tcPr>
          <w:p w14:paraId="7B5CCE66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2:</w:t>
            </w:r>
          </w:p>
          <w:p w14:paraId="326713CB" w14:textId="03E03543" w:rsidR="006C651D" w:rsidRPr="0039448F" w:rsidRDefault="00850F9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651D" w:rsidRPr="0039448F">
              <w:rPr>
                <w:rFonts w:ascii="Times New Roman" w:hAnsi="Times New Roman" w:cs="Times New Roman"/>
              </w:rPr>
              <w:t>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єкти державного сектору наводять інформацію про:</w:t>
            </w:r>
          </w:p>
        </w:tc>
        <w:tc>
          <w:tcPr>
            <w:tcW w:w="7796" w:type="dxa"/>
          </w:tcPr>
          <w:p w14:paraId="376F2C96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Пункт 2:</w:t>
            </w:r>
          </w:p>
          <w:p w14:paraId="3F0E482A" w14:textId="0BC9E756" w:rsidR="006C651D" w:rsidRPr="0039448F" w:rsidRDefault="00850F9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651D" w:rsidRPr="0039448F">
              <w:rPr>
                <w:rFonts w:ascii="Times New Roman" w:hAnsi="Times New Roman" w:cs="Times New Roman"/>
              </w:rPr>
              <w:t>Суб</w:t>
            </w:r>
            <w:r w:rsidR="0042292A" w:rsidRPr="0039448F">
              <w:rPr>
                <w:rFonts w:ascii="Times New Roman" w:hAnsi="Times New Roman" w:cs="Times New Roman"/>
              </w:rPr>
              <w:t>’</w:t>
            </w:r>
            <w:r w:rsidR="006C651D" w:rsidRPr="0039448F">
              <w:rPr>
                <w:rFonts w:ascii="Times New Roman" w:hAnsi="Times New Roman" w:cs="Times New Roman"/>
              </w:rPr>
              <w:t>єкти державного сектору наводять інформацію про:</w:t>
            </w:r>
          </w:p>
        </w:tc>
      </w:tr>
      <w:tr w:rsidR="006C651D" w:rsidRPr="0039448F" w14:paraId="05D11FB7" w14:textId="77777777" w:rsidTr="00042B75">
        <w:trPr>
          <w:trHeight w:val="305"/>
        </w:trPr>
        <w:tc>
          <w:tcPr>
            <w:tcW w:w="7372" w:type="dxa"/>
          </w:tcPr>
          <w:p w14:paraId="0AC80F2A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2.1. Вартість нематеріальних активів з невизначеним строком корисного використання (експлуатації).</w:t>
            </w:r>
          </w:p>
        </w:tc>
        <w:tc>
          <w:tcPr>
            <w:tcW w:w="7796" w:type="dxa"/>
          </w:tcPr>
          <w:p w14:paraId="37FA63DF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</w:rPr>
              <w:t>2.1. Вартість нематеріальних активів з невизначеним строком корисного використання (експлуатації).</w:t>
            </w:r>
          </w:p>
        </w:tc>
      </w:tr>
      <w:tr w:rsidR="006C651D" w:rsidRPr="0039448F" w14:paraId="47C52400" w14:textId="77777777" w:rsidTr="00042B75">
        <w:trPr>
          <w:trHeight w:val="305"/>
        </w:trPr>
        <w:tc>
          <w:tcPr>
            <w:tcW w:w="7372" w:type="dxa"/>
          </w:tcPr>
          <w:p w14:paraId="42BA5EC3" w14:textId="53F0CE02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9448F">
              <w:rPr>
                <w:rFonts w:ascii="Times New Roman" w:hAnsi="Times New Roman" w:cs="Times New Roman"/>
                <w:b/>
              </w:rPr>
              <w:t>відсутній</w:t>
            </w:r>
          </w:p>
        </w:tc>
        <w:tc>
          <w:tcPr>
            <w:tcW w:w="7796" w:type="dxa"/>
          </w:tcPr>
          <w:p w14:paraId="02D229EC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val="ru-RU" w:eastAsia="uk-UA"/>
              </w:rPr>
            </w:pPr>
            <w:r w:rsidRPr="0039448F">
              <w:rPr>
                <w:rFonts w:ascii="Times New Roman" w:eastAsia="Times New Roman" w:hAnsi="Times New Roman" w:cs="Times New Roman"/>
                <w:b/>
                <w:lang w:eastAsia="uk-UA"/>
              </w:rPr>
              <w:t>2.2</w:t>
            </w:r>
            <w:r w:rsidRPr="0039448F">
              <w:rPr>
                <w:rFonts w:ascii="Times New Roman" w:eastAsia="Times New Roman" w:hAnsi="Times New Roman" w:cs="Times New Roman"/>
                <w:b/>
                <w:lang w:val="ro-RO" w:eastAsia="uk-UA"/>
              </w:rPr>
              <w:t xml:space="preserve"> </w:t>
            </w:r>
            <w:r w:rsidRPr="0039448F">
              <w:rPr>
                <w:rFonts w:ascii="Times New Roman" w:eastAsia="Times New Roman" w:hAnsi="Times New Roman" w:cs="Times New Roman"/>
                <w:b/>
                <w:lang w:val="ru-RU" w:eastAsia="uk-UA"/>
              </w:rPr>
              <w:t>П</w:t>
            </w:r>
            <w:r w:rsidRPr="0039448F">
              <w:rPr>
                <w:rFonts w:ascii="Times New Roman" w:eastAsia="Times New Roman" w:hAnsi="Times New Roman" w:cs="Times New Roman"/>
                <w:b/>
                <w:lang w:val="ro-RO" w:eastAsia="uk-UA"/>
              </w:rPr>
              <w:t>ричини, які підтверджують оцінку строку корисної експлуатації нематеріального активу як невизначеного</w:t>
            </w:r>
            <w:r w:rsidRPr="0039448F">
              <w:rPr>
                <w:rFonts w:ascii="Times New Roman" w:eastAsia="Times New Roman" w:hAnsi="Times New Roman" w:cs="Times New Roman"/>
                <w:b/>
                <w:color w:val="333333"/>
                <w:lang w:val="ru-RU" w:eastAsia="uk-UA"/>
              </w:rPr>
              <w:t>.</w:t>
            </w:r>
          </w:p>
          <w:p w14:paraId="539EF65C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51D" w:rsidRPr="0039448F" w14:paraId="57816EF4" w14:textId="77777777" w:rsidTr="00042B75">
        <w:trPr>
          <w:trHeight w:val="305"/>
        </w:trPr>
        <w:tc>
          <w:tcPr>
            <w:tcW w:w="7372" w:type="dxa"/>
          </w:tcPr>
          <w:p w14:paraId="7102F029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2.2.</w:t>
            </w:r>
            <w:r w:rsidRPr="0039448F">
              <w:rPr>
                <w:rFonts w:ascii="Times New Roman" w:hAnsi="Times New Roman" w:cs="Times New Roman"/>
              </w:rPr>
              <w:t xml:space="preserve"> Суму нематеріальних активів, отриманих безоплатно.</w:t>
            </w:r>
          </w:p>
        </w:tc>
        <w:tc>
          <w:tcPr>
            <w:tcW w:w="7796" w:type="dxa"/>
          </w:tcPr>
          <w:p w14:paraId="18C43EC5" w14:textId="6652C5B7" w:rsidR="006C651D" w:rsidRPr="0039448F" w:rsidRDefault="006C651D" w:rsidP="002B0C1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t>2.3</w:t>
            </w:r>
            <w:r w:rsidRPr="0039448F">
              <w:rPr>
                <w:rFonts w:ascii="Times New Roman" w:hAnsi="Times New Roman" w:cs="Times New Roman"/>
              </w:rPr>
              <w:t>. Суму нематеріальних активів, отриманих безоплатно.</w:t>
            </w:r>
          </w:p>
        </w:tc>
      </w:tr>
      <w:tr w:rsidR="006C651D" w:rsidRPr="0039448F" w14:paraId="405F3C91" w14:textId="77777777" w:rsidTr="00042B75">
        <w:trPr>
          <w:trHeight w:val="305"/>
        </w:trPr>
        <w:tc>
          <w:tcPr>
            <w:tcW w:w="7372" w:type="dxa"/>
          </w:tcPr>
          <w:p w14:paraId="1B8A7A8F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2.3</w:t>
            </w:r>
            <w:r w:rsidRPr="0039448F">
              <w:rPr>
                <w:rFonts w:ascii="Times New Roman" w:hAnsi="Times New Roman" w:cs="Times New Roman"/>
              </w:rPr>
              <w:t>. Первісну (переоцінену) вартість та накопичену амортизацію нематеріальних активів, щодо яких існує обмеження права власності.</w:t>
            </w:r>
          </w:p>
        </w:tc>
        <w:tc>
          <w:tcPr>
            <w:tcW w:w="7796" w:type="dxa"/>
          </w:tcPr>
          <w:p w14:paraId="2A8C735A" w14:textId="18627A54" w:rsidR="006C651D" w:rsidRPr="0039448F" w:rsidRDefault="006C651D" w:rsidP="002B0C1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t>2</w:t>
            </w:r>
            <w:r w:rsidR="002B0C18" w:rsidRPr="0039448F">
              <w:rPr>
                <w:rFonts w:ascii="Times New Roman" w:hAnsi="Times New Roman" w:cs="Times New Roman"/>
                <w:b/>
              </w:rPr>
              <w:t>.</w:t>
            </w:r>
            <w:r w:rsidRPr="0039448F">
              <w:rPr>
                <w:rFonts w:ascii="Times New Roman" w:hAnsi="Times New Roman" w:cs="Times New Roman"/>
                <w:b/>
              </w:rPr>
              <w:t>4.</w:t>
            </w:r>
            <w:r w:rsidRPr="0039448F">
              <w:rPr>
                <w:rFonts w:ascii="Times New Roman" w:hAnsi="Times New Roman" w:cs="Times New Roman"/>
              </w:rPr>
              <w:t xml:space="preserve"> Первісну (переоцінену) вартість та накопичену амортизацію нематеріальних активів, щодо яких існує обмеження права власності.</w:t>
            </w:r>
          </w:p>
        </w:tc>
      </w:tr>
      <w:tr w:rsidR="006C651D" w:rsidRPr="0039448F" w14:paraId="49DF1DBC" w14:textId="77777777" w:rsidTr="00042B75">
        <w:trPr>
          <w:trHeight w:val="305"/>
        </w:trPr>
        <w:tc>
          <w:tcPr>
            <w:tcW w:w="7372" w:type="dxa"/>
          </w:tcPr>
          <w:p w14:paraId="20A35487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2.4.</w:t>
            </w:r>
            <w:r w:rsidRPr="0039448F">
              <w:rPr>
                <w:rFonts w:ascii="Times New Roman" w:hAnsi="Times New Roman" w:cs="Times New Roman"/>
              </w:rPr>
              <w:t xml:space="preserve"> Первісну (переоцінену) вартість та накопичену амортизацію переданих у заставу нематеріальних активів.</w:t>
            </w:r>
          </w:p>
        </w:tc>
        <w:tc>
          <w:tcPr>
            <w:tcW w:w="7796" w:type="dxa"/>
          </w:tcPr>
          <w:p w14:paraId="34EE8E51" w14:textId="18B2C118" w:rsidR="006C651D" w:rsidRPr="0039448F" w:rsidRDefault="006C651D" w:rsidP="002B0C1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t>2</w:t>
            </w:r>
            <w:r w:rsidR="002B0C18" w:rsidRPr="0039448F">
              <w:rPr>
                <w:rFonts w:ascii="Times New Roman" w:hAnsi="Times New Roman" w:cs="Times New Roman"/>
                <w:b/>
              </w:rPr>
              <w:t>.</w:t>
            </w:r>
            <w:r w:rsidRPr="0039448F">
              <w:rPr>
                <w:rFonts w:ascii="Times New Roman" w:hAnsi="Times New Roman" w:cs="Times New Roman"/>
                <w:b/>
              </w:rPr>
              <w:t>5.</w:t>
            </w:r>
            <w:r w:rsidRPr="0039448F">
              <w:rPr>
                <w:rFonts w:ascii="Times New Roman" w:hAnsi="Times New Roman" w:cs="Times New Roman"/>
              </w:rPr>
              <w:t xml:space="preserve"> Первісну (переоцінену) вартість та накопичену амортизацію переданих у заставу нематеріальних активів.</w:t>
            </w:r>
          </w:p>
        </w:tc>
      </w:tr>
      <w:tr w:rsidR="006C651D" w:rsidRPr="0039448F" w14:paraId="6E53C09C" w14:textId="77777777" w:rsidTr="00042B75">
        <w:trPr>
          <w:trHeight w:val="305"/>
        </w:trPr>
        <w:tc>
          <w:tcPr>
            <w:tcW w:w="7372" w:type="dxa"/>
          </w:tcPr>
          <w:p w14:paraId="0F849B6D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2.5.</w:t>
            </w:r>
            <w:r w:rsidRPr="0039448F">
              <w:rPr>
                <w:rFonts w:ascii="Times New Roman" w:hAnsi="Times New Roman" w:cs="Times New Roman"/>
              </w:rPr>
              <w:t xml:space="preserve"> Суму договорів на придбання у майбутньому нематеріальних активів.</w:t>
            </w:r>
          </w:p>
        </w:tc>
        <w:tc>
          <w:tcPr>
            <w:tcW w:w="7796" w:type="dxa"/>
          </w:tcPr>
          <w:p w14:paraId="6D4B6E2D" w14:textId="406BF363" w:rsidR="006C651D" w:rsidRPr="0039448F" w:rsidRDefault="006C651D" w:rsidP="002B0C1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t>2.6.</w:t>
            </w:r>
            <w:r w:rsidRPr="0039448F">
              <w:rPr>
                <w:rFonts w:ascii="Times New Roman" w:hAnsi="Times New Roman" w:cs="Times New Roman"/>
              </w:rPr>
              <w:t xml:space="preserve"> Суму договорів на придбання у майбутньому нематеріальних активів.</w:t>
            </w:r>
          </w:p>
        </w:tc>
      </w:tr>
      <w:tr w:rsidR="006C651D" w:rsidRPr="0039448F" w14:paraId="7DDEBD5B" w14:textId="77777777" w:rsidTr="00042B75">
        <w:trPr>
          <w:trHeight w:val="305"/>
        </w:trPr>
        <w:tc>
          <w:tcPr>
            <w:tcW w:w="7372" w:type="dxa"/>
          </w:tcPr>
          <w:p w14:paraId="1E1117AA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2.6.</w:t>
            </w:r>
            <w:r w:rsidRPr="0039448F">
              <w:rPr>
                <w:rFonts w:ascii="Times New Roman" w:hAnsi="Times New Roman" w:cs="Times New Roman"/>
              </w:rPr>
              <w:t xml:space="preserve"> Загальну суму витрат на дослідження та розробки, що включена до складу витрат звітного періоду.</w:t>
            </w:r>
          </w:p>
        </w:tc>
        <w:tc>
          <w:tcPr>
            <w:tcW w:w="7796" w:type="dxa"/>
          </w:tcPr>
          <w:p w14:paraId="10C58A09" w14:textId="5AA92BAE" w:rsidR="006C651D" w:rsidRPr="0039448F" w:rsidRDefault="006C651D" w:rsidP="002B0C1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t>2.7.</w:t>
            </w:r>
            <w:r w:rsidRPr="0039448F">
              <w:rPr>
                <w:rFonts w:ascii="Times New Roman" w:hAnsi="Times New Roman" w:cs="Times New Roman"/>
              </w:rPr>
              <w:t xml:space="preserve"> Загальну суму витрат на дослідження та розробки, що включена до складу витрат звітного періоду.</w:t>
            </w:r>
          </w:p>
        </w:tc>
      </w:tr>
      <w:tr w:rsidR="006C651D" w:rsidRPr="0039448F" w14:paraId="6EEC19CF" w14:textId="77777777" w:rsidTr="00042B75">
        <w:trPr>
          <w:trHeight w:val="305"/>
        </w:trPr>
        <w:tc>
          <w:tcPr>
            <w:tcW w:w="7372" w:type="dxa"/>
          </w:tcPr>
          <w:p w14:paraId="11E5FD0D" w14:textId="77777777" w:rsidR="006C651D" w:rsidRPr="0039448F" w:rsidRDefault="006C651D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strike/>
              </w:rPr>
              <w:t>2.7.</w:t>
            </w:r>
            <w:r w:rsidRPr="0039448F">
              <w:rPr>
                <w:rFonts w:ascii="Times New Roman" w:hAnsi="Times New Roman" w:cs="Times New Roman"/>
              </w:rPr>
              <w:t xml:space="preserve"> Склад нематеріальних активів, інформація про які є суттєвою, їх залишкову вартість та строк корисного використання, що залишився.</w:t>
            </w:r>
          </w:p>
          <w:p w14:paraId="651349A3" w14:textId="77BFBDEC" w:rsidR="00C8682E" w:rsidRPr="0039448F" w:rsidRDefault="00C8682E" w:rsidP="006C651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2CC93989" w14:textId="77777777" w:rsidR="006C651D" w:rsidRPr="0039448F" w:rsidRDefault="006C651D" w:rsidP="002B0C18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9448F">
              <w:rPr>
                <w:rFonts w:ascii="Times New Roman" w:hAnsi="Times New Roman" w:cs="Times New Roman"/>
                <w:b/>
              </w:rPr>
              <w:t>2.8</w:t>
            </w:r>
            <w:r w:rsidRPr="0039448F">
              <w:rPr>
                <w:rFonts w:ascii="Times New Roman" w:hAnsi="Times New Roman" w:cs="Times New Roman"/>
              </w:rPr>
              <w:t>. Склад нематеріальних активів, інформація про які є суттєвою, їх залишкову вартість та строк корисного використання, що залишився.</w:t>
            </w:r>
          </w:p>
          <w:p w14:paraId="2FFCDC8A" w14:textId="3DACE490" w:rsidR="00C8682E" w:rsidRPr="0039448F" w:rsidRDefault="00C8682E" w:rsidP="002B0C18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44188" w14:textId="77777777" w:rsidR="000862AF" w:rsidRPr="00872B58" w:rsidRDefault="000862AF" w:rsidP="00F85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1E6D6F" w14:textId="77777777" w:rsidR="002B0C18" w:rsidRPr="002B0C18" w:rsidRDefault="002B0C18" w:rsidP="002B0C18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9049B" w14:textId="77777777" w:rsidR="002B0C18" w:rsidRPr="002B0C18" w:rsidRDefault="002B0C18" w:rsidP="002B0C18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18">
        <w:rPr>
          <w:rFonts w:ascii="Times New Roman" w:hAnsi="Times New Roman" w:cs="Times New Roman"/>
          <w:b/>
          <w:sz w:val="28"/>
          <w:szCs w:val="28"/>
        </w:rPr>
        <w:t>Міністр фінансів України                                                                                                                           Сергій МАРЧЕНКО</w:t>
      </w:r>
    </w:p>
    <w:p w14:paraId="42127A83" w14:textId="77777777" w:rsidR="002B0C18" w:rsidRPr="002B0C18" w:rsidRDefault="002B0C18" w:rsidP="002B0C18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2C303" w14:textId="28FB84DF" w:rsidR="002B0C18" w:rsidRPr="002B0C18" w:rsidRDefault="002B0C18" w:rsidP="002B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C18">
        <w:rPr>
          <w:rFonts w:ascii="Times New Roman" w:hAnsi="Times New Roman" w:cs="Times New Roman"/>
          <w:b/>
          <w:sz w:val="28"/>
          <w:szCs w:val="28"/>
        </w:rPr>
        <w:t>___   ___________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0C18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5130389C" w14:textId="77777777" w:rsidR="002B0C18" w:rsidRPr="00377AE9" w:rsidRDefault="002B0C18" w:rsidP="002B0C18">
      <w:pPr>
        <w:spacing w:after="0" w:line="240" w:lineRule="auto"/>
      </w:pPr>
    </w:p>
    <w:p w14:paraId="41F88F70" w14:textId="77777777" w:rsidR="002B0C18" w:rsidRPr="00377AE9" w:rsidRDefault="002B0C18" w:rsidP="002B0C18"/>
    <w:p w14:paraId="7E32B4F3" w14:textId="77777777" w:rsidR="000862AF" w:rsidRDefault="000862AF" w:rsidP="00F85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7047E" w14:textId="510CF1FB" w:rsidR="00D7359B" w:rsidRDefault="00D7359B" w:rsidP="00D7359B">
      <w:pPr>
        <w:pStyle w:val="3"/>
        <w:jc w:val="center"/>
      </w:pPr>
    </w:p>
    <w:sectPr w:rsidR="00D7359B" w:rsidSect="00D7359B">
      <w:headerReference w:type="default" r:id="rId9"/>
      <w:pgSz w:w="16838" w:h="11906" w:orient="landscape"/>
      <w:pgMar w:top="1134" w:right="536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89D55" w14:textId="77777777" w:rsidR="00583697" w:rsidRDefault="00583697" w:rsidP="00EC0F28">
      <w:pPr>
        <w:spacing w:after="0" w:line="240" w:lineRule="auto"/>
      </w:pPr>
      <w:r>
        <w:separator/>
      </w:r>
    </w:p>
  </w:endnote>
  <w:endnote w:type="continuationSeparator" w:id="0">
    <w:p w14:paraId="71E88D13" w14:textId="77777777" w:rsidR="00583697" w:rsidRDefault="00583697" w:rsidP="00EC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9338" w14:textId="77777777" w:rsidR="00583697" w:rsidRDefault="00583697" w:rsidP="00EC0F28">
      <w:pPr>
        <w:spacing w:after="0" w:line="240" w:lineRule="auto"/>
      </w:pPr>
      <w:r>
        <w:separator/>
      </w:r>
    </w:p>
  </w:footnote>
  <w:footnote w:type="continuationSeparator" w:id="0">
    <w:p w14:paraId="55268833" w14:textId="77777777" w:rsidR="00583697" w:rsidRDefault="00583697" w:rsidP="00EC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982864"/>
      <w:docPartObj>
        <w:docPartGallery w:val="Page Numbers (Top of Page)"/>
        <w:docPartUnique/>
      </w:docPartObj>
    </w:sdtPr>
    <w:sdtEndPr/>
    <w:sdtContent>
      <w:p w14:paraId="7D45BB6D" w14:textId="36BFA6A4" w:rsidR="00B92C23" w:rsidRDefault="00B92C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A4">
          <w:rPr>
            <w:noProof/>
          </w:rPr>
          <w:t>2</w:t>
        </w:r>
        <w:r>
          <w:fldChar w:fldCharType="end"/>
        </w:r>
      </w:p>
    </w:sdtContent>
  </w:sdt>
  <w:p w14:paraId="773447B8" w14:textId="77777777" w:rsidR="00B92C23" w:rsidRDefault="00B92C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E83"/>
    <w:multiLevelType w:val="hybridMultilevel"/>
    <w:tmpl w:val="9A565AB6"/>
    <w:lvl w:ilvl="0" w:tplc="66D8D876">
      <w:start w:val="108"/>
      <w:numFmt w:val="decimal"/>
      <w:lvlText w:val="%1."/>
      <w:lvlJc w:val="left"/>
      <w:pPr>
        <w:ind w:left="532" w:hanging="360"/>
      </w:pPr>
      <w:rPr>
        <w:rFonts w:eastAsiaTheme="minorHAnsi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252" w:hanging="360"/>
      </w:pPr>
    </w:lvl>
    <w:lvl w:ilvl="2" w:tplc="0422001B" w:tentative="1">
      <w:start w:val="1"/>
      <w:numFmt w:val="lowerRoman"/>
      <w:lvlText w:val="%3."/>
      <w:lvlJc w:val="right"/>
      <w:pPr>
        <w:ind w:left="1972" w:hanging="180"/>
      </w:pPr>
    </w:lvl>
    <w:lvl w:ilvl="3" w:tplc="0422000F" w:tentative="1">
      <w:start w:val="1"/>
      <w:numFmt w:val="decimal"/>
      <w:lvlText w:val="%4."/>
      <w:lvlJc w:val="left"/>
      <w:pPr>
        <w:ind w:left="2692" w:hanging="360"/>
      </w:pPr>
    </w:lvl>
    <w:lvl w:ilvl="4" w:tplc="04220019" w:tentative="1">
      <w:start w:val="1"/>
      <w:numFmt w:val="lowerLetter"/>
      <w:lvlText w:val="%5."/>
      <w:lvlJc w:val="left"/>
      <w:pPr>
        <w:ind w:left="3412" w:hanging="360"/>
      </w:pPr>
    </w:lvl>
    <w:lvl w:ilvl="5" w:tplc="0422001B" w:tentative="1">
      <w:start w:val="1"/>
      <w:numFmt w:val="lowerRoman"/>
      <w:lvlText w:val="%6."/>
      <w:lvlJc w:val="right"/>
      <w:pPr>
        <w:ind w:left="4132" w:hanging="180"/>
      </w:pPr>
    </w:lvl>
    <w:lvl w:ilvl="6" w:tplc="0422000F" w:tentative="1">
      <w:start w:val="1"/>
      <w:numFmt w:val="decimal"/>
      <w:lvlText w:val="%7."/>
      <w:lvlJc w:val="left"/>
      <w:pPr>
        <w:ind w:left="4852" w:hanging="360"/>
      </w:pPr>
    </w:lvl>
    <w:lvl w:ilvl="7" w:tplc="04220019" w:tentative="1">
      <w:start w:val="1"/>
      <w:numFmt w:val="lowerLetter"/>
      <w:lvlText w:val="%8."/>
      <w:lvlJc w:val="left"/>
      <w:pPr>
        <w:ind w:left="5572" w:hanging="360"/>
      </w:pPr>
    </w:lvl>
    <w:lvl w:ilvl="8" w:tplc="0422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1FD270CD"/>
    <w:multiLevelType w:val="hybridMultilevel"/>
    <w:tmpl w:val="D3A4C3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5B09"/>
    <w:multiLevelType w:val="hybridMultilevel"/>
    <w:tmpl w:val="5882CD86"/>
    <w:lvl w:ilvl="0" w:tplc="54FCD6D0">
      <w:start w:val="1"/>
      <w:numFmt w:val="decimal"/>
      <w:lvlText w:val="%1."/>
      <w:lvlJc w:val="left"/>
      <w:pPr>
        <w:ind w:left="1116" w:hanging="548"/>
      </w:pPr>
      <w:rPr>
        <w:rFonts w:ascii="Times New Roman" w:eastAsia="Times New Roman" w:hAnsi="Times New Roman" w:hint="default"/>
        <w:i w:val="0"/>
        <w:spacing w:val="-1"/>
        <w:w w:val="101"/>
        <w:sz w:val="20"/>
        <w:szCs w:val="20"/>
      </w:rPr>
    </w:lvl>
    <w:lvl w:ilvl="1" w:tplc="06E6F89A">
      <w:start w:val="1"/>
      <w:numFmt w:val="lowerLetter"/>
      <w:lvlText w:val="(%2)"/>
      <w:lvlJc w:val="left"/>
      <w:pPr>
        <w:ind w:left="1194" w:hanging="548"/>
      </w:pPr>
      <w:rPr>
        <w:rFonts w:ascii="Times New Roman" w:eastAsia="Times New Roman" w:hAnsi="Times New Roman" w:hint="default"/>
        <w:spacing w:val="-1"/>
        <w:w w:val="101"/>
        <w:sz w:val="20"/>
        <w:szCs w:val="20"/>
      </w:rPr>
    </w:lvl>
    <w:lvl w:ilvl="2" w:tplc="BE8C8AE8">
      <w:start w:val="1"/>
      <w:numFmt w:val="lowerRoman"/>
      <w:lvlText w:val="(%3)"/>
      <w:lvlJc w:val="left"/>
      <w:pPr>
        <w:ind w:left="1741" w:hanging="548"/>
      </w:pPr>
      <w:rPr>
        <w:rFonts w:ascii="Times New Roman" w:eastAsia="Times New Roman" w:hAnsi="Times New Roman" w:hint="default"/>
        <w:spacing w:val="-1"/>
        <w:w w:val="101"/>
        <w:sz w:val="20"/>
        <w:szCs w:val="20"/>
      </w:rPr>
    </w:lvl>
    <w:lvl w:ilvl="3" w:tplc="8ADCB45A">
      <w:start w:val="1"/>
      <w:numFmt w:val="bullet"/>
      <w:lvlText w:val="•"/>
      <w:lvlJc w:val="left"/>
      <w:pPr>
        <w:ind w:left="1367" w:hanging="548"/>
      </w:pPr>
      <w:rPr>
        <w:rFonts w:hint="default"/>
      </w:rPr>
    </w:lvl>
    <w:lvl w:ilvl="4" w:tplc="97C281EE">
      <w:start w:val="1"/>
      <w:numFmt w:val="bullet"/>
      <w:lvlText w:val="•"/>
      <w:lvlJc w:val="left"/>
      <w:pPr>
        <w:ind w:left="1741" w:hanging="548"/>
      </w:pPr>
      <w:rPr>
        <w:rFonts w:hint="default"/>
      </w:rPr>
    </w:lvl>
    <w:lvl w:ilvl="5" w:tplc="FF948F98">
      <w:start w:val="1"/>
      <w:numFmt w:val="bullet"/>
      <w:lvlText w:val="•"/>
      <w:lvlJc w:val="left"/>
      <w:pPr>
        <w:ind w:left="1741" w:hanging="548"/>
      </w:pPr>
      <w:rPr>
        <w:rFonts w:hint="default"/>
      </w:rPr>
    </w:lvl>
    <w:lvl w:ilvl="6" w:tplc="3D2ACFFA">
      <w:start w:val="1"/>
      <w:numFmt w:val="bullet"/>
      <w:lvlText w:val="•"/>
      <w:lvlJc w:val="left"/>
      <w:pPr>
        <w:ind w:left="2733" w:hanging="548"/>
      </w:pPr>
      <w:rPr>
        <w:rFonts w:hint="default"/>
      </w:rPr>
    </w:lvl>
    <w:lvl w:ilvl="7" w:tplc="5CB60F96">
      <w:start w:val="1"/>
      <w:numFmt w:val="bullet"/>
      <w:lvlText w:val="•"/>
      <w:lvlJc w:val="left"/>
      <w:pPr>
        <w:ind w:left="3724" w:hanging="548"/>
      </w:pPr>
      <w:rPr>
        <w:rFonts w:hint="default"/>
      </w:rPr>
    </w:lvl>
    <w:lvl w:ilvl="8" w:tplc="68F28616">
      <w:start w:val="1"/>
      <w:numFmt w:val="bullet"/>
      <w:lvlText w:val="•"/>
      <w:lvlJc w:val="left"/>
      <w:pPr>
        <w:ind w:left="4716" w:hanging="548"/>
      </w:pPr>
      <w:rPr>
        <w:rFonts w:hint="default"/>
      </w:rPr>
    </w:lvl>
  </w:abstractNum>
  <w:abstractNum w:abstractNumId="3" w15:restartNumberingAfterBreak="0">
    <w:nsid w:val="33FA2A6F"/>
    <w:multiLevelType w:val="hybridMultilevel"/>
    <w:tmpl w:val="32FC75DE"/>
    <w:lvl w:ilvl="0" w:tplc="4CC810FA">
      <w:start w:val="1"/>
      <w:numFmt w:val="decimal"/>
      <w:lvlText w:val="%1."/>
      <w:lvlJc w:val="left"/>
      <w:pPr>
        <w:ind w:left="528" w:hanging="414"/>
      </w:pPr>
      <w:rPr>
        <w:rFonts w:ascii="Times New Roman" w:eastAsia="Times New Roman" w:hAnsi="Times New Roman" w:hint="default"/>
        <w:b w:val="0"/>
        <w:bCs/>
        <w:i w:val="0"/>
        <w:spacing w:val="-1"/>
        <w:w w:val="101"/>
        <w:sz w:val="22"/>
        <w:szCs w:val="23"/>
      </w:rPr>
    </w:lvl>
    <w:lvl w:ilvl="1" w:tplc="428AFD46">
      <w:start w:val="1"/>
      <w:numFmt w:val="bullet"/>
      <w:lvlText w:val="•"/>
      <w:lvlJc w:val="left"/>
      <w:pPr>
        <w:ind w:left="1353" w:hanging="414"/>
      </w:pPr>
      <w:rPr>
        <w:rFonts w:hint="default"/>
      </w:rPr>
    </w:lvl>
    <w:lvl w:ilvl="2" w:tplc="EC6A1C72">
      <w:start w:val="1"/>
      <w:numFmt w:val="bullet"/>
      <w:lvlText w:val="•"/>
      <w:lvlJc w:val="left"/>
      <w:pPr>
        <w:ind w:left="2179" w:hanging="414"/>
      </w:pPr>
      <w:rPr>
        <w:rFonts w:hint="default"/>
      </w:rPr>
    </w:lvl>
    <w:lvl w:ilvl="3" w:tplc="B6709CF4">
      <w:start w:val="1"/>
      <w:numFmt w:val="bullet"/>
      <w:lvlText w:val="•"/>
      <w:lvlJc w:val="left"/>
      <w:pPr>
        <w:ind w:left="3004" w:hanging="414"/>
      </w:pPr>
      <w:rPr>
        <w:rFonts w:hint="default"/>
      </w:rPr>
    </w:lvl>
    <w:lvl w:ilvl="4" w:tplc="C452FCBA">
      <w:start w:val="1"/>
      <w:numFmt w:val="bullet"/>
      <w:lvlText w:val="•"/>
      <w:lvlJc w:val="left"/>
      <w:pPr>
        <w:ind w:left="3829" w:hanging="414"/>
      </w:pPr>
      <w:rPr>
        <w:rFonts w:hint="default"/>
      </w:rPr>
    </w:lvl>
    <w:lvl w:ilvl="5" w:tplc="0BA2ADCE">
      <w:start w:val="1"/>
      <w:numFmt w:val="bullet"/>
      <w:lvlText w:val="•"/>
      <w:lvlJc w:val="left"/>
      <w:pPr>
        <w:ind w:left="4654" w:hanging="414"/>
      </w:pPr>
      <w:rPr>
        <w:rFonts w:hint="default"/>
      </w:rPr>
    </w:lvl>
    <w:lvl w:ilvl="6" w:tplc="2CA082A4">
      <w:start w:val="1"/>
      <w:numFmt w:val="bullet"/>
      <w:lvlText w:val="•"/>
      <w:lvlJc w:val="left"/>
      <w:pPr>
        <w:ind w:left="5479" w:hanging="414"/>
      </w:pPr>
      <w:rPr>
        <w:rFonts w:hint="default"/>
      </w:rPr>
    </w:lvl>
    <w:lvl w:ilvl="7" w:tplc="6FA6C572">
      <w:start w:val="1"/>
      <w:numFmt w:val="bullet"/>
      <w:lvlText w:val="•"/>
      <w:lvlJc w:val="left"/>
      <w:pPr>
        <w:ind w:left="6304" w:hanging="414"/>
      </w:pPr>
      <w:rPr>
        <w:rFonts w:hint="default"/>
      </w:rPr>
    </w:lvl>
    <w:lvl w:ilvl="8" w:tplc="35AA233A">
      <w:start w:val="1"/>
      <w:numFmt w:val="bullet"/>
      <w:lvlText w:val="•"/>
      <w:lvlJc w:val="left"/>
      <w:pPr>
        <w:ind w:left="7129" w:hanging="414"/>
      </w:pPr>
      <w:rPr>
        <w:rFonts w:hint="default"/>
      </w:rPr>
    </w:lvl>
  </w:abstractNum>
  <w:abstractNum w:abstractNumId="4" w15:restartNumberingAfterBreak="0">
    <w:nsid w:val="344F056F"/>
    <w:multiLevelType w:val="hybridMultilevel"/>
    <w:tmpl w:val="4DAE9B7A"/>
    <w:lvl w:ilvl="0" w:tplc="18E466A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33C2"/>
    <w:multiLevelType w:val="hybridMultilevel"/>
    <w:tmpl w:val="D3AABA04"/>
    <w:lvl w:ilvl="0" w:tplc="A6C2FE06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06F7"/>
    <w:multiLevelType w:val="hybridMultilevel"/>
    <w:tmpl w:val="4E5A31F2"/>
    <w:lvl w:ilvl="0" w:tplc="C7A218B6">
      <w:start w:val="7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7CAA"/>
    <w:multiLevelType w:val="hybridMultilevel"/>
    <w:tmpl w:val="AD3C6C72"/>
    <w:lvl w:ilvl="0" w:tplc="EA8216E4">
      <w:start w:val="4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35D2F"/>
    <w:multiLevelType w:val="hybridMultilevel"/>
    <w:tmpl w:val="D8E44804"/>
    <w:lvl w:ilvl="0" w:tplc="327C23F2">
      <w:start w:val="5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738DB"/>
    <w:multiLevelType w:val="hybridMultilevel"/>
    <w:tmpl w:val="BED69C3E"/>
    <w:lvl w:ilvl="0" w:tplc="EB38423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82D1159"/>
    <w:multiLevelType w:val="hybridMultilevel"/>
    <w:tmpl w:val="D3A4C3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114CF"/>
    <w:multiLevelType w:val="hybridMultilevel"/>
    <w:tmpl w:val="331298B2"/>
    <w:lvl w:ilvl="0" w:tplc="DD06B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455190"/>
    <w:multiLevelType w:val="hybridMultilevel"/>
    <w:tmpl w:val="FEE2AC76"/>
    <w:lvl w:ilvl="0" w:tplc="CF8CE9EA">
      <w:start w:val="39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8220227"/>
    <w:multiLevelType w:val="hybridMultilevel"/>
    <w:tmpl w:val="864EC17E"/>
    <w:lvl w:ilvl="0" w:tplc="D30C109C">
      <w:start w:val="7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ED"/>
    <w:rsid w:val="00003F69"/>
    <w:rsid w:val="00004AA5"/>
    <w:rsid w:val="0000517A"/>
    <w:rsid w:val="00005DAC"/>
    <w:rsid w:val="00006411"/>
    <w:rsid w:val="000141E3"/>
    <w:rsid w:val="00015AD4"/>
    <w:rsid w:val="00016484"/>
    <w:rsid w:val="000233C8"/>
    <w:rsid w:val="0004247C"/>
    <w:rsid w:val="00042B75"/>
    <w:rsid w:val="00044401"/>
    <w:rsid w:val="00045BCD"/>
    <w:rsid w:val="00046424"/>
    <w:rsid w:val="00056486"/>
    <w:rsid w:val="000607D1"/>
    <w:rsid w:val="00060BB4"/>
    <w:rsid w:val="00060E45"/>
    <w:rsid w:val="00061CFC"/>
    <w:rsid w:val="00065F1D"/>
    <w:rsid w:val="000715B6"/>
    <w:rsid w:val="000760DD"/>
    <w:rsid w:val="00076E2D"/>
    <w:rsid w:val="000802F2"/>
    <w:rsid w:val="000862AF"/>
    <w:rsid w:val="00086BCC"/>
    <w:rsid w:val="0009172C"/>
    <w:rsid w:val="00092DFD"/>
    <w:rsid w:val="00097EFC"/>
    <w:rsid w:val="000A368B"/>
    <w:rsid w:val="000A4566"/>
    <w:rsid w:val="000A5A55"/>
    <w:rsid w:val="000A67D1"/>
    <w:rsid w:val="000B044B"/>
    <w:rsid w:val="000B0657"/>
    <w:rsid w:val="000B53B6"/>
    <w:rsid w:val="000B5674"/>
    <w:rsid w:val="000B7A09"/>
    <w:rsid w:val="000C5A74"/>
    <w:rsid w:val="000D2204"/>
    <w:rsid w:val="000E0557"/>
    <w:rsid w:val="000E1891"/>
    <w:rsid w:val="000E313F"/>
    <w:rsid w:val="000E3D55"/>
    <w:rsid w:val="000E5516"/>
    <w:rsid w:val="000E7595"/>
    <w:rsid w:val="000F17C3"/>
    <w:rsid w:val="000F184A"/>
    <w:rsid w:val="000F1AC9"/>
    <w:rsid w:val="000F2E0F"/>
    <w:rsid w:val="00101F5F"/>
    <w:rsid w:val="00102646"/>
    <w:rsid w:val="0010408F"/>
    <w:rsid w:val="001054D5"/>
    <w:rsid w:val="001061AB"/>
    <w:rsid w:val="00107B6A"/>
    <w:rsid w:val="001128B9"/>
    <w:rsid w:val="001214B4"/>
    <w:rsid w:val="001225FB"/>
    <w:rsid w:val="001227E5"/>
    <w:rsid w:val="00122897"/>
    <w:rsid w:val="0012455F"/>
    <w:rsid w:val="00127D2D"/>
    <w:rsid w:val="00131214"/>
    <w:rsid w:val="001328D0"/>
    <w:rsid w:val="00135FAB"/>
    <w:rsid w:val="001366C1"/>
    <w:rsid w:val="00141FA8"/>
    <w:rsid w:val="001445ED"/>
    <w:rsid w:val="00145069"/>
    <w:rsid w:val="00147D5F"/>
    <w:rsid w:val="00150D59"/>
    <w:rsid w:val="0015691F"/>
    <w:rsid w:val="00162EAE"/>
    <w:rsid w:val="001637EB"/>
    <w:rsid w:val="00170F39"/>
    <w:rsid w:val="001740CB"/>
    <w:rsid w:val="00175C9C"/>
    <w:rsid w:val="001775D4"/>
    <w:rsid w:val="001776A7"/>
    <w:rsid w:val="00177B79"/>
    <w:rsid w:val="00181FF2"/>
    <w:rsid w:val="0018418A"/>
    <w:rsid w:val="00187C9C"/>
    <w:rsid w:val="001910BB"/>
    <w:rsid w:val="001961C2"/>
    <w:rsid w:val="001A0335"/>
    <w:rsid w:val="001A0CAA"/>
    <w:rsid w:val="001A317B"/>
    <w:rsid w:val="001B150F"/>
    <w:rsid w:val="001B20E2"/>
    <w:rsid w:val="001B687B"/>
    <w:rsid w:val="001C046E"/>
    <w:rsid w:val="001C7BD6"/>
    <w:rsid w:val="001D0052"/>
    <w:rsid w:val="001D19FC"/>
    <w:rsid w:val="001E3FB5"/>
    <w:rsid w:val="001E4BAD"/>
    <w:rsid w:val="001E61BD"/>
    <w:rsid w:val="001E6FA0"/>
    <w:rsid w:val="001F09F0"/>
    <w:rsid w:val="001F0A8E"/>
    <w:rsid w:val="001F1729"/>
    <w:rsid w:val="001F39C1"/>
    <w:rsid w:val="00200B44"/>
    <w:rsid w:val="00201C78"/>
    <w:rsid w:val="00203DF1"/>
    <w:rsid w:val="00210498"/>
    <w:rsid w:val="0021214B"/>
    <w:rsid w:val="00212B4D"/>
    <w:rsid w:val="0021471F"/>
    <w:rsid w:val="00224513"/>
    <w:rsid w:val="00226A8B"/>
    <w:rsid w:val="00227C16"/>
    <w:rsid w:val="002321E2"/>
    <w:rsid w:val="00232F45"/>
    <w:rsid w:val="00233BC7"/>
    <w:rsid w:val="00234FDF"/>
    <w:rsid w:val="002413C7"/>
    <w:rsid w:val="00251A12"/>
    <w:rsid w:val="00253A27"/>
    <w:rsid w:val="0025608B"/>
    <w:rsid w:val="00256933"/>
    <w:rsid w:val="002569D3"/>
    <w:rsid w:val="00260DDA"/>
    <w:rsid w:val="002626BF"/>
    <w:rsid w:val="002640B1"/>
    <w:rsid w:val="00266B37"/>
    <w:rsid w:val="00270050"/>
    <w:rsid w:val="00271E2D"/>
    <w:rsid w:val="00272573"/>
    <w:rsid w:val="002725BE"/>
    <w:rsid w:val="00274E1B"/>
    <w:rsid w:val="0028271E"/>
    <w:rsid w:val="00284376"/>
    <w:rsid w:val="00286ACD"/>
    <w:rsid w:val="002870EE"/>
    <w:rsid w:val="00292B0A"/>
    <w:rsid w:val="00292EC5"/>
    <w:rsid w:val="00296DCF"/>
    <w:rsid w:val="00296F69"/>
    <w:rsid w:val="002A1072"/>
    <w:rsid w:val="002A17FF"/>
    <w:rsid w:val="002A1C26"/>
    <w:rsid w:val="002A2D2C"/>
    <w:rsid w:val="002A3C8C"/>
    <w:rsid w:val="002A3FDC"/>
    <w:rsid w:val="002A6D39"/>
    <w:rsid w:val="002A6E79"/>
    <w:rsid w:val="002A7D59"/>
    <w:rsid w:val="002B034E"/>
    <w:rsid w:val="002B0C18"/>
    <w:rsid w:val="002B5DE1"/>
    <w:rsid w:val="002B7E90"/>
    <w:rsid w:val="002C435B"/>
    <w:rsid w:val="002D401D"/>
    <w:rsid w:val="002D4659"/>
    <w:rsid w:val="002D49BB"/>
    <w:rsid w:val="002F0202"/>
    <w:rsid w:val="002F0831"/>
    <w:rsid w:val="002F25B4"/>
    <w:rsid w:val="002F2EBD"/>
    <w:rsid w:val="002F6E84"/>
    <w:rsid w:val="002F786E"/>
    <w:rsid w:val="00300C8F"/>
    <w:rsid w:val="00302AE4"/>
    <w:rsid w:val="003042A9"/>
    <w:rsid w:val="00305A08"/>
    <w:rsid w:val="003066FB"/>
    <w:rsid w:val="0030784E"/>
    <w:rsid w:val="00311DFA"/>
    <w:rsid w:val="00317B45"/>
    <w:rsid w:val="00320862"/>
    <w:rsid w:val="0032299C"/>
    <w:rsid w:val="0032410D"/>
    <w:rsid w:val="00330D1E"/>
    <w:rsid w:val="003333B7"/>
    <w:rsid w:val="00333CAD"/>
    <w:rsid w:val="00337D70"/>
    <w:rsid w:val="0034148E"/>
    <w:rsid w:val="003539DB"/>
    <w:rsid w:val="00355DED"/>
    <w:rsid w:val="00360F85"/>
    <w:rsid w:val="00361972"/>
    <w:rsid w:val="00364183"/>
    <w:rsid w:val="0036481A"/>
    <w:rsid w:val="00366780"/>
    <w:rsid w:val="00367D6F"/>
    <w:rsid w:val="00370C52"/>
    <w:rsid w:val="00371AE9"/>
    <w:rsid w:val="00372012"/>
    <w:rsid w:val="0037292C"/>
    <w:rsid w:val="0037374F"/>
    <w:rsid w:val="003738F5"/>
    <w:rsid w:val="003739CA"/>
    <w:rsid w:val="003749F8"/>
    <w:rsid w:val="00377453"/>
    <w:rsid w:val="00377D12"/>
    <w:rsid w:val="00381C55"/>
    <w:rsid w:val="003859F2"/>
    <w:rsid w:val="003864B9"/>
    <w:rsid w:val="003866F5"/>
    <w:rsid w:val="00390513"/>
    <w:rsid w:val="00393CBD"/>
    <w:rsid w:val="003943AD"/>
    <w:rsid w:val="0039448F"/>
    <w:rsid w:val="003A03EF"/>
    <w:rsid w:val="003A056D"/>
    <w:rsid w:val="003A0A6F"/>
    <w:rsid w:val="003A1BB3"/>
    <w:rsid w:val="003A2279"/>
    <w:rsid w:val="003A5A54"/>
    <w:rsid w:val="003A5C30"/>
    <w:rsid w:val="003A6BD5"/>
    <w:rsid w:val="003A7004"/>
    <w:rsid w:val="003A7F49"/>
    <w:rsid w:val="003B20AD"/>
    <w:rsid w:val="003B30C0"/>
    <w:rsid w:val="003B3E0B"/>
    <w:rsid w:val="003C2628"/>
    <w:rsid w:val="003C7D90"/>
    <w:rsid w:val="003D1C01"/>
    <w:rsid w:val="003D284E"/>
    <w:rsid w:val="003D41E3"/>
    <w:rsid w:val="003D6FA9"/>
    <w:rsid w:val="003D7962"/>
    <w:rsid w:val="003E26C5"/>
    <w:rsid w:val="003E57C1"/>
    <w:rsid w:val="003E6B2D"/>
    <w:rsid w:val="003F30D2"/>
    <w:rsid w:val="003F4FCF"/>
    <w:rsid w:val="003F6449"/>
    <w:rsid w:val="0040234F"/>
    <w:rsid w:val="00412AA7"/>
    <w:rsid w:val="004139D8"/>
    <w:rsid w:val="00414CA3"/>
    <w:rsid w:val="00416ADE"/>
    <w:rsid w:val="004205D8"/>
    <w:rsid w:val="00421BDF"/>
    <w:rsid w:val="0042292A"/>
    <w:rsid w:val="00423518"/>
    <w:rsid w:val="00425F54"/>
    <w:rsid w:val="0042740E"/>
    <w:rsid w:val="0043410E"/>
    <w:rsid w:val="004358BA"/>
    <w:rsid w:val="004366F8"/>
    <w:rsid w:val="0044063E"/>
    <w:rsid w:val="00440648"/>
    <w:rsid w:val="00442356"/>
    <w:rsid w:val="00442AD1"/>
    <w:rsid w:val="00443845"/>
    <w:rsid w:val="00444646"/>
    <w:rsid w:val="00446641"/>
    <w:rsid w:val="00447DBB"/>
    <w:rsid w:val="00450A0B"/>
    <w:rsid w:val="00461AAA"/>
    <w:rsid w:val="00462C18"/>
    <w:rsid w:val="004639F5"/>
    <w:rsid w:val="0047348E"/>
    <w:rsid w:val="00473D92"/>
    <w:rsid w:val="00475549"/>
    <w:rsid w:val="00476AEF"/>
    <w:rsid w:val="00485853"/>
    <w:rsid w:val="00490D2C"/>
    <w:rsid w:val="00491BE8"/>
    <w:rsid w:val="00493EDC"/>
    <w:rsid w:val="004A3822"/>
    <w:rsid w:val="004B1066"/>
    <w:rsid w:val="004B430A"/>
    <w:rsid w:val="004B7AD3"/>
    <w:rsid w:val="004C0E31"/>
    <w:rsid w:val="004C1D14"/>
    <w:rsid w:val="004C47C6"/>
    <w:rsid w:val="004D1BB6"/>
    <w:rsid w:val="004D57CE"/>
    <w:rsid w:val="004D609E"/>
    <w:rsid w:val="004D7809"/>
    <w:rsid w:val="004E0864"/>
    <w:rsid w:val="004E11FA"/>
    <w:rsid w:val="004E1CBF"/>
    <w:rsid w:val="004E233D"/>
    <w:rsid w:val="004E7CAC"/>
    <w:rsid w:val="004F229E"/>
    <w:rsid w:val="004F3C5D"/>
    <w:rsid w:val="004F3CE8"/>
    <w:rsid w:val="00500326"/>
    <w:rsid w:val="0050133A"/>
    <w:rsid w:val="005050C6"/>
    <w:rsid w:val="0050725A"/>
    <w:rsid w:val="0051230E"/>
    <w:rsid w:val="00520939"/>
    <w:rsid w:val="00521105"/>
    <w:rsid w:val="00521C00"/>
    <w:rsid w:val="0052242D"/>
    <w:rsid w:val="005270D3"/>
    <w:rsid w:val="0052749D"/>
    <w:rsid w:val="005316B5"/>
    <w:rsid w:val="00541A1A"/>
    <w:rsid w:val="00545B20"/>
    <w:rsid w:val="0054651D"/>
    <w:rsid w:val="00547356"/>
    <w:rsid w:val="00550D91"/>
    <w:rsid w:val="00560E53"/>
    <w:rsid w:val="00562376"/>
    <w:rsid w:val="00562E5D"/>
    <w:rsid w:val="00566610"/>
    <w:rsid w:val="00571255"/>
    <w:rsid w:val="00572848"/>
    <w:rsid w:val="00573A74"/>
    <w:rsid w:val="00573DBE"/>
    <w:rsid w:val="00573EE4"/>
    <w:rsid w:val="0057613D"/>
    <w:rsid w:val="00576DB6"/>
    <w:rsid w:val="00577A26"/>
    <w:rsid w:val="00580E0F"/>
    <w:rsid w:val="00582117"/>
    <w:rsid w:val="00582650"/>
    <w:rsid w:val="00582AFD"/>
    <w:rsid w:val="00582E74"/>
    <w:rsid w:val="00583697"/>
    <w:rsid w:val="00583928"/>
    <w:rsid w:val="005860F2"/>
    <w:rsid w:val="005870DB"/>
    <w:rsid w:val="005940B4"/>
    <w:rsid w:val="00597CCD"/>
    <w:rsid w:val="005A0A9D"/>
    <w:rsid w:val="005A121B"/>
    <w:rsid w:val="005A1B5C"/>
    <w:rsid w:val="005A1D81"/>
    <w:rsid w:val="005A26B4"/>
    <w:rsid w:val="005A5428"/>
    <w:rsid w:val="005B3F95"/>
    <w:rsid w:val="005C0DD0"/>
    <w:rsid w:val="005C14A2"/>
    <w:rsid w:val="005C22B1"/>
    <w:rsid w:val="005C7E3D"/>
    <w:rsid w:val="005D0CE5"/>
    <w:rsid w:val="005D3E83"/>
    <w:rsid w:val="005D4889"/>
    <w:rsid w:val="005E20C3"/>
    <w:rsid w:val="005E49E2"/>
    <w:rsid w:val="005E6BFA"/>
    <w:rsid w:val="005F0215"/>
    <w:rsid w:val="005F1EFB"/>
    <w:rsid w:val="005F243F"/>
    <w:rsid w:val="005F3950"/>
    <w:rsid w:val="005F4473"/>
    <w:rsid w:val="005F699E"/>
    <w:rsid w:val="005F70DB"/>
    <w:rsid w:val="005F72B1"/>
    <w:rsid w:val="0060195A"/>
    <w:rsid w:val="00602CE7"/>
    <w:rsid w:val="006034B7"/>
    <w:rsid w:val="00611B03"/>
    <w:rsid w:val="00612A04"/>
    <w:rsid w:val="00613C37"/>
    <w:rsid w:val="00614D57"/>
    <w:rsid w:val="00615B1B"/>
    <w:rsid w:val="00622AC8"/>
    <w:rsid w:val="00631510"/>
    <w:rsid w:val="00634A01"/>
    <w:rsid w:val="00636440"/>
    <w:rsid w:val="00640437"/>
    <w:rsid w:val="00640FF3"/>
    <w:rsid w:val="006421B8"/>
    <w:rsid w:val="00643006"/>
    <w:rsid w:val="0064370A"/>
    <w:rsid w:val="00647ACE"/>
    <w:rsid w:val="00650219"/>
    <w:rsid w:val="006543C5"/>
    <w:rsid w:val="00657496"/>
    <w:rsid w:val="00657686"/>
    <w:rsid w:val="006620BD"/>
    <w:rsid w:val="0066447A"/>
    <w:rsid w:val="00664D86"/>
    <w:rsid w:val="00665BE4"/>
    <w:rsid w:val="006661E2"/>
    <w:rsid w:val="00667963"/>
    <w:rsid w:val="006718DE"/>
    <w:rsid w:val="0067522E"/>
    <w:rsid w:val="00683070"/>
    <w:rsid w:val="006841E7"/>
    <w:rsid w:val="00687DB1"/>
    <w:rsid w:val="00692F47"/>
    <w:rsid w:val="00697883"/>
    <w:rsid w:val="006A224C"/>
    <w:rsid w:val="006A2C43"/>
    <w:rsid w:val="006A3FD0"/>
    <w:rsid w:val="006B02B2"/>
    <w:rsid w:val="006B3139"/>
    <w:rsid w:val="006B6C6C"/>
    <w:rsid w:val="006C20FE"/>
    <w:rsid w:val="006C31C4"/>
    <w:rsid w:val="006C4517"/>
    <w:rsid w:val="006C651D"/>
    <w:rsid w:val="006C7201"/>
    <w:rsid w:val="006D3166"/>
    <w:rsid w:val="006E0982"/>
    <w:rsid w:val="006E3B5F"/>
    <w:rsid w:val="006E3D4D"/>
    <w:rsid w:val="006E60E5"/>
    <w:rsid w:val="006E764D"/>
    <w:rsid w:val="00705C7F"/>
    <w:rsid w:val="00712C78"/>
    <w:rsid w:val="00713E53"/>
    <w:rsid w:val="00715E20"/>
    <w:rsid w:val="00720B72"/>
    <w:rsid w:val="00724240"/>
    <w:rsid w:val="00727299"/>
    <w:rsid w:val="0073205D"/>
    <w:rsid w:val="00732B08"/>
    <w:rsid w:val="00734786"/>
    <w:rsid w:val="00745538"/>
    <w:rsid w:val="00745F9B"/>
    <w:rsid w:val="00747644"/>
    <w:rsid w:val="0074786F"/>
    <w:rsid w:val="007510AF"/>
    <w:rsid w:val="00752A1E"/>
    <w:rsid w:val="007548DA"/>
    <w:rsid w:val="00762785"/>
    <w:rsid w:val="0076784E"/>
    <w:rsid w:val="00767A1B"/>
    <w:rsid w:val="00774019"/>
    <w:rsid w:val="00775EFA"/>
    <w:rsid w:val="00776CF4"/>
    <w:rsid w:val="007824B9"/>
    <w:rsid w:val="00787209"/>
    <w:rsid w:val="00790340"/>
    <w:rsid w:val="00790F4C"/>
    <w:rsid w:val="007920CC"/>
    <w:rsid w:val="007934C8"/>
    <w:rsid w:val="007947E3"/>
    <w:rsid w:val="00794C08"/>
    <w:rsid w:val="00797B10"/>
    <w:rsid w:val="007A5512"/>
    <w:rsid w:val="007A560F"/>
    <w:rsid w:val="007A6066"/>
    <w:rsid w:val="007B1717"/>
    <w:rsid w:val="007B1731"/>
    <w:rsid w:val="007B29AC"/>
    <w:rsid w:val="007B4C47"/>
    <w:rsid w:val="007C10F8"/>
    <w:rsid w:val="007C691F"/>
    <w:rsid w:val="007D01EA"/>
    <w:rsid w:val="007D2134"/>
    <w:rsid w:val="007D66E2"/>
    <w:rsid w:val="007E6637"/>
    <w:rsid w:val="007E76BE"/>
    <w:rsid w:val="007E7AD6"/>
    <w:rsid w:val="007F1221"/>
    <w:rsid w:val="007F3D19"/>
    <w:rsid w:val="00800308"/>
    <w:rsid w:val="00801854"/>
    <w:rsid w:val="00801928"/>
    <w:rsid w:val="00801A32"/>
    <w:rsid w:val="00802DB1"/>
    <w:rsid w:val="0080411C"/>
    <w:rsid w:val="00805AB7"/>
    <w:rsid w:val="00807FE2"/>
    <w:rsid w:val="008114F1"/>
    <w:rsid w:val="00811B70"/>
    <w:rsid w:val="00812872"/>
    <w:rsid w:val="00814624"/>
    <w:rsid w:val="0082012B"/>
    <w:rsid w:val="008248B1"/>
    <w:rsid w:val="00824C95"/>
    <w:rsid w:val="008258F3"/>
    <w:rsid w:val="00826ED5"/>
    <w:rsid w:val="008303CA"/>
    <w:rsid w:val="00833300"/>
    <w:rsid w:val="00841C7D"/>
    <w:rsid w:val="00843E51"/>
    <w:rsid w:val="00846462"/>
    <w:rsid w:val="00850390"/>
    <w:rsid w:val="00850F9D"/>
    <w:rsid w:val="00851137"/>
    <w:rsid w:val="00852DD1"/>
    <w:rsid w:val="008533EA"/>
    <w:rsid w:val="00854151"/>
    <w:rsid w:val="00856520"/>
    <w:rsid w:val="008566DB"/>
    <w:rsid w:val="00857E45"/>
    <w:rsid w:val="00870419"/>
    <w:rsid w:val="00872B58"/>
    <w:rsid w:val="008762CB"/>
    <w:rsid w:val="00876DFC"/>
    <w:rsid w:val="00880236"/>
    <w:rsid w:val="008820B3"/>
    <w:rsid w:val="0088248F"/>
    <w:rsid w:val="00884DAA"/>
    <w:rsid w:val="0088637A"/>
    <w:rsid w:val="00890E54"/>
    <w:rsid w:val="0089236F"/>
    <w:rsid w:val="00893345"/>
    <w:rsid w:val="00894BC0"/>
    <w:rsid w:val="008B086A"/>
    <w:rsid w:val="008B17F7"/>
    <w:rsid w:val="008B1D7C"/>
    <w:rsid w:val="008B1E75"/>
    <w:rsid w:val="008B5FB4"/>
    <w:rsid w:val="008B7C61"/>
    <w:rsid w:val="008C1ACB"/>
    <w:rsid w:val="008C2119"/>
    <w:rsid w:val="008C2D4D"/>
    <w:rsid w:val="008C61D8"/>
    <w:rsid w:val="008C7D6C"/>
    <w:rsid w:val="008D033B"/>
    <w:rsid w:val="008D1530"/>
    <w:rsid w:val="008D22EA"/>
    <w:rsid w:val="008D5F18"/>
    <w:rsid w:val="008D6976"/>
    <w:rsid w:val="008E1AB6"/>
    <w:rsid w:val="008E4DA0"/>
    <w:rsid w:val="008E530A"/>
    <w:rsid w:val="008E55E6"/>
    <w:rsid w:val="008E57F9"/>
    <w:rsid w:val="008E74F5"/>
    <w:rsid w:val="008F07BF"/>
    <w:rsid w:val="008F167C"/>
    <w:rsid w:val="008F3C3F"/>
    <w:rsid w:val="008F3D28"/>
    <w:rsid w:val="008F4BD0"/>
    <w:rsid w:val="008F5B5C"/>
    <w:rsid w:val="008F68B2"/>
    <w:rsid w:val="008F7784"/>
    <w:rsid w:val="00905600"/>
    <w:rsid w:val="00911A9A"/>
    <w:rsid w:val="00913888"/>
    <w:rsid w:val="00914FA0"/>
    <w:rsid w:val="00921A94"/>
    <w:rsid w:val="00927329"/>
    <w:rsid w:val="0093252E"/>
    <w:rsid w:val="00936101"/>
    <w:rsid w:val="00936607"/>
    <w:rsid w:val="009369B5"/>
    <w:rsid w:val="009376BA"/>
    <w:rsid w:val="0094047E"/>
    <w:rsid w:val="00941C30"/>
    <w:rsid w:val="009433D7"/>
    <w:rsid w:val="009439F7"/>
    <w:rsid w:val="00944ABD"/>
    <w:rsid w:val="009508B8"/>
    <w:rsid w:val="00955BCC"/>
    <w:rsid w:val="00955EEE"/>
    <w:rsid w:val="009611B5"/>
    <w:rsid w:val="00963AE4"/>
    <w:rsid w:val="009646A3"/>
    <w:rsid w:val="00965E4C"/>
    <w:rsid w:val="0097163F"/>
    <w:rsid w:val="00972EC5"/>
    <w:rsid w:val="00976074"/>
    <w:rsid w:val="00976A7B"/>
    <w:rsid w:val="00977EA7"/>
    <w:rsid w:val="009816D6"/>
    <w:rsid w:val="00994DF7"/>
    <w:rsid w:val="009968FE"/>
    <w:rsid w:val="009A0455"/>
    <w:rsid w:val="009A25C4"/>
    <w:rsid w:val="009A670E"/>
    <w:rsid w:val="009A6F2A"/>
    <w:rsid w:val="009A7A7E"/>
    <w:rsid w:val="009B7660"/>
    <w:rsid w:val="009C0177"/>
    <w:rsid w:val="009C3AB0"/>
    <w:rsid w:val="009C45DB"/>
    <w:rsid w:val="009C5361"/>
    <w:rsid w:val="009C7B8B"/>
    <w:rsid w:val="009D5CAE"/>
    <w:rsid w:val="009D7094"/>
    <w:rsid w:val="009D77A4"/>
    <w:rsid w:val="009E07C4"/>
    <w:rsid w:val="009E1A6A"/>
    <w:rsid w:val="009E30E8"/>
    <w:rsid w:val="009E3E0F"/>
    <w:rsid w:val="009E422B"/>
    <w:rsid w:val="009E52FA"/>
    <w:rsid w:val="009E69D9"/>
    <w:rsid w:val="009F30D1"/>
    <w:rsid w:val="00A00F5E"/>
    <w:rsid w:val="00A033B8"/>
    <w:rsid w:val="00A11A86"/>
    <w:rsid w:val="00A20726"/>
    <w:rsid w:val="00A23A0D"/>
    <w:rsid w:val="00A30F87"/>
    <w:rsid w:val="00A36FE6"/>
    <w:rsid w:val="00A37D1C"/>
    <w:rsid w:val="00A4023A"/>
    <w:rsid w:val="00A41EB7"/>
    <w:rsid w:val="00A42B2F"/>
    <w:rsid w:val="00A553DE"/>
    <w:rsid w:val="00A601D8"/>
    <w:rsid w:val="00A60678"/>
    <w:rsid w:val="00A60EF5"/>
    <w:rsid w:val="00A63A08"/>
    <w:rsid w:val="00A65B0D"/>
    <w:rsid w:val="00A71EA1"/>
    <w:rsid w:val="00A7230D"/>
    <w:rsid w:val="00A72398"/>
    <w:rsid w:val="00A7379D"/>
    <w:rsid w:val="00A7419A"/>
    <w:rsid w:val="00A776B4"/>
    <w:rsid w:val="00A828F0"/>
    <w:rsid w:val="00A9263E"/>
    <w:rsid w:val="00A9413D"/>
    <w:rsid w:val="00AA2513"/>
    <w:rsid w:val="00AA4B08"/>
    <w:rsid w:val="00AA6442"/>
    <w:rsid w:val="00AB0DB3"/>
    <w:rsid w:val="00AB0ED2"/>
    <w:rsid w:val="00AB1C97"/>
    <w:rsid w:val="00AB6C58"/>
    <w:rsid w:val="00AC028C"/>
    <w:rsid w:val="00AC4021"/>
    <w:rsid w:val="00AC55D2"/>
    <w:rsid w:val="00AD02A9"/>
    <w:rsid w:val="00AE1AAA"/>
    <w:rsid w:val="00AE4FFD"/>
    <w:rsid w:val="00AF0834"/>
    <w:rsid w:val="00AF6368"/>
    <w:rsid w:val="00B00D76"/>
    <w:rsid w:val="00B01668"/>
    <w:rsid w:val="00B107F3"/>
    <w:rsid w:val="00B2138C"/>
    <w:rsid w:val="00B2348D"/>
    <w:rsid w:val="00B24F5D"/>
    <w:rsid w:val="00B26329"/>
    <w:rsid w:val="00B31A7E"/>
    <w:rsid w:val="00B3793B"/>
    <w:rsid w:val="00B403D7"/>
    <w:rsid w:val="00B4041E"/>
    <w:rsid w:val="00B44B2B"/>
    <w:rsid w:val="00B54347"/>
    <w:rsid w:val="00B548EE"/>
    <w:rsid w:val="00B603BD"/>
    <w:rsid w:val="00B60744"/>
    <w:rsid w:val="00B609DD"/>
    <w:rsid w:val="00B6116E"/>
    <w:rsid w:val="00B614BB"/>
    <w:rsid w:val="00B64C35"/>
    <w:rsid w:val="00B70C98"/>
    <w:rsid w:val="00B70F06"/>
    <w:rsid w:val="00B7270D"/>
    <w:rsid w:val="00B74691"/>
    <w:rsid w:val="00B77C7C"/>
    <w:rsid w:val="00B806E1"/>
    <w:rsid w:val="00B82E1C"/>
    <w:rsid w:val="00B8376F"/>
    <w:rsid w:val="00B8435F"/>
    <w:rsid w:val="00B87D4B"/>
    <w:rsid w:val="00B92C23"/>
    <w:rsid w:val="00B94B37"/>
    <w:rsid w:val="00B968D0"/>
    <w:rsid w:val="00B96E60"/>
    <w:rsid w:val="00BA00E3"/>
    <w:rsid w:val="00BA3245"/>
    <w:rsid w:val="00BA34B3"/>
    <w:rsid w:val="00BA5436"/>
    <w:rsid w:val="00BA5B4A"/>
    <w:rsid w:val="00BB09A9"/>
    <w:rsid w:val="00BB0F94"/>
    <w:rsid w:val="00BB22DE"/>
    <w:rsid w:val="00BB4928"/>
    <w:rsid w:val="00BC3A4F"/>
    <w:rsid w:val="00BC7FBE"/>
    <w:rsid w:val="00BD40B3"/>
    <w:rsid w:val="00BD48A2"/>
    <w:rsid w:val="00BD4ADE"/>
    <w:rsid w:val="00BE03D5"/>
    <w:rsid w:val="00BE0715"/>
    <w:rsid w:val="00BE2823"/>
    <w:rsid w:val="00BE4738"/>
    <w:rsid w:val="00BE7E1D"/>
    <w:rsid w:val="00BF16C6"/>
    <w:rsid w:val="00BF2295"/>
    <w:rsid w:val="00BF265C"/>
    <w:rsid w:val="00BF4803"/>
    <w:rsid w:val="00BF4C1A"/>
    <w:rsid w:val="00BF4E6A"/>
    <w:rsid w:val="00C0254F"/>
    <w:rsid w:val="00C02AD2"/>
    <w:rsid w:val="00C07BAE"/>
    <w:rsid w:val="00C07CBD"/>
    <w:rsid w:val="00C129E9"/>
    <w:rsid w:val="00C16258"/>
    <w:rsid w:val="00C20CB1"/>
    <w:rsid w:val="00C2204C"/>
    <w:rsid w:val="00C22408"/>
    <w:rsid w:val="00C239C1"/>
    <w:rsid w:val="00C305F5"/>
    <w:rsid w:val="00C33497"/>
    <w:rsid w:val="00C3389D"/>
    <w:rsid w:val="00C35A27"/>
    <w:rsid w:val="00C447FB"/>
    <w:rsid w:val="00C44D42"/>
    <w:rsid w:val="00C45C02"/>
    <w:rsid w:val="00C54ACD"/>
    <w:rsid w:val="00C56984"/>
    <w:rsid w:val="00C579C5"/>
    <w:rsid w:val="00C61352"/>
    <w:rsid w:val="00C61C1D"/>
    <w:rsid w:val="00C66260"/>
    <w:rsid w:val="00C67335"/>
    <w:rsid w:val="00C80B8B"/>
    <w:rsid w:val="00C81221"/>
    <w:rsid w:val="00C82DCD"/>
    <w:rsid w:val="00C854A8"/>
    <w:rsid w:val="00C8682E"/>
    <w:rsid w:val="00C9073C"/>
    <w:rsid w:val="00C92E49"/>
    <w:rsid w:val="00C93035"/>
    <w:rsid w:val="00C94E8A"/>
    <w:rsid w:val="00CA0858"/>
    <w:rsid w:val="00CA1367"/>
    <w:rsid w:val="00CA3209"/>
    <w:rsid w:val="00CA7A01"/>
    <w:rsid w:val="00CB2F87"/>
    <w:rsid w:val="00CB3A59"/>
    <w:rsid w:val="00CB47D0"/>
    <w:rsid w:val="00CB5683"/>
    <w:rsid w:val="00CB5F72"/>
    <w:rsid w:val="00CB7B5F"/>
    <w:rsid w:val="00CB7C94"/>
    <w:rsid w:val="00CC3D63"/>
    <w:rsid w:val="00CC4315"/>
    <w:rsid w:val="00CC7191"/>
    <w:rsid w:val="00CD0B89"/>
    <w:rsid w:val="00CD122A"/>
    <w:rsid w:val="00CD5FAA"/>
    <w:rsid w:val="00CE004A"/>
    <w:rsid w:val="00CE075A"/>
    <w:rsid w:val="00CE13F2"/>
    <w:rsid w:val="00CE1B30"/>
    <w:rsid w:val="00CE41C7"/>
    <w:rsid w:val="00CF07F0"/>
    <w:rsid w:val="00CF34F5"/>
    <w:rsid w:val="00CF59D2"/>
    <w:rsid w:val="00D04093"/>
    <w:rsid w:val="00D06ADD"/>
    <w:rsid w:val="00D076B1"/>
    <w:rsid w:val="00D079A4"/>
    <w:rsid w:val="00D13CD0"/>
    <w:rsid w:val="00D148FE"/>
    <w:rsid w:val="00D20B8B"/>
    <w:rsid w:val="00D2220A"/>
    <w:rsid w:val="00D25708"/>
    <w:rsid w:val="00D267BA"/>
    <w:rsid w:val="00D30CD0"/>
    <w:rsid w:val="00D31D4F"/>
    <w:rsid w:val="00D326A4"/>
    <w:rsid w:val="00D413BA"/>
    <w:rsid w:val="00D47A7A"/>
    <w:rsid w:val="00D47B48"/>
    <w:rsid w:val="00D52711"/>
    <w:rsid w:val="00D602E9"/>
    <w:rsid w:val="00D6466C"/>
    <w:rsid w:val="00D716AF"/>
    <w:rsid w:val="00D73147"/>
    <w:rsid w:val="00D7359B"/>
    <w:rsid w:val="00D748A9"/>
    <w:rsid w:val="00D76D14"/>
    <w:rsid w:val="00D802AD"/>
    <w:rsid w:val="00D804C1"/>
    <w:rsid w:val="00D83287"/>
    <w:rsid w:val="00D849BA"/>
    <w:rsid w:val="00D87F96"/>
    <w:rsid w:val="00D912C7"/>
    <w:rsid w:val="00D96924"/>
    <w:rsid w:val="00DA2660"/>
    <w:rsid w:val="00DA2FE4"/>
    <w:rsid w:val="00DA5EEE"/>
    <w:rsid w:val="00DA78A1"/>
    <w:rsid w:val="00DA7BF6"/>
    <w:rsid w:val="00DB3CF6"/>
    <w:rsid w:val="00DC0360"/>
    <w:rsid w:val="00DC125C"/>
    <w:rsid w:val="00DC1E1A"/>
    <w:rsid w:val="00DC2F66"/>
    <w:rsid w:val="00DC2FC7"/>
    <w:rsid w:val="00DC34EB"/>
    <w:rsid w:val="00DC38F1"/>
    <w:rsid w:val="00DC4565"/>
    <w:rsid w:val="00DC6AEA"/>
    <w:rsid w:val="00DD2701"/>
    <w:rsid w:val="00DD34C6"/>
    <w:rsid w:val="00DD4E73"/>
    <w:rsid w:val="00DD5DA0"/>
    <w:rsid w:val="00DD78F6"/>
    <w:rsid w:val="00DD7FEB"/>
    <w:rsid w:val="00DE19D2"/>
    <w:rsid w:val="00DE3A64"/>
    <w:rsid w:val="00DF39BE"/>
    <w:rsid w:val="00E0210F"/>
    <w:rsid w:val="00E05BFF"/>
    <w:rsid w:val="00E1379D"/>
    <w:rsid w:val="00E14034"/>
    <w:rsid w:val="00E141F3"/>
    <w:rsid w:val="00E2174C"/>
    <w:rsid w:val="00E217A9"/>
    <w:rsid w:val="00E21BA8"/>
    <w:rsid w:val="00E22EEF"/>
    <w:rsid w:val="00E26132"/>
    <w:rsid w:val="00E2644D"/>
    <w:rsid w:val="00E3173F"/>
    <w:rsid w:val="00E32E74"/>
    <w:rsid w:val="00E343FC"/>
    <w:rsid w:val="00E34B3B"/>
    <w:rsid w:val="00E34D3C"/>
    <w:rsid w:val="00E34D60"/>
    <w:rsid w:val="00E35088"/>
    <w:rsid w:val="00E45D78"/>
    <w:rsid w:val="00E46682"/>
    <w:rsid w:val="00E53B6D"/>
    <w:rsid w:val="00E54958"/>
    <w:rsid w:val="00E60392"/>
    <w:rsid w:val="00E677BF"/>
    <w:rsid w:val="00E70513"/>
    <w:rsid w:val="00E72263"/>
    <w:rsid w:val="00E75E80"/>
    <w:rsid w:val="00E76468"/>
    <w:rsid w:val="00E82C21"/>
    <w:rsid w:val="00E83F38"/>
    <w:rsid w:val="00E917B2"/>
    <w:rsid w:val="00E91D9F"/>
    <w:rsid w:val="00E96288"/>
    <w:rsid w:val="00E97020"/>
    <w:rsid w:val="00EA33D6"/>
    <w:rsid w:val="00EA4F68"/>
    <w:rsid w:val="00EA6467"/>
    <w:rsid w:val="00EB0FC3"/>
    <w:rsid w:val="00EC0F28"/>
    <w:rsid w:val="00EC70B4"/>
    <w:rsid w:val="00EC73FC"/>
    <w:rsid w:val="00EC7E11"/>
    <w:rsid w:val="00ED1198"/>
    <w:rsid w:val="00ED15E9"/>
    <w:rsid w:val="00ED40E1"/>
    <w:rsid w:val="00ED4666"/>
    <w:rsid w:val="00ED6E75"/>
    <w:rsid w:val="00EE16EB"/>
    <w:rsid w:val="00EE70DA"/>
    <w:rsid w:val="00EF592B"/>
    <w:rsid w:val="00EF5983"/>
    <w:rsid w:val="00F01756"/>
    <w:rsid w:val="00F037F7"/>
    <w:rsid w:val="00F075EA"/>
    <w:rsid w:val="00F12C03"/>
    <w:rsid w:val="00F149B4"/>
    <w:rsid w:val="00F16407"/>
    <w:rsid w:val="00F16998"/>
    <w:rsid w:val="00F17D57"/>
    <w:rsid w:val="00F26F9E"/>
    <w:rsid w:val="00F32FF9"/>
    <w:rsid w:val="00F3618F"/>
    <w:rsid w:val="00F36751"/>
    <w:rsid w:val="00F376F0"/>
    <w:rsid w:val="00F45B70"/>
    <w:rsid w:val="00F45EAF"/>
    <w:rsid w:val="00F4717A"/>
    <w:rsid w:val="00F53862"/>
    <w:rsid w:val="00F54516"/>
    <w:rsid w:val="00F619AE"/>
    <w:rsid w:val="00F636CD"/>
    <w:rsid w:val="00F6474A"/>
    <w:rsid w:val="00F6676A"/>
    <w:rsid w:val="00F70D4C"/>
    <w:rsid w:val="00F7391B"/>
    <w:rsid w:val="00F75C67"/>
    <w:rsid w:val="00F75FD8"/>
    <w:rsid w:val="00F8207A"/>
    <w:rsid w:val="00F83801"/>
    <w:rsid w:val="00F840C1"/>
    <w:rsid w:val="00F85CDC"/>
    <w:rsid w:val="00F863B5"/>
    <w:rsid w:val="00F94508"/>
    <w:rsid w:val="00F974A6"/>
    <w:rsid w:val="00F97E4C"/>
    <w:rsid w:val="00FA077F"/>
    <w:rsid w:val="00FA1049"/>
    <w:rsid w:val="00FA1188"/>
    <w:rsid w:val="00FA434A"/>
    <w:rsid w:val="00FA5EC2"/>
    <w:rsid w:val="00FA7D66"/>
    <w:rsid w:val="00FB2D29"/>
    <w:rsid w:val="00FB378E"/>
    <w:rsid w:val="00FB3DC5"/>
    <w:rsid w:val="00FB7ACA"/>
    <w:rsid w:val="00FC0B04"/>
    <w:rsid w:val="00FC128E"/>
    <w:rsid w:val="00FC16E1"/>
    <w:rsid w:val="00FC20AA"/>
    <w:rsid w:val="00FC326C"/>
    <w:rsid w:val="00FD0EBD"/>
    <w:rsid w:val="00FD2880"/>
    <w:rsid w:val="00FD294A"/>
    <w:rsid w:val="00FE1B63"/>
    <w:rsid w:val="00FE7C17"/>
    <w:rsid w:val="00FF0A98"/>
    <w:rsid w:val="00FF3A31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CEC0"/>
  <w15:chartTrackingRefBased/>
  <w15:docId w15:val="{AB36FCDC-06C4-4D68-AE63-BAD4978C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4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6A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A3FD0"/>
  </w:style>
  <w:style w:type="paragraph" w:customStyle="1" w:styleId="rvps2">
    <w:name w:val="rvps2"/>
    <w:basedOn w:val="a"/>
    <w:rsid w:val="006A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A3FD0"/>
  </w:style>
  <w:style w:type="paragraph" w:styleId="a4">
    <w:name w:val="Balloon Text"/>
    <w:basedOn w:val="a"/>
    <w:link w:val="a5"/>
    <w:uiPriority w:val="99"/>
    <w:semiHidden/>
    <w:unhideWhenUsed/>
    <w:rsid w:val="00D7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6A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C8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IASBTableTNR">
    <w:name w:val="IASB Table TNR"/>
    <w:basedOn w:val="a"/>
    <w:qFormat/>
    <w:rsid w:val="00446641"/>
    <w:pPr>
      <w:spacing w:before="120" w:after="0" w:line="240" w:lineRule="auto"/>
    </w:pPr>
    <w:rPr>
      <w:rFonts w:ascii="Times New Roman" w:eastAsia="Times New Roman" w:hAnsi="Times New Roman" w:cs="Times New Roman"/>
      <w:sz w:val="19"/>
      <w:szCs w:val="20"/>
      <w:lang w:val="en-GB" w:eastAsia="en-GB"/>
    </w:rPr>
  </w:style>
  <w:style w:type="paragraph" w:customStyle="1" w:styleId="IASBNormalL1">
    <w:name w:val="IASB Normal L1"/>
    <w:basedOn w:val="a"/>
    <w:rsid w:val="00446641"/>
    <w:pPr>
      <w:spacing w:before="100" w:after="0" w:line="240" w:lineRule="auto"/>
      <w:ind w:left="782" w:hanging="782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ASBNormalL2">
    <w:name w:val="IASB Normal L2"/>
    <w:basedOn w:val="IASBNormalL1"/>
    <w:rsid w:val="00446641"/>
    <w:pPr>
      <w:ind w:left="1564"/>
    </w:pPr>
  </w:style>
  <w:style w:type="paragraph" w:styleId="a7">
    <w:name w:val="List Paragraph"/>
    <w:basedOn w:val="a"/>
    <w:uiPriority w:val="99"/>
    <w:qFormat/>
    <w:rsid w:val="004466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0F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C0F28"/>
  </w:style>
  <w:style w:type="paragraph" w:styleId="aa">
    <w:name w:val="footer"/>
    <w:basedOn w:val="a"/>
    <w:link w:val="ab"/>
    <w:uiPriority w:val="99"/>
    <w:unhideWhenUsed/>
    <w:rsid w:val="00EC0F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C0F28"/>
  </w:style>
  <w:style w:type="character" w:customStyle="1" w:styleId="20">
    <w:name w:val="Заголовок 2 Знак"/>
    <w:basedOn w:val="a0"/>
    <w:link w:val="2"/>
    <w:uiPriority w:val="9"/>
    <w:semiHidden/>
    <w:rsid w:val="00664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4D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c">
    <w:name w:val="Body Text"/>
    <w:basedOn w:val="a"/>
    <w:link w:val="ad"/>
    <w:uiPriority w:val="1"/>
    <w:qFormat/>
    <w:rsid w:val="007D66E2"/>
    <w:pPr>
      <w:widowControl w:val="0"/>
      <w:spacing w:before="117" w:after="0" w:line="240" w:lineRule="auto"/>
      <w:ind w:left="528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d">
    <w:name w:val="Основний текст Знак"/>
    <w:basedOn w:val="a0"/>
    <w:link w:val="ac"/>
    <w:uiPriority w:val="1"/>
    <w:rsid w:val="007D66E2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41">
    <w:name w:val="Заголовок 41"/>
    <w:basedOn w:val="a"/>
    <w:uiPriority w:val="1"/>
    <w:qFormat/>
    <w:rsid w:val="004C1D14"/>
    <w:pPr>
      <w:widowControl w:val="0"/>
      <w:spacing w:before="120" w:after="0" w:line="240" w:lineRule="auto"/>
      <w:ind w:left="528"/>
      <w:outlineLvl w:val="4"/>
    </w:pPr>
    <w:rPr>
      <w:rFonts w:ascii="Times New Roman" w:eastAsia="Times New Roman" w:hAnsi="Times New Roman"/>
      <w:b/>
      <w:bCs/>
      <w:i/>
      <w:sz w:val="23"/>
      <w:szCs w:val="23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24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248B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IfacFootnotes">
    <w:name w:val="Ifac Footnotes"/>
    <w:basedOn w:val="a"/>
    <w:uiPriority w:val="99"/>
    <w:rsid w:val="0076784E"/>
    <w:pPr>
      <w:widowControl w:val="0"/>
      <w:tabs>
        <w:tab w:val="left" w:pos="360"/>
      </w:tabs>
      <w:autoSpaceDE w:val="0"/>
      <w:autoSpaceDN w:val="0"/>
      <w:adjustRightInd w:val="0"/>
      <w:spacing w:after="60" w:line="200" w:lineRule="atLeast"/>
      <w:ind w:left="360" w:hanging="360"/>
      <w:jc w:val="both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US" w:eastAsia="en-IN"/>
    </w:rPr>
  </w:style>
  <w:style w:type="character" w:customStyle="1" w:styleId="Superscript">
    <w:name w:val="Superscript"/>
    <w:uiPriority w:val="99"/>
    <w:rsid w:val="0076784E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F30D2"/>
    <w:rPr>
      <w:color w:val="954F72" w:themeColor="followedHyperlink"/>
      <w:u w:val="single"/>
    </w:rPr>
  </w:style>
  <w:style w:type="character" w:customStyle="1" w:styleId="rvts46">
    <w:name w:val="rvts46"/>
    <w:basedOn w:val="a0"/>
    <w:rsid w:val="00B806E1"/>
  </w:style>
  <w:style w:type="character" w:styleId="af">
    <w:name w:val="Hyperlink"/>
    <w:basedOn w:val="a0"/>
    <w:uiPriority w:val="99"/>
    <w:semiHidden/>
    <w:unhideWhenUsed/>
    <w:rsid w:val="00B806E1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D804C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04C1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D804C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04C1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D804C1"/>
    <w:rPr>
      <w:b/>
      <w:bCs/>
      <w:sz w:val="20"/>
      <w:szCs w:val="20"/>
    </w:rPr>
  </w:style>
  <w:style w:type="paragraph" w:customStyle="1" w:styleId="rvps14">
    <w:name w:val="rvps14"/>
    <w:basedOn w:val="a"/>
    <w:rsid w:val="0051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2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90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6D1D-A5CB-44C4-B9FD-75921D72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10102</Words>
  <Characters>5759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Юрій Ігорович</dc:creator>
  <cp:keywords/>
  <dc:description/>
  <cp:lastModifiedBy>Чевелюк Ірина Миколаївна</cp:lastModifiedBy>
  <cp:revision>16</cp:revision>
  <cp:lastPrinted>2020-09-17T14:58:00Z</cp:lastPrinted>
  <dcterms:created xsi:type="dcterms:W3CDTF">2024-05-30T15:37:00Z</dcterms:created>
  <dcterms:modified xsi:type="dcterms:W3CDTF">2024-06-13T09:31:00Z</dcterms:modified>
</cp:coreProperties>
</file>