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6A" w:rsidRPr="0027166A" w:rsidRDefault="0027166A" w:rsidP="007F2B4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t xml:space="preserve">      </w:t>
      </w:r>
      <w:r w:rsidRPr="0027166A">
        <w:rPr>
          <w:rFonts w:ascii="Times New Roman" w:eastAsia="Calibri" w:hAnsi="Times New Roman" w:cs="Times New Roman"/>
          <w:bCs/>
          <w:sz w:val="28"/>
          <w:szCs w:val="28"/>
        </w:rPr>
        <w:t>Проєкт</w:t>
      </w:r>
    </w:p>
    <w:p w:rsidR="0027166A" w:rsidRDefault="0027166A" w:rsidP="007F2B4C">
      <w:pPr>
        <w:spacing w:after="0" w:line="240" w:lineRule="auto"/>
        <w:jc w:val="center"/>
        <w:rPr>
          <w:rFonts w:ascii="Times New Roman" w:eastAsia="Calibri" w:hAnsi="Times New Roman" w:cs="Times New Roman"/>
          <w:b/>
          <w:bCs/>
          <w:sz w:val="28"/>
          <w:szCs w:val="28"/>
        </w:rPr>
      </w:pPr>
    </w:p>
    <w:p w:rsidR="007F2B4C" w:rsidRPr="007F2B4C" w:rsidRDefault="007F2B4C" w:rsidP="007F2B4C">
      <w:pPr>
        <w:spacing w:after="0" w:line="240" w:lineRule="auto"/>
        <w:jc w:val="center"/>
        <w:rPr>
          <w:rFonts w:ascii="Times New Roman" w:eastAsia="Calibri" w:hAnsi="Times New Roman" w:cs="Times New Roman"/>
          <w:b/>
          <w:bCs/>
          <w:sz w:val="28"/>
          <w:szCs w:val="28"/>
        </w:rPr>
      </w:pPr>
      <w:r w:rsidRPr="007F2B4C">
        <w:rPr>
          <w:rFonts w:ascii="Times New Roman" w:eastAsia="Calibri" w:hAnsi="Times New Roman" w:cs="Times New Roman"/>
          <w:b/>
          <w:bCs/>
          <w:sz w:val="28"/>
          <w:szCs w:val="28"/>
        </w:rPr>
        <w:t>АНАЛІЗ РЕГУЛЯТОРНОГО ВПЛИВУ</w:t>
      </w:r>
    </w:p>
    <w:p w:rsidR="007F2B4C" w:rsidRPr="007F2B4C" w:rsidRDefault="007F2B4C" w:rsidP="007F2B4C">
      <w:pPr>
        <w:spacing w:after="0" w:line="240" w:lineRule="auto"/>
        <w:ind w:firstLine="709"/>
        <w:jc w:val="center"/>
        <w:rPr>
          <w:rFonts w:ascii="Times New Roman" w:eastAsia="Calibri" w:hAnsi="Times New Roman" w:cs="Times New Roman"/>
          <w:b/>
          <w:sz w:val="28"/>
          <w:szCs w:val="28"/>
        </w:rPr>
      </w:pPr>
      <w:r w:rsidRPr="007F2B4C">
        <w:rPr>
          <w:rFonts w:ascii="Times New Roman" w:eastAsia="Calibri" w:hAnsi="Times New Roman" w:cs="Times New Roman"/>
          <w:b/>
          <w:sz w:val="28"/>
          <w:szCs w:val="28"/>
        </w:rPr>
        <w:t>до проєкту наказу Міністерства фінансів України</w:t>
      </w:r>
    </w:p>
    <w:p w:rsidR="007F2B4C" w:rsidRPr="007F2B4C" w:rsidRDefault="007F2B4C" w:rsidP="007F2B4C">
      <w:pPr>
        <w:spacing w:after="0" w:line="240" w:lineRule="auto"/>
        <w:ind w:firstLine="709"/>
        <w:jc w:val="center"/>
        <w:rPr>
          <w:rFonts w:ascii="Times New Roman" w:eastAsia="Calibri" w:hAnsi="Times New Roman" w:cs="Times New Roman"/>
          <w:b/>
          <w:sz w:val="28"/>
          <w:szCs w:val="28"/>
        </w:rPr>
      </w:pPr>
      <w:r w:rsidRPr="007F2B4C">
        <w:rPr>
          <w:rFonts w:ascii="Times New Roman" w:eastAsia="Calibri" w:hAnsi="Times New Roman" w:cs="Times New Roman"/>
          <w:b/>
          <w:sz w:val="28"/>
          <w:szCs w:val="28"/>
        </w:rPr>
        <w:t>«Про внесення змін до Порядку реєстрації у митному реєстрі об’єктів права інтелектуальної власності, які охороняються відповідно до закону та 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p>
    <w:p w:rsidR="007F2B4C" w:rsidRPr="005444E6" w:rsidRDefault="007F2B4C" w:rsidP="007F2B4C">
      <w:pPr>
        <w:spacing w:after="0" w:line="276" w:lineRule="auto"/>
        <w:ind w:firstLine="709"/>
        <w:jc w:val="center"/>
        <w:rPr>
          <w:rFonts w:ascii="Times New Roman" w:eastAsia="Calibri" w:hAnsi="Times New Roman" w:cs="Times New Roman"/>
          <w:b/>
          <w:sz w:val="16"/>
          <w:szCs w:val="16"/>
        </w:rPr>
      </w:pPr>
    </w:p>
    <w:p w:rsidR="007F2B4C" w:rsidRDefault="007F2B4C" w:rsidP="007F2B4C">
      <w:pPr>
        <w:spacing w:after="0" w:line="276" w:lineRule="auto"/>
        <w:jc w:val="center"/>
        <w:rPr>
          <w:rFonts w:ascii="Times New Roman" w:eastAsia="Calibri" w:hAnsi="Times New Roman" w:cs="Times New Roman"/>
          <w:b/>
          <w:sz w:val="28"/>
          <w:szCs w:val="28"/>
        </w:rPr>
      </w:pPr>
      <w:r w:rsidRPr="007F2B4C">
        <w:rPr>
          <w:rFonts w:ascii="Times New Roman" w:eastAsia="Calibri" w:hAnsi="Times New Roman" w:cs="Times New Roman"/>
          <w:b/>
          <w:sz w:val="28"/>
          <w:szCs w:val="28"/>
        </w:rPr>
        <w:t>І.</w:t>
      </w:r>
      <w:r w:rsidRPr="007F2B4C">
        <w:rPr>
          <w:rFonts w:ascii="Times New Roman" w:eastAsia="Calibri" w:hAnsi="Times New Roman" w:cs="Times New Roman"/>
          <w:sz w:val="28"/>
          <w:szCs w:val="28"/>
        </w:rPr>
        <w:t xml:space="preserve"> </w:t>
      </w:r>
      <w:r w:rsidRPr="007F2B4C">
        <w:rPr>
          <w:rFonts w:ascii="Times New Roman" w:eastAsia="Calibri" w:hAnsi="Times New Roman" w:cs="Times New Roman"/>
          <w:b/>
          <w:sz w:val="28"/>
          <w:szCs w:val="28"/>
        </w:rPr>
        <w:t>Визначення проблеми</w:t>
      </w:r>
    </w:p>
    <w:p w:rsidR="00BA3A70" w:rsidRPr="005444E6" w:rsidRDefault="00BA3A70" w:rsidP="007F2B4C">
      <w:pPr>
        <w:spacing w:after="0" w:line="276" w:lineRule="auto"/>
        <w:jc w:val="center"/>
        <w:rPr>
          <w:rFonts w:ascii="Times New Roman" w:eastAsia="Calibri" w:hAnsi="Times New Roman" w:cs="Times New Roman"/>
          <w:b/>
          <w:sz w:val="16"/>
          <w:szCs w:val="16"/>
        </w:rPr>
      </w:pPr>
    </w:p>
    <w:p w:rsidR="007F2B4C" w:rsidRDefault="00233766" w:rsidP="005444E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7F2B4C">
        <w:rPr>
          <w:rFonts w:ascii="Times New Roman" w:eastAsia="Calibri" w:hAnsi="Times New Roman" w:cs="Times New Roman"/>
          <w:b/>
          <w:sz w:val="28"/>
          <w:szCs w:val="28"/>
        </w:rPr>
        <w:t xml:space="preserve">. Щодо </w:t>
      </w:r>
      <w:r w:rsidR="007F2B4C" w:rsidRPr="007F2B4C">
        <w:rPr>
          <w:rFonts w:ascii="Times New Roman" w:eastAsia="Calibri" w:hAnsi="Times New Roman" w:cs="Times New Roman"/>
          <w:b/>
          <w:sz w:val="28"/>
          <w:szCs w:val="28"/>
        </w:rPr>
        <w:t>Порядку реєстрації у митному реєстрі об’єктів права інтелектуальної власності, які охороняються відповідно до закону</w:t>
      </w:r>
      <w:r w:rsidR="007F2B4C">
        <w:rPr>
          <w:rFonts w:ascii="Times New Roman" w:eastAsia="Calibri" w:hAnsi="Times New Roman" w:cs="Times New Roman"/>
          <w:b/>
          <w:sz w:val="28"/>
          <w:szCs w:val="28"/>
        </w:rPr>
        <w:t>:</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На сьогодні діє Порядок реєстрації у митному реєстрі об’єктів права інтелектуальної власності, які охороняються відповідно до закону, затверджений наказом Міністерства фінансів України від 30 травня 2012 року № 648, зареєстрований у Міністерстві юстиції України 22 червня 2012 року за № 1033/21345 (далі – наказ № 648).</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Зазначений наказ розроблено та прийнято для забезпечення виконання вимог статті 398 Митного кодексу України від 13 березня 2012 року</w:t>
      </w:r>
      <w:r w:rsidRPr="007F2B4C">
        <w:rPr>
          <w:rFonts w:ascii="Times New Roman" w:eastAsia="Calibri" w:hAnsi="Times New Roman" w:cs="Times New Roman"/>
          <w:sz w:val="28"/>
          <w:szCs w:val="28"/>
        </w:rPr>
        <w:br/>
        <w:t xml:space="preserve"> № 4495-VI (далі – Кодекс) з метою визначення єдиного порядку реєстрації у митному реєстрі об’єктів права інтелектуальної власності, які охороняються відповідно до закону.  </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Законом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 3926) в низку статей Кодексу внесені зміни, які стосуються, зокрема, питань сприяння захисту прав інтелектуальної власності, реєстрації об’єктів права інтелектуальної власності у митному реєстрі обʼєктів права інтелектуальної власності за заявами правовласників про сприяння захисту прав інтелектуальної власності та розгляду заяв про сприяння захисту прав інтелектуальної власності, яка подається правовласником після призупинення митного оформлення товарів за ініціативою митного органу.</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Положення чинного наказу № 648 не відповідають новим положенням законодавчого акта, відповідно до якого його було прийнято, і потребують актуалізації з урахуванням змін, внесених Законом № 3926.</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Отже, проблемою, яку необхідно врегулювати проєктом акта, є необхідність приведення порядку реєстрації об’єктів права інтелектуальної власності у митному реєстрі обʼєктів права інтелектуальної власності за заявами правовласників про сприяння захисту прав інтелектуальної власності у відповідність до положень Закону № 3926.</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Реалізація положень проєкту акта дасть змогу привести нормативно-правовий акт у відповідність до вимог законодавства.</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Основні групи, на які проблема справляє вплив: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693"/>
        <w:gridCol w:w="2693"/>
      </w:tblGrid>
      <w:tr w:rsidR="007F2B4C" w:rsidRPr="007F2B4C" w:rsidTr="005444E6">
        <w:tc>
          <w:tcPr>
            <w:tcW w:w="424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lastRenderedPageBreak/>
              <w:t>Групи</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right="372" w:firstLine="708"/>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Так</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Ні</w:t>
            </w:r>
          </w:p>
        </w:tc>
      </w:tr>
      <w:tr w:rsidR="007F2B4C" w:rsidRPr="007F2B4C" w:rsidTr="005444E6">
        <w:tc>
          <w:tcPr>
            <w:tcW w:w="424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Громадяни</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1"/>
              <w:jc w:val="center"/>
              <w:rPr>
                <w:rFonts w:ascii="Times New Roman" w:eastAsia="Calibri" w:hAnsi="Times New Roman" w:cs="Times New Roman"/>
                <w:sz w:val="24"/>
                <w:szCs w:val="24"/>
              </w:rPr>
            </w:pPr>
          </w:p>
        </w:tc>
      </w:tr>
      <w:tr w:rsidR="007F2B4C" w:rsidRPr="007F2B4C" w:rsidTr="005444E6">
        <w:tc>
          <w:tcPr>
            <w:tcW w:w="424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Держава</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1"/>
              <w:jc w:val="center"/>
              <w:rPr>
                <w:rFonts w:ascii="Times New Roman" w:eastAsia="Calibri" w:hAnsi="Times New Roman" w:cs="Times New Roman"/>
                <w:sz w:val="24"/>
                <w:szCs w:val="24"/>
              </w:rPr>
            </w:pPr>
          </w:p>
        </w:tc>
      </w:tr>
      <w:tr w:rsidR="007F2B4C" w:rsidRPr="007F2B4C" w:rsidTr="005444E6">
        <w:tc>
          <w:tcPr>
            <w:tcW w:w="424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Суб’єкти господарювання:</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1"/>
              <w:jc w:val="center"/>
              <w:rPr>
                <w:rFonts w:ascii="Times New Roman" w:eastAsia="Calibri" w:hAnsi="Times New Roman" w:cs="Times New Roman"/>
                <w:sz w:val="24"/>
                <w:szCs w:val="24"/>
              </w:rPr>
            </w:pPr>
          </w:p>
        </w:tc>
      </w:tr>
      <w:tr w:rsidR="007F2B4C" w:rsidRPr="007F2B4C" w:rsidTr="005444E6">
        <w:tc>
          <w:tcPr>
            <w:tcW w:w="424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у тому числі суб’єкти малого підприємництва*</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5444E6">
            <w:pPr>
              <w:spacing w:after="0" w:line="240" w:lineRule="auto"/>
              <w:ind w:firstLine="21"/>
              <w:jc w:val="center"/>
              <w:rPr>
                <w:rFonts w:ascii="Times New Roman" w:eastAsia="Calibri" w:hAnsi="Times New Roman" w:cs="Times New Roman"/>
                <w:sz w:val="24"/>
                <w:szCs w:val="24"/>
              </w:rPr>
            </w:pPr>
          </w:p>
        </w:tc>
      </w:tr>
    </w:tbl>
    <w:p w:rsidR="007F2B4C" w:rsidRPr="007F2B4C" w:rsidRDefault="007F2B4C" w:rsidP="005444E6">
      <w:pPr>
        <w:spacing w:after="0" w:line="240" w:lineRule="auto"/>
        <w:ind w:firstLine="567"/>
        <w:jc w:val="both"/>
        <w:rPr>
          <w:rFonts w:ascii="Times New Roman" w:eastAsia="Calibri" w:hAnsi="Times New Roman" w:cs="Times New Roman"/>
          <w:szCs w:val="24"/>
        </w:rPr>
      </w:pPr>
      <w:r w:rsidRPr="007F2B4C">
        <w:rPr>
          <w:rFonts w:ascii="Times New Roman" w:eastAsia="Calibri" w:hAnsi="Times New Roman" w:cs="Times New Roman"/>
          <w:szCs w:val="24"/>
        </w:rPr>
        <w:t>* Питому вагу суб’єктів малого підприємництва зазначити неможливо, оскільки проблема однаково впливає на всіх суб’єктів господарювання незалежно від рівня доходу.</w:t>
      </w:r>
    </w:p>
    <w:p w:rsidR="007F2B4C" w:rsidRPr="007F2B4C" w:rsidRDefault="007F2B4C" w:rsidP="005444E6">
      <w:pPr>
        <w:widowControl w:val="0"/>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Врегулювання зазначеного питання не може бути здійснено за допомогою:</w:t>
      </w:r>
    </w:p>
    <w:p w:rsidR="007F2B4C" w:rsidRPr="007F2B4C" w:rsidRDefault="007F2B4C" w:rsidP="005444E6">
      <w:pPr>
        <w:widowControl w:val="0"/>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ринкових механізмів, оскільки такі питання регулюються виключно нормативно-правовими актами;</w:t>
      </w:r>
    </w:p>
    <w:p w:rsidR="007F2B4C" w:rsidRPr="007F2B4C" w:rsidRDefault="007F2B4C" w:rsidP="005444E6">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чинного регуляторного акта, оскільки він не відповідає актам вищої юридичної сили.</w:t>
      </w:r>
    </w:p>
    <w:p w:rsidR="007F2B4C" w:rsidRPr="00652D98" w:rsidRDefault="007F2B4C" w:rsidP="007F2B4C">
      <w:pPr>
        <w:spacing w:after="0" w:line="276" w:lineRule="auto"/>
        <w:jc w:val="both"/>
        <w:rPr>
          <w:rFonts w:ascii="Times New Roman" w:eastAsia="Calibri" w:hAnsi="Times New Roman" w:cs="Times New Roman"/>
          <w:b/>
          <w:sz w:val="28"/>
          <w:szCs w:val="28"/>
        </w:rPr>
      </w:pPr>
    </w:p>
    <w:p w:rsidR="007F2B4C" w:rsidRDefault="00233766" w:rsidP="007F2B4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7F2B4C">
        <w:rPr>
          <w:rFonts w:ascii="Times New Roman" w:eastAsia="Calibri" w:hAnsi="Times New Roman" w:cs="Times New Roman"/>
          <w:b/>
          <w:sz w:val="28"/>
          <w:szCs w:val="28"/>
        </w:rPr>
        <w:t xml:space="preserve">. Щодо </w:t>
      </w:r>
      <w:r w:rsidR="007F2B4C" w:rsidRPr="007F2B4C">
        <w:rPr>
          <w:rFonts w:ascii="Times New Roman" w:eastAsia="Calibri" w:hAnsi="Times New Roman" w:cs="Times New Roman"/>
          <w:b/>
          <w:sz w:val="28"/>
          <w:szCs w:val="28"/>
        </w:rPr>
        <w:t>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r w:rsidR="007F2B4C">
        <w:rPr>
          <w:rFonts w:ascii="Times New Roman" w:eastAsia="Calibri" w:hAnsi="Times New Roman" w:cs="Times New Roman"/>
          <w:b/>
          <w:sz w:val="28"/>
          <w:szCs w:val="28"/>
        </w:rPr>
        <w:t>:</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 xml:space="preserve">На сьогодні діє Порядок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затверджений наказом Міністерства фінансів України від 09 червня 2020 року № 281, зареєстрований у Міністерстві юстиції України 22 червня 2020 року за № 549/34832 (далі – наказ № 281). </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 xml:space="preserve">Зазначений наказ розроблено та прийнято для забезпечення виконання вимог статей 397–402 Митного кодексу України від 13.03.2012 № 4495-VI </w:t>
      </w:r>
      <w:r w:rsidRPr="007F2B4C">
        <w:rPr>
          <w:rFonts w:ascii="Times New Roman" w:eastAsia="Calibri" w:hAnsi="Times New Roman" w:cs="Times New Roman"/>
          <w:sz w:val="28"/>
          <w:szCs w:val="28"/>
        </w:rPr>
        <w:br/>
        <w:t xml:space="preserve">(далі – Кодекс) з метою визначення єдиного порядку взаємодії підрозділів митниці при здійсненні митного контролю та митного оформлення товарів, що містять об’єкти права інтелектуальної власності </w:t>
      </w:r>
      <w:r w:rsidRPr="007F2B4C">
        <w:rPr>
          <w:rFonts w:ascii="Times New Roman" w:eastAsia="Calibri" w:hAnsi="Times New Roman" w:cs="Times New Roman"/>
          <w:bCs/>
          <w:iCs/>
          <w:sz w:val="28"/>
          <w:szCs w:val="28"/>
        </w:rPr>
        <w:t>(далі – об’єкти ПІВ)</w:t>
      </w:r>
      <w:r w:rsidRPr="007F2B4C">
        <w:rPr>
          <w:rFonts w:ascii="Times New Roman" w:eastAsia="Calibri" w:hAnsi="Times New Roman" w:cs="Times New Roman"/>
          <w:sz w:val="28"/>
          <w:szCs w:val="28"/>
        </w:rPr>
        <w:t xml:space="preserve">. </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Законом України № 3926 в низку статей Кодексу внесені зміни, які стосуються, зокрема, питань сприяння захисту прав інтелектуальної власності, а саме: наявність або відсутність порушення прав інтелектуальної власності (далі – ПІВ) у товарах підтверджуватиметься правовласником шляхом надання митному органу відповідного висновку про наявність або відсутність порушення ПІВ, або ж визначено достатність висновку правовласника для підтвердження порушення ПІВ та складення протоколу про порушення митних правил, пов’язаних з переміщенням товарів через митний кордон України з порушенням ПІВ.</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Такий висновок надаватиметься виключно правовласником або уповноваженою ним особою, відомості про яких внесено до митного реєстру об’єктів права інтелектуальної власності.</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Також відповідно до прийнятих змін правовласник набуває права у провадженні у справі про порушення митних правил надавати висновок про наявність або відсутність порушення ПІВ та усні та/або письмові пояснення, а тим самим правовласника включено до переліку осіб, які беруть участь у провадженні у справах про порушення митних правил за статтею 476 Кодексу.</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lastRenderedPageBreak/>
        <w:t>Продовження строку призупинення митного оформлення до 10 робочих днів здійснюватиметься на підставі рішення керівника митного органу або його заступника лише в разі надання правовласником висновку про наявність порушення ПІВ та за його вмотивованим клопотанням.</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Крім того, до товарів щодо яких митні органи набули права розпорядження відповідно до статті 243 Кодексу та які містять об’єкти ПІВ, зареєстровані у митному реєстрі, митні органи забезпечуватимуть здійснення заходів контролю на предмет дотримання ПІВ відповідно до статті 402</w:t>
      </w:r>
      <w:r w:rsidRPr="007F2B4C">
        <w:rPr>
          <w:rFonts w:ascii="Times New Roman" w:eastAsia="Calibri" w:hAnsi="Times New Roman" w:cs="Times New Roman"/>
          <w:sz w:val="28"/>
          <w:szCs w:val="28"/>
          <w:vertAlign w:val="superscript"/>
        </w:rPr>
        <w:t>1</w:t>
      </w:r>
      <w:r w:rsidRPr="007F2B4C">
        <w:rPr>
          <w:rFonts w:ascii="Times New Roman" w:eastAsia="Calibri" w:hAnsi="Times New Roman" w:cs="Times New Roman"/>
          <w:sz w:val="28"/>
          <w:szCs w:val="28"/>
        </w:rPr>
        <w:t xml:space="preserve"> Кодексу.</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Положення чинного наказу № 648 не відповідають новим положенням законодавчого акта, відповідно до якого його було прийнято, і потребують актуалізації з урахуванням змін, внесених Законом № 3926.</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 xml:space="preserve">Отже, проблемою, яку необхідно врегулювати проєктом акта, є необхідність приведення 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у відповідність до положень Закону № 3926. </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Реалізація положень проєкту акта дасть змогу привести нормативно-правовий акт у відповідність до вимог законодавства.</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Основні групи, на які проблема справляє вплив: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693"/>
        <w:gridCol w:w="2438"/>
      </w:tblGrid>
      <w:tr w:rsidR="007F2B4C" w:rsidRPr="007F2B4C" w:rsidTr="00522DA4">
        <w:tc>
          <w:tcPr>
            <w:tcW w:w="450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Групи</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right="372" w:firstLine="708"/>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Так</w:t>
            </w:r>
          </w:p>
        </w:tc>
        <w:tc>
          <w:tcPr>
            <w:tcW w:w="243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Ні</w:t>
            </w:r>
          </w:p>
        </w:tc>
      </w:tr>
      <w:tr w:rsidR="007F2B4C" w:rsidRPr="007F2B4C" w:rsidTr="00522DA4">
        <w:tc>
          <w:tcPr>
            <w:tcW w:w="450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Громадяни</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1"/>
              <w:jc w:val="center"/>
              <w:rPr>
                <w:rFonts w:ascii="Times New Roman" w:eastAsia="Calibri" w:hAnsi="Times New Roman" w:cs="Times New Roman"/>
                <w:sz w:val="24"/>
                <w:szCs w:val="24"/>
              </w:rPr>
            </w:pPr>
          </w:p>
        </w:tc>
      </w:tr>
      <w:tr w:rsidR="007F2B4C" w:rsidRPr="007F2B4C" w:rsidTr="00522DA4">
        <w:tc>
          <w:tcPr>
            <w:tcW w:w="450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Держава</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1"/>
              <w:jc w:val="center"/>
              <w:rPr>
                <w:rFonts w:ascii="Times New Roman" w:eastAsia="Calibri" w:hAnsi="Times New Roman" w:cs="Times New Roman"/>
                <w:sz w:val="24"/>
                <w:szCs w:val="24"/>
              </w:rPr>
            </w:pPr>
          </w:p>
        </w:tc>
      </w:tr>
      <w:tr w:rsidR="007F2B4C" w:rsidRPr="007F2B4C" w:rsidTr="00522DA4">
        <w:tc>
          <w:tcPr>
            <w:tcW w:w="450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Суб’єкти господарювання:</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1"/>
              <w:jc w:val="center"/>
              <w:rPr>
                <w:rFonts w:ascii="Times New Roman" w:eastAsia="Calibri" w:hAnsi="Times New Roman" w:cs="Times New Roman"/>
                <w:sz w:val="24"/>
                <w:szCs w:val="24"/>
              </w:rPr>
            </w:pPr>
          </w:p>
        </w:tc>
      </w:tr>
      <w:tr w:rsidR="007F2B4C" w:rsidRPr="007F2B4C" w:rsidTr="00522DA4">
        <w:tc>
          <w:tcPr>
            <w:tcW w:w="450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у тому числі суб’єкти малого підприємництва*</w:t>
            </w:r>
          </w:p>
        </w:tc>
        <w:tc>
          <w:tcPr>
            <w:tcW w:w="26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28"/>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1"/>
              <w:jc w:val="center"/>
              <w:rPr>
                <w:rFonts w:ascii="Times New Roman" w:eastAsia="Calibri" w:hAnsi="Times New Roman" w:cs="Times New Roman"/>
                <w:sz w:val="24"/>
                <w:szCs w:val="24"/>
              </w:rPr>
            </w:pPr>
          </w:p>
        </w:tc>
      </w:tr>
    </w:tbl>
    <w:p w:rsidR="007F2B4C" w:rsidRPr="007F2B4C" w:rsidRDefault="007F2B4C" w:rsidP="007F2B4C">
      <w:pPr>
        <w:spacing w:after="0" w:line="240" w:lineRule="auto"/>
        <w:ind w:firstLine="567"/>
        <w:jc w:val="both"/>
        <w:rPr>
          <w:rFonts w:ascii="Times New Roman" w:eastAsia="Calibri" w:hAnsi="Times New Roman" w:cs="Times New Roman"/>
          <w:szCs w:val="24"/>
        </w:rPr>
      </w:pPr>
      <w:r w:rsidRPr="007F2B4C">
        <w:rPr>
          <w:rFonts w:ascii="Times New Roman" w:eastAsia="Calibri" w:hAnsi="Times New Roman" w:cs="Times New Roman"/>
          <w:szCs w:val="24"/>
        </w:rPr>
        <w:t>* Питому вагу суб’єктів малого підприємництва зазначити неможливо, оскільки проблема однаково впливає на всіх суб’єктів господарювання незалежно від рівня доходу.</w:t>
      </w:r>
    </w:p>
    <w:p w:rsidR="007F2B4C" w:rsidRPr="007F2B4C" w:rsidRDefault="007F2B4C" w:rsidP="007F2B4C">
      <w:pPr>
        <w:widowControl w:val="0"/>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Врегулювання зазначеного питання не може бути здійснено за допомогою:</w:t>
      </w:r>
    </w:p>
    <w:p w:rsidR="007F2B4C" w:rsidRPr="007F2B4C" w:rsidRDefault="007F2B4C" w:rsidP="007F2B4C">
      <w:pPr>
        <w:widowControl w:val="0"/>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ринкових механізмів, оскільки такі питання регулюються виключно нормативно-правовими актами;</w:t>
      </w: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чинного регуляторного акта, оскільки він не відповідає актам вищої юридичної сили.</w:t>
      </w:r>
    </w:p>
    <w:p w:rsidR="007F2B4C" w:rsidRPr="007F2B4C" w:rsidRDefault="007F2B4C" w:rsidP="007F2B4C">
      <w:pPr>
        <w:spacing w:after="0" w:line="240" w:lineRule="auto"/>
        <w:jc w:val="both"/>
        <w:rPr>
          <w:rFonts w:ascii="Times New Roman" w:eastAsia="Calibri" w:hAnsi="Times New Roman" w:cs="Times New Roman"/>
          <w:sz w:val="12"/>
          <w:szCs w:val="12"/>
        </w:rPr>
      </w:pPr>
    </w:p>
    <w:p w:rsidR="007F2B4C" w:rsidRPr="007F2B4C" w:rsidRDefault="007F2B4C" w:rsidP="007F2B4C">
      <w:pPr>
        <w:spacing w:before="120" w:after="0" w:line="240" w:lineRule="auto"/>
        <w:jc w:val="center"/>
        <w:rPr>
          <w:rFonts w:ascii="Times New Roman" w:eastAsia="Calibri" w:hAnsi="Times New Roman" w:cs="Times New Roman"/>
          <w:b/>
          <w:sz w:val="28"/>
          <w:szCs w:val="28"/>
        </w:rPr>
      </w:pPr>
      <w:r w:rsidRPr="007F2B4C">
        <w:rPr>
          <w:rFonts w:ascii="Times New Roman" w:eastAsia="Calibri" w:hAnsi="Times New Roman" w:cs="Times New Roman"/>
          <w:b/>
          <w:sz w:val="28"/>
          <w:szCs w:val="28"/>
        </w:rPr>
        <w:t>ІІ.</w:t>
      </w:r>
      <w:r w:rsidRPr="007F2B4C">
        <w:rPr>
          <w:rFonts w:ascii="Times New Roman" w:eastAsia="Calibri" w:hAnsi="Times New Roman" w:cs="Times New Roman"/>
          <w:b/>
        </w:rPr>
        <w:t xml:space="preserve"> </w:t>
      </w:r>
      <w:r w:rsidRPr="007F2B4C">
        <w:rPr>
          <w:rFonts w:ascii="Times New Roman" w:eastAsia="Calibri" w:hAnsi="Times New Roman" w:cs="Times New Roman"/>
          <w:b/>
          <w:sz w:val="28"/>
          <w:szCs w:val="28"/>
        </w:rPr>
        <w:t>Цілі державного регулювання</w:t>
      </w:r>
    </w:p>
    <w:p w:rsidR="007F2B4C" w:rsidRPr="007F2B4C" w:rsidRDefault="007F2B4C" w:rsidP="007F2B4C">
      <w:pPr>
        <w:spacing w:before="120" w:after="0" w:line="240" w:lineRule="auto"/>
        <w:rPr>
          <w:rFonts w:ascii="Times New Roman" w:eastAsia="Calibri" w:hAnsi="Times New Roman" w:cs="Times New Roman"/>
          <w:b/>
          <w:sz w:val="12"/>
          <w:szCs w:val="12"/>
        </w:rPr>
      </w:pPr>
    </w:p>
    <w:p w:rsidR="007F2B4C" w:rsidRPr="007F2B4C" w:rsidRDefault="007F2B4C" w:rsidP="00054AF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 xml:space="preserve">Проєкт акта підготовлено з метою приведення положень з питань реєстрації об’єктів права інтелектуальної власності у митному реєстрі </w:t>
      </w:r>
      <w:r w:rsidR="00522DA4" w:rsidRPr="007F2B4C">
        <w:rPr>
          <w:rFonts w:ascii="Times New Roman" w:eastAsia="Calibri" w:hAnsi="Times New Roman" w:cs="Times New Roman"/>
          <w:sz w:val="28"/>
          <w:szCs w:val="28"/>
        </w:rPr>
        <w:t>об’єктів</w:t>
      </w:r>
      <w:r w:rsidRPr="007F2B4C">
        <w:rPr>
          <w:rFonts w:ascii="Times New Roman" w:eastAsia="Calibri" w:hAnsi="Times New Roman" w:cs="Times New Roman"/>
          <w:sz w:val="28"/>
          <w:szCs w:val="28"/>
        </w:rPr>
        <w:t xml:space="preserve"> права інтелектуальної власності за заявами правовласників про сприяння захисту прав інтелектуальної власності</w:t>
      </w:r>
      <w:r>
        <w:rPr>
          <w:rFonts w:ascii="Times New Roman" w:eastAsia="Calibri" w:hAnsi="Times New Roman" w:cs="Times New Roman"/>
          <w:sz w:val="28"/>
          <w:szCs w:val="28"/>
        </w:rPr>
        <w:t xml:space="preserve"> та </w:t>
      </w:r>
      <w:r w:rsidRPr="007F2B4C">
        <w:rPr>
          <w:rFonts w:ascii="Times New Roman" w:eastAsia="Calibri" w:hAnsi="Times New Roman" w:cs="Times New Roman"/>
          <w:sz w:val="28"/>
          <w:szCs w:val="28"/>
        </w:rPr>
        <w:t>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у відповідність до положень акта вищої юридичної сили – Кодексу.</w:t>
      </w:r>
    </w:p>
    <w:p w:rsidR="007F2B4C" w:rsidRPr="007F2B4C" w:rsidRDefault="007F2B4C" w:rsidP="007F2B4C">
      <w:pPr>
        <w:widowControl w:val="0"/>
        <w:suppressAutoHyphens/>
        <w:spacing w:before="120" w:after="0" w:line="240" w:lineRule="auto"/>
        <w:ind w:firstLine="709"/>
        <w:jc w:val="both"/>
        <w:textAlignment w:val="baseline"/>
        <w:rPr>
          <w:rFonts w:ascii="Times New Roman" w:eastAsia="Andale Sans UI" w:hAnsi="Times New Roman" w:cs="Times New Roman"/>
          <w:bCs/>
          <w:kern w:val="1"/>
          <w:sz w:val="16"/>
          <w:szCs w:val="16"/>
          <w:lang w:eastAsia="fa-IR" w:bidi="fa-IR"/>
        </w:rPr>
      </w:pPr>
    </w:p>
    <w:p w:rsidR="007F2B4C" w:rsidRDefault="007F2B4C" w:rsidP="007F2B4C">
      <w:pPr>
        <w:spacing w:after="0" w:line="240" w:lineRule="auto"/>
        <w:jc w:val="center"/>
        <w:rPr>
          <w:rFonts w:ascii="Times New Roman" w:eastAsia="Calibri" w:hAnsi="Times New Roman" w:cs="Times New Roman"/>
          <w:b/>
          <w:sz w:val="28"/>
          <w:szCs w:val="28"/>
        </w:rPr>
      </w:pPr>
      <w:r w:rsidRPr="007F2B4C">
        <w:rPr>
          <w:rFonts w:ascii="Times New Roman" w:eastAsia="Calibri" w:hAnsi="Times New Roman" w:cs="Times New Roman"/>
          <w:b/>
          <w:sz w:val="28"/>
          <w:szCs w:val="28"/>
        </w:rPr>
        <w:t>ІІІ. Визначення та оцінка альтернативних способів досягнення цілей</w:t>
      </w:r>
    </w:p>
    <w:p w:rsidR="00421ADF" w:rsidRPr="00421ADF" w:rsidRDefault="00421ADF" w:rsidP="00984A3B">
      <w:pPr>
        <w:spacing w:after="0" w:line="240" w:lineRule="auto"/>
        <w:jc w:val="both"/>
        <w:rPr>
          <w:rFonts w:ascii="Times New Roman" w:eastAsia="Calibri" w:hAnsi="Times New Roman" w:cs="Times New Roman"/>
          <w:b/>
          <w:sz w:val="16"/>
          <w:szCs w:val="16"/>
        </w:rPr>
      </w:pPr>
    </w:p>
    <w:p w:rsidR="00984A3B" w:rsidRPr="007F2B4C" w:rsidRDefault="00233766" w:rsidP="00984A3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984A3B">
        <w:rPr>
          <w:rFonts w:ascii="Times New Roman" w:eastAsia="Calibri" w:hAnsi="Times New Roman" w:cs="Times New Roman"/>
          <w:b/>
          <w:sz w:val="28"/>
          <w:szCs w:val="28"/>
        </w:rPr>
        <w:t xml:space="preserve">. </w:t>
      </w:r>
      <w:r w:rsidR="00984A3B" w:rsidRPr="00984A3B">
        <w:rPr>
          <w:rFonts w:ascii="Times New Roman" w:eastAsia="Calibri" w:hAnsi="Times New Roman" w:cs="Times New Roman"/>
          <w:b/>
          <w:sz w:val="28"/>
          <w:szCs w:val="28"/>
        </w:rPr>
        <w:t>Щодо Порядку реєстрації у митному реєстрі об’єктів права інтелектуальної власності, які охороняються відповідно до закону:</w:t>
      </w:r>
    </w:p>
    <w:p w:rsidR="00984A3B" w:rsidRDefault="00984A3B" w:rsidP="00984A3B">
      <w:pPr>
        <w:spacing w:after="0" w:line="240" w:lineRule="auto"/>
        <w:ind w:firstLine="708"/>
        <w:jc w:val="both"/>
        <w:rPr>
          <w:rFonts w:ascii="Times New Roman" w:eastAsia="Calibri" w:hAnsi="Times New Roman" w:cs="Times New Roman"/>
          <w:b/>
          <w:sz w:val="16"/>
          <w:szCs w:val="16"/>
        </w:rPr>
      </w:pPr>
    </w:p>
    <w:p w:rsidR="00421ADF" w:rsidRDefault="00421ADF" w:rsidP="00984A3B">
      <w:pPr>
        <w:spacing w:after="0" w:line="240" w:lineRule="auto"/>
        <w:ind w:firstLine="708"/>
        <w:jc w:val="both"/>
        <w:rPr>
          <w:rFonts w:ascii="Times New Roman" w:eastAsia="Calibri" w:hAnsi="Times New Roman" w:cs="Times New Roman"/>
          <w:b/>
          <w:sz w:val="16"/>
          <w:szCs w:val="16"/>
        </w:rPr>
      </w:pPr>
    </w:p>
    <w:p w:rsidR="00984A3B" w:rsidRPr="00A9585D" w:rsidRDefault="00984A3B" w:rsidP="00984A3B">
      <w:pPr>
        <w:spacing w:after="0" w:line="240" w:lineRule="auto"/>
        <w:ind w:firstLine="708"/>
        <w:jc w:val="both"/>
        <w:rPr>
          <w:rFonts w:ascii="Times New Roman" w:hAnsi="Times New Roman"/>
          <w:sz w:val="28"/>
          <w:szCs w:val="28"/>
        </w:rPr>
      </w:pPr>
      <w:r w:rsidRPr="00A9585D">
        <w:rPr>
          <w:rFonts w:ascii="Times New Roman" w:hAnsi="Times New Roman"/>
          <w:sz w:val="28"/>
          <w:szCs w:val="28"/>
        </w:rPr>
        <w:t xml:space="preserve">1. Альтернативними способами регулювання порушеної проблеми можна визначити: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16"/>
      </w:tblGrid>
      <w:tr w:rsidR="00984A3B" w:rsidRPr="00A9585D" w:rsidTr="005444E6">
        <w:tc>
          <w:tcPr>
            <w:tcW w:w="2518"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jc w:val="center"/>
              <w:rPr>
                <w:rFonts w:ascii="Times New Roman" w:hAnsi="Times New Roman"/>
                <w:b/>
                <w:sz w:val="24"/>
                <w:szCs w:val="24"/>
              </w:rPr>
            </w:pPr>
            <w:r w:rsidRPr="00A9585D">
              <w:rPr>
                <w:rFonts w:ascii="Times New Roman" w:hAnsi="Times New Roman"/>
                <w:b/>
                <w:sz w:val="24"/>
                <w:szCs w:val="24"/>
              </w:rPr>
              <w:t>Вид альтернативи</w:t>
            </w:r>
          </w:p>
        </w:tc>
        <w:tc>
          <w:tcPr>
            <w:tcW w:w="7116"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jc w:val="center"/>
              <w:rPr>
                <w:rFonts w:ascii="Times New Roman" w:hAnsi="Times New Roman"/>
                <w:b/>
                <w:sz w:val="24"/>
                <w:szCs w:val="24"/>
              </w:rPr>
            </w:pPr>
            <w:r w:rsidRPr="00A9585D">
              <w:rPr>
                <w:rFonts w:ascii="Times New Roman" w:hAnsi="Times New Roman"/>
                <w:b/>
                <w:sz w:val="24"/>
                <w:szCs w:val="24"/>
              </w:rPr>
              <w:t>Опис альтернативи</w:t>
            </w:r>
          </w:p>
        </w:tc>
      </w:tr>
      <w:tr w:rsidR="00984A3B" w:rsidRPr="00A9585D" w:rsidTr="005444E6">
        <w:trPr>
          <w:trHeight w:val="525"/>
        </w:trPr>
        <w:tc>
          <w:tcPr>
            <w:tcW w:w="2518"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jc w:val="center"/>
              <w:rPr>
                <w:rFonts w:ascii="Times New Roman" w:hAnsi="Times New Roman"/>
                <w:sz w:val="24"/>
                <w:szCs w:val="24"/>
              </w:rPr>
            </w:pPr>
            <w:r w:rsidRPr="00A9585D">
              <w:rPr>
                <w:rFonts w:ascii="Times New Roman" w:hAnsi="Times New Roman"/>
                <w:sz w:val="24"/>
                <w:szCs w:val="24"/>
                <w:lang w:eastAsia="uk-UA"/>
              </w:rPr>
              <w:t>Альтернатива 1</w:t>
            </w:r>
          </w:p>
        </w:tc>
        <w:tc>
          <w:tcPr>
            <w:tcW w:w="7116"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ind w:firstLine="21"/>
              <w:rPr>
                <w:rFonts w:ascii="Times New Roman" w:hAnsi="Times New Roman"/>
                <w:sz w:val="24"/>
                <w:szCs w:val="24"/>
              </w:rPr>
            </w:pPr>
            <w:r w:rsidRPr="00A9585D">
              <w:rPr>
                <w:rFonts w:ascii="Times New Roman" w:eastAsia="Times New Roman" w:hAnsi="Times New Roman"/>
                <w:bCs/>
                <w:sz w:val="24"/>
                <w:szCs w:val="24"/>
                <w:lang w:eastAsia="uk-UA"/>
              </w:rPr>
              <w:t>Збереження існуючого стану</w:t>
            </w:r>
          </w:p>
        </w:tc>
      </w:tr>
      <w:tr w:rsidR="00984A3B" w:rsidRPr="00A9585D" w:rsidTr="005444E6">
        <w:tc>
          <w:tcPr>
            <w:tcW w:w="2518"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jc w:val="center"/>
              <w:rPr>
                <w:rFonts w:ascii="Times New Roman" w:hAnsi="Times New Roman"/>
                <w:sz w:val="24"/>
                <w:szCs w:val="24"/>
              </w:rPr>
            </w:pPr>
            <w:r w:rsidRPr="00A9585D">
              <w:rPr>
                <w:rFonts w:ascii="Times New Roman" w:hAnsi="Times New Roman"/>
                <w:sz w:val="24"/>
                <w:szCs w:val="24"/>
              </w:rPr>
              <w:t>Альтернатива 2</w:t>
            </w:r>
          </w:p>
        </w:tc>
        <w:tc>
          <w:tcPr>
            <w:tcW w:w="7116" w:type="dxa"/>
            <w:tcBorders>
              <w:top w:val="single" w:sz="4" w:space="0" w:color="auto"/>
              <w:left w:val="single" w:sz="4" w:space="0" w:color="auto"/>
              <w:bottom w:val="single" w:sz="4" w:space="0" w:color="auto"/>
              <w:right w:val="single" w:sz="4" w:space="0" w:color="auto"/>
            </w:tcBorders>
          </w:tcPr>
          <w:p w:rsidR="00984A3B" w:rsidRPr="00DA1EB0" w:rsidRDefault="00984A3B" w:rsidP="002856E7">
            <w:pPr>
              <w:pStyle w:val="3"/>
              <w:spacing w:before="0" w:beforeAutospacing="0" w:after="120" w:afterAutospacing="0"/>
              <w:jc w:val="both"/>
              <w:rPr>
                <w:b w:val="0"/>
                <w:sz w:val="24"/>
                <w:szCs w:val="24"/>
                <w:lang w:val="uk-UA" w:eastAsia="uk-UA"/>
              </w:rPr>
            </w:pPr>
            <w:r w:rsidRPr="00DA1EB0">
              <w:rPr>
                <w:b w:val="0"/>
                <w:sz w:val="24"/>
                <w:szCs w:val="24"/>
                <w:lang w:val="uk-UA" w:eastAsia="uk-UA"/>
              </w:rPr>
              <w:t xml:space="preserve">Затвердження нового Порядку </w:t>
            </w:r>
            <w:r w:rsidRPr="002368FC">
              <w:rPr>
                <w:b w:val="0"/>
                <w:sz w:val="24"/>
                <w:szCs w:val="24"/>
                <w:lang w:val="uk-UA" w:eastAsia="uk-UA"/>
              </w:rPr>
              <w:t xml:space="preserve">реєстрації об’єктів права інтелектуальної власності у митному реєстрі </w:t>
            </w:r>
            <w:r w:rsidR="002B361B" w:rsidRPr="002368FC">
              <w:rPr>
                <w:b w:val="0"/>
                <w:sz w:val="24"/>
                <w:szCs w:val="24"/>
                <w:lang w:val="uk-UA" w:eastAsia="uk-UA"/>
              </w:rPr>
              <w:t>об’єктів</w:t>
            </w:r>
            <w:r w:rsidRPr="002368FC">
              <w:rPr>
                <w:b w:val="0"/>
                <w:sz w:val="24"/>
                <w:szCs w:val="24"/>
                <w:lang w:val="uk-UA" w:eastAsia="uk-UA"/>
              </w:rPr>
              <w:t xml:space="preserve"> права інтелектуальної власності за заявами правовласників про сприяння захисту прав інтелектуальної власності</w:t>
            </w:r>
          </w:p>
        </w:tc>
      </w:tr>
    </w:tbl>
    <w:p w:rsidR="00984A3B" w:rsidRPr="00A9585D" w:rsidRDefault="00984A3B" w:rsidP="00984A3B">
      <w:pPr>
        <w:pStyle w:val="a5"/>
        <w:widowControl w:val="0"/>
        <w:spacing w:before="0" w:beforeAutospacing="0" w:after="0" w:afterAutospacing="0"/>
        <w:ind w:firstLine="567"/>
        <w:jc w:val="both"/>
        <w:rPr>
          <w:i/>
          <w:szCs w:val="28"/>
          <w:lang w:val="uk-UA"/>
        </w:rPr>
      </w:pPr>
      <w:r w:rsidRPr="00A9585D">
        <w:rPr>
          <w:i/>
          <w:szCs w:val="24"/>
          <w:lang w:val="uk-UA"/>
        </w:rPr>
        <w:t>* </w:t>
      </w:r>
      <w:r w:rsidRPr="00A9585D">
        <w:rPr>
          <w:i/>
          <w:szCs w:val="28"/>
          <w:lang w:val="uk-UA"/>
        </w:rPr>
        <w:t>Інших альтернативних способів досягнення основної мети, ніж прийняття зазначеного регуляторного акта, не існує.</w:t>
      </w:r>
    </w:p>
    <w:p w:rsidR="00984A3B" w:rsidRPr="00A9585D" w:rsidRDefault="00984A3B" w:rsidP="00984A3B">
      <w:pPr>
        <w:spacing w:after="0" w:line="240" w:lineRule="auto"/>
        <w:ind w:firstLine="567"/>
        <w:jc w:val="both"/>
        <w:rPr>
          <w:rFonts w:ascii="Times New Roman" w:hAnsi="Times New Roman"/>
          <w:sz w:val="28"/>
          <w:szCs w:val="28"/>
        </w:rPr>
      </w:pPr>
    </w:p>
    <w:p w:rsidR="00984A3B" w:rsidRPr="00A9585D" w:rsidRDefault="00984A3B" w:rsidP="00984A3B">
      <w:pPr>
        <w:spacing w:after="0" w:line="240" w:lineRule="auto"/>
        <w:ind w:firstLine="567"/>
        <w:jc w:val="both"/>
        <w:rPr>
          <w:rFonts w:ascii="Times New Roman" w:hAnsi="Times New Roman"/>
          <w:sz w:val="28"/>
          <w:szCs w:val="28"/>
        </w:rPr>
      </w:pPr>
      <w:r w:rsidRPr="00A9585D">
        <w:rPr>
          <w:rFonts w:ascii="Times New Roman" w:hAnsi="Times New Roman"/>
          <w:sz w:val="28"/>
          <w:szCs w:val="28"/>
        </w:rPr>
        <w:t>2. Оцінка вибраних альтернативних способів досягнення цілей</w:t>
      </w:r>
    </w:p>
    <w:p w:rsidR="00984A3B" w:rsidRPr="00A9585D" w:rsidRDefault="00984A3B" w:rsidP="00984A3B">
      <w:pPr>
        <w:spacing w:before="120" w:after="0" w:line="240" w:lineRule="auto"/>
        <w:ind w:firstLine="567"/>
        <w:jc w:val="both"/>
        <w:rPr>
          <w:rFonts w:ascii="Times New Roman" w:hAnsi="Times New Roman"/>
          <w:sz w:val="28"/>
          <w:szCs w:val="28"/>
        </w:rPr>
      </w:pPr>
      <w:r w:rsidRPr="00A9585D">
        <w:rPr>
          <w:rFonts w:ascii="Times New Roman" w:hAnsi="Times New Roman"/>
          <w:sz w:val="28"/>
          <w:szCs w:val="28"/>
        </w:rPr>
        <w:t>Оцінка впливу на сферу інтересів держави: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984A3B" w:rsidRPr="00A9585D" w:rsidTr="00522DA4">
        <w:tc>
          <w:tcPr>
            <w:tcW w:w="2093"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jc w:val="center"/>
              <w:rPr>
                <w:rFonts w:ascii="Times New Roman" w:hAnsi="Times New Roman"/>
                <w:b/>
                <w:sz w:val="24"/>
                <w:szCs w:val="24"/>
              </w:rPr>
            </w:pPr>
            <w:r w:rsidRPr="00A9585D">
              <w:rPr>
                <w:rFonts w:ascii="Times New Roman" w:hAnsi="Times New Roman"/>
                <w:b/>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jc w:val="center"/>
              <w:rPr>
                <w:rFonts w:ascii="Times New Roman" w:hAnsi="Times New Roman"/>
                <w:b/>
                <w:sz w:val="24"/>
                <w:szCs w:val="24"/>
              </w:rPr>
            </w:pPr>
            <w:r w:rsidRPr="00A9585D">
              <w:rPr>
                <w:rFonts w:ascii="Times New Roman" w:hAnsi="Times New Roman"/>
                <w:b/>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spacing w:after="0" w:line="240" w:lineRule="auto"/>
              <w:jc w:val="center"/>
              <w:rPr>
                <w:rFonts w:ascii="Times New Roman" w:hAnsi="Times New Roman"/>
                <w:b/>
                <w:sz w:val="24"/>
                <w:szCs w:val="24"/>
              </w:rPr>
            </w:pPr>
            <w:r w:rsidRPr="00A9585D">
              <w:rPr>
                <w:rFonts w:ascii="Times New Roman" w:hAnsi="Times New Roman"/>
                <w:b/>
                <w:sz w:val="24"/>
                <w:szCs w:val="24"/>
              </w:rPr>
              <w:t>Витрати</w:t>
            </w:r>
          </w:p>
        </w:tc>
      </w:tr>
      <w:tr w:rsidR="00984A3B" w:rsidRPr="00A9585D" w:rsidTr="00522DA4">
        <w:tc>
          <w:tcPr>
            <w:tcW w:w="2093"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tabs>
                <w:tab w:val="left" w:pos="359"/>
                <w:tab w:val="left" w:pos="459"/>
              </w:tabs>
              <w:spacing w:after="0" w:line="240" w:lineRule="auto"/>
              <w:jc w:val="both"/>
              <w:rPr>
                <w:rFonts w:ascii="Times New Roman" w:hAnsi="Times New Roman"/>
              </w:rPr>
            </w:pPr>
            <w:r w:rsidRPr="00A9585D">
              <w:rPr>
                <w:rFonts w:ascii="Times New Roman" w:hAnsi="Times New Roman"/>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Залишаючи діюче регулювання без змін, вигоди відсутні, оскільки проблема залишається невирішеною</w:t>
            </w:r>
          </w:p>
        </w:tc>
        <w:tc>
          <w:tcPr>
            <w:tcW w:w="3572"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Додаткові витрати відсутні</w:t>
            </w:r>
          </w:p>
        </w:tc>
      </w:tr>
      <w:tr w:rsidR="00984A3B" w:rsidRPr="00A9585D" w:rsidTr="00522DA4">
        <w:tc>
          <w:tcPr>
            <w:tcW w:w="2093"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tabs>
                <w:tab w:val="left" w:pos="359"/>
                <w:tab w:val="left" w:pos="459"/>
              </w:tabs>
              <w:spacing w:after="0" w:line="240" w:lineRule="auto"/>
              <w:jc w:val="both"/>
              <w:rPr>
                <w:rFonts w:ascii="Times New Roman" w:hAnsi="Times New Roman"/>
              </w:rPr>
            </w:pPr>
            <w:r w:rsidRPr="00A9585D">
              <w:rPr>
                <w:rFonts w:ascii="Times New Roman" w:hAnsi="Times New Roman"/>
              </w:rPr>
              <w:t xml:space="preserve">Альтернатива 2 </w:t>
            </w:r>
          </w:p>
        </w:tc>
        <w:tc>
          <w:tcPr>
            <w:tcW w:w="3969" w:type="dxa"/>
            <w:tcBorders>
              <w:top w:val="single" w:sz="4" w:space="0" w:color="auto"/>
              <w:left w:val="single" w:sz="4" w:space="0" w:color="auto"/>
              <w:bottom w:val="single" w:sz="4" w:space="0" w:color="auto"/>
              <w:right w:val="single" w:sz="4" w:space="0" w:color="auto"/>
            </w:tcBorders>
            <w:vAlign w:val="center"/>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 xml:space="preserve">Прийняття </w:t>
            </w:r>
            <w:r w:rsidRPr="00632E91">
              <w:rPr>
                <w:rFonts w:ascii="Times New Roman" w:hAnsi="Times New Roman"/>
                <w:sz w:val="24"/>
                <w:szCs w:val="24"/>
              </w:rPr>
              <w:t xml:space="preserve">регуляторного </w:t>
            </w:r>
            <w:r>
              <w:rPr>
                <w:rFonts w:ascii="Times New Roman" w:hAnsi="Times New Roman"/>
                <w:sz w:val="24"/>
                <w:szCs w:val="24"/>
              </w:rPr>
              <w:t xml:space="preserve">акта надасть можливість усунути невідповідність між положеннями чинного нормативно-правового акта та акта вищої юридичної сили, а також удосконалить процедуру </w:t>
            </w:r>
            <w:r w:rsidRPr="00E428B7">
              <w:rPr>
                <w:rFonts w:ascii="Times New Roman" w:hAnsi="Times New Roman"/>
                <w:sz w:val="24"/>
                <w:szCs w:val="24"/>
              </w:rPr>
              <w:t xml:space="preserve">реєстрації об’єктів права інтелектуальної власності у митному реєстрі </w:t>
            </w:r>
            <w:r w:rsidR="002B361B" w:rsidRPr="00E428B7">
              <w:rPr>
                <w:rFonts w:ascii="Times New Roman" w:hAnsi="Times New Roman"/>
                <w:sz w:val="24"/>
                <w:szCs w:val="24"/>
              </w:rPr>
              <w:t>об’єктів</w:t>
            </w:r>
            <w:r w:rsidRPr="00E428B7">
              <w:rPr>
                <w:rFonts w:ascii="Times New Roman" w:hAnsi="Times New Roman"/>
                <w:sz w:val="24"/>
                <w:szCs w:val="24"/>
              </w:rPr>
              <w:t xml:space="preserve"> права інтелектуальної власності за заявами правовласників про сприяння захисту прав інтелектуальної власності</w:t>
            </w:r>
          </w:p>
        </w:tc>
        <w:tc>
          <w:tcPr>
            <w:tcW w:w="3572" w:type="dxa"/>
            <w:tcBorders>
              <w:top w:val="single" w:sz="4" w:space="0" w:color="auto"/>
              <w:left w:val="single" w:sz="4" w:space="0" w:color="auto"/>
              <w:bottom w:val="single" w:sz="4" w:space="0" w:color="auto"/>
              <w:right w:val="single" w:sz="4" w:space="0" w:color="auto"/>
            </w:tcBorders>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Додаткові витрати відсутні</w:t>
            </w:r>
          </w:p>
        </w:tc>
      </w:tr>
    </w:tbl>
    <w:p w:rsidR="00984A3B" w:rsidRDefault="00984A3B" w:rsidP="00984A3B">
      <w:pPr>
        <w:tabs>
          <w:tab w:val="left" w:pos="359"/>
          <w:tab w:val="left" w:pos="459"/>
        </w:tabs>
        <w:spacing w:after="0" w:line="240" w:lineRule="auto"/>
        <w:ind w:firstLine="567"/>
        <w:jc w:val="both"/>
        <w:rPr>
          <w:rFonts w:ascii="Times New Roman" w:hAnsi="Times New Roman"/>
          <w:sz w:val="28"/>
          <w:szCs w:val="28"/>
        </w:rPr>
      </w:pPr>
      <w:r w:rsidRPr="00A9585D">
        <w:rPr>
          <w:rFonts w:ascii="Times New Roman" w:hAnsi="Times New Roman"/>
          <w:sz w:val="28"/>
          <w:szCs w:val="28"/>
        </w:rPr>
        <w:t>Оцінка впливу на сферу інтересів громадян</w:t>
      </w:r>
      <w:r w:rsidR="005444E6">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3872"/>
        <w:gridCol w:w="3676"/>
      </w:tblGrid>
      <w:tr w:rsidR="00984A3B" w:rsidRPr="00A9585D" w:rsidTr="005444E6">
        <w:tc>
          <w:tcPr>
            <w:tcW w:w="2080" w:type="dxa"/>
            <w:shd w:val="clear" w:color="auto" w:fill="auto"/>
          </w:tcPr>
          <w:p w:rsidR="00984A3B" w:rsidRPr="00A9585D" w:rsidRDefault="00984A3B" w:rsidP="002856E7">
            <w:pPr>
              <w:tabs>
                <w:tab w:val="left" w:pos="359"/>
                <w:tab w:val="left" w:pos="459"/>
              </w:tabs>
              <w:spacing w:after="0" w:line="240" w:lineRule="auto"/>
              <w:jc w:val="center"/>
              <w:rPr>
                <w:rFonts w:ascii="Times New Roman" w:hAnsi="Times New Roman"/>
                <w:b/>
                <w:sz w:val="24"/>
                <w:szCs w:val="24"/>
              </w:rPr>
            </w:pPr>
            <w:r w:rsidRPr="00A9585D">
              <w:rPr>
                <w:rFonts w:ascii="Times New Roman" w:hAnsi="Times New Roman"/>
                <w:b/>
                <w:sz w:val="24"/>
                <w:szCs w:val="24"/>
              </w:rPr>
              <w:t>Вид альтернативи</w:t>
            </w:r>
          </w:p>
        </w:tc>
        <w:tc>
          <w:tcPr>
            <w:tcW w:w="3872" w:type="dxa"/>
            <w:shd w:val="clear" w:color="auto" w:fill="auto"/>
          </w:tcPr>
          <w:p w:rsidR="00984A3B" w:rsidRPr="00A9585D" w:rsidRDefault="00984A3B" w:rsidP="002856E7">
            <w:pPr>
              <w:tabs>
                <w:tab w:val="left" w:pos="359"/>
                <w:tab w:val="left" w:pos="459"/>
              </w:tabs>
              <w:spacing w:after="0" w:line="240" w:lineRule="auto"/>
              <w:jc w:val="center"/>
              <w:rPr>
                <w:rFonts w:ascii="Times New Roman" w:hAnsi="Times New Roman"/>
                <w:b/>
                <w:sz w:val="24"/>
                <w:szCs w:val="24"/>
              </w:rPr>
            </w:pPr>
            <w:r w:rsidRPr="00A9585D">
              <w:rPr>
                <w:rFonts w:ascii="Times New Roman" w:hAnsi="Times New Roman"/>
                <w:b/>
                <w:sz w:val="24"/>
                <w:szCs w:val="24"/>
              </w:rPr>
              <w:t>Вигоди</w:t>
            </w:r>
          </w:p>
        </w:tc>
        <w:tc>
          <w:tcPr>
            <w:tcW w:w="3676" w:type="dxa"/>
            <w:shd w:val="clear" w:color="auto" w:fill="auto"/>
          </w:tcPr>
          <w:p w:rsidR="00984A3B" w:rsidRPr="00A9585D" w:rsidRDefault="00984A3B" w:rsidP="002856E7">
            <w:pPr>
              <w:tabs>
                <w:tab w:val="left" w:pos="359"/>
                <w:tab w:val="left" w:pos="459"/>
              </w:tabs>
              <w:spacing w:after="0" w:line="240" w:lineRule="auto"/>
              <w:jc w:val="center"/>
              <w:rPr>
                <w:rFonts w:ascii="Times New Roman" w:hAnsi="Times New Roman"/>
                <w:b/>
                <w:sz w:val="24"/>
                <w:szCs w:val="24"/>
              </w:rPr>
            </w:pPr>
            <w:r w:rsidRPr="00A9585D">
              <w:rPr>
                <w:rFonts w:ascii="Times New Roman" w:hAnsi="Times New Roman"/>
                <w:b/>
                <w:sz w:val="24"/>
                <w:szCs w:val="24"/>
              </w:rPr>
              <w:t>Витрати</w:t>
            </w:r>
          </w:p>
        </w:tc>
      </w:tr>
      <w:tr w:rsidR="00984A3B" w:rsidRPr="004B4B0C" w:rsidTr="005444E6">
        <w:tc>
          <w:tcPr>
            <w:tcW w:w="2080" w:type="dxa"/>
            <w:shd w:val="clear" w:color="auto" w:fill="auto"/>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sidRPr="00A9585D">
              <w:rPr>
                <w:rFonts w:ascii="Times New Roman" w:hAnsi="Times New Roman"/>
                <w:sz w:val="24"/>
                <w:szCs w:val="24"/>
              </w:rPr>
              <w:t>Альтернатива 1</w:t>
            </w:r>
          </w:p>
        </w:tc>
        <w:tc>
          <w:tcPr>
            <w:tcW w:w="3872" w:type="dxa"/>
            <w:shd w:val="clear" w:color="auto" w:fill="auto"/>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sidRPr="00A9585D">
              <w:rPr>
                <w:rFonts w:ascii="Times New Roman" w:hAnsi="Times New Roman"/>
                <w:sz w:val="24"/>
                <w:szCs w:val="24"/>
              </w:rPr>
              <w:t>Залишаючи діюче регулювання без змін, вигоди відсутні, оскільки проблем</w:t>
            </w:r>
            <w:r>
              <w:rPr>
                <w:rFonts w:ascii="Times New Roman" w:hAnsi="Times New Roman"/>
                <w:sz w:val="24"/>
                <w:szCs w:val="24"/>
              </w:rPr>
              <w:t>а залишається невирішеною</w:t>
            </w:r>
          </w:p>
        </w:tc>
        <w:tc>
          <w:tcPr>
            <w:tcW w:w="3676" w:type="dxa"/>
            <w:shd w:val="clear" w:color="auto" w:fill="auto"/>
          </w:tcPr>
          <w:p w:rsidR="00984A3B" w:rsidRPr="004B4B0C"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Додаткові витрати відсутні</w:t>
            </w:r>
          </w:p>
        </w:tc>
      </w:tr>
      <w:tr w:rsidR="00984A3B" w:rsidRPr="00A9585D" w:rsidTr="005444E6">
        <w:tc>
          <w:tcPr>
            <w:tcW w:w="2080" w:type="dxa"/>
            <w:shd w:val="clear" w:color="auto" w:fill="auto"/>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sidRPr="00A9585D">
              <w:rPr>
                <w:rFonts w:ascii="Times New Roman" w:hAnsi="Times New Roman"/>
                <w:sz w:val="24"/>
                <w:szCs w:val="24"/>
              </w:rPr>
              <w:t>Альтернатива 2</w:t>
            </w:r>
          </w:p>
        </w:tc>
        <w:tc>
          <w:tcPr>
            <w:tcW w:w="3872" w:type="dxa"/>
            <w:shd w:val="clear" w:color="auto" w:fill="auto"/>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 xml:space="preserve">Прийняття регуляторного акта надасть можливість усунути невідповідність між положеннями чинного нормативно-правового акта та акта вищої юридичної сили, а також удосконалить процедуру реєстрації об’єктів права інтелектуальної власності у митному реєстрі </w:t>
            </w:r>
            <w:r w:rsidR="00522DA4">
              <w:rPr>
                <w:rFonts w:ascii="Times New Roman" w:hAnsi="Times New Roman"/>
                <w:sz w:val="24"/>
                <w:szCs w:val="24"/>
              </w:rPr>
              <w:t>об’єктів</w:t>
            </w:r>
            <w:r>
              <w:rPr>
                <w:rFonts w:ascii="Times New Roman" w:hAnsi="Times New Roman"/>
                <w:sz w:val="24"/>
                <w:szCs w:val="24"/>
              </w:rPr>
              <w:t xml:space="preserve"> права інтелектуальної власності за заявами правовласників про сприяння захисту прав інтелектуальної власності</w:t>
            </w:r>
          </w:p>
        </w:tc>
        <w:tc>
          <w:tcPr>
            <w:tcW w:w="3676" w:type="dxa"/>
            <w:shd w:val="clear" w:color="auto" w:fill="auto"/>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Додаткові витрати відсутні</w:t>
            </w:r>
          </w:p>
        </w:tc>
      </w:tr>
    </w:tbl>
    <w:p w:rsidR="00984A3B" w:rsidRPr="00A9585D" w:rsidRDefault="00984A3B" w:rsidP="00984A3B">
      <w:pPr>
        <w:pStyle w:val="a5"/>
        <w:widowControl w:val="0"/>
        <w:spacing w:before="0" w:beforeAutospacing="0" w:after="0" w:afterAutospacing="0"/>
        <w:ind w:firstLine="709"/>
        <w:jc w:val="both"/>
        <w:rPr>
          <w:i/>
          <w:sz w:val="16"/>
          <w:szCs w:val="16"/>
          <w:lang w:val="uk-UA"/>
        </w:rPr>
      </w:pPr>
    </w:p>
    <w:p w:rsidR="00984A3B" w:rsidRPr="00A9585D" w:rsidRDefault="00984A3B" w:rsidP="00984A3B">
      <w:pPr>
        <w:pStyle w:val="a5"/>
        <w:widowControl w:val="0"/>
        <w:spacing w:before="0" w:beforeAutospacing="0" w:after="0" w:afterAutospacing="0"/>
        <w:ind w:firstLine="567"/>
        <w:jc w:val="both"/>
        <w:rPr>
          <w:sz w:val="28"/>
          <w:szCs w:val="28"/>
          <w:lang w:val="uk-UA"/>
        </w:rPr>
      </w:pPr>
      <w:r w:rsidRPr="00A9585D">
        <w:rPr>
          <w:sz w:val="28"/>
          <w:szCs w:val="28"/>
          <w:lang w:val="uk-UA"/>
        </w:rPr>
        <w:t>Оцінка впливу на сферу інтересів суб’єктів господарювання</w:t>
      </w:r>
      <w:r w:rsidR="005444E6">
        <w:rPr>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19"/>
        <w:gridCol w:w="3192"/>
      </w:tblGrid>
      <w:tr w:rsidR="00984A3B" w:rsidRPr="00A9585D" w:rsidTr="005444E6">
        <w:tc>
          <w:tcPr>
            <w:tcW w:w="3217" w:type="dxa"/>
            <w:shd w:val="clear" w:color="auto" w:fill="auto"/>
          </w:tcPr>
          <w:p w:rsidR="00984A3B" w:rsidRPr="00A9585D" w:rsidRDefault="00984A3B" w:rsidP="002856E7">
            <w:pPr>
              <w:pStyle w:val="a5"/>
              <w:widowControl w:val="0"/>
              <w:spacing w:before="0" w:beforeAutospacing="0" w:after="0" w:afterAutospacing="0"/>
              <w:jc w:val="center"/>
              <w:rPr>
                <w:b/>
                <w:sz w:val="28"/>
                <w:szCs w:val="28"/>
                <w:highlight w:val="yellow"/>
                <w:lang w:val="uk-UA"/>
              </w:rPr>
            </w:pPr>
            <w:r w:rsidRPr="00A9585D">
              <w:rPr>
                <w:b/>
                <w:szCs w:val="24"/>
                <w:lang w:val="uk-UA"/>
              </w:rPr>
              <w:t>Вид альтернативи</w:t>
            </w:r>
          </w:p>
        </w:tc>
        <w:tc>
          <w:tcPr>
            <w:tcW w:w="3219" w:type="dxa"/>
            <w:shd w:val="clear" w:color="auto" w:fill="auto"/>
          </w:tcPr>
          <w:p w:rsidR="00984A3B" w:rsidRPr="00A9585D" w:rsidRDefault="00984A3B" w:rsidP="002856E7">
            <w:pPr>
              <w:pStyle w:val="a5"/>
              <w:widowControl w:val="0"/>
              <w:spacing w:before="0" w:beforeAutospacing="0" w:after="0" w:afterAutospacing="0"/>
              <w:jc w:val="center"/>
              <w:rPr>
                <w:b/>
                <w:sz w:val="28"/>
                <w:szCs w:val="28"/>
                <w:highlight w:val="yellow"/>
                <w:lang w:val="uk-UA"/>
              </w:rPr>
            </w:pPr>
            <w:r w:rsidRPr="00A9585D">
              <w:rPr>
                <w:b/>
                <w:szCs w:val="24"/>
                <w:lang w:val="uk-UA"/>
              </w:rPr>
              <w:t>Вигоди</w:t>
            </w:r>
          </w:p>
        </w:tc>
        <w:tc>
          <w:tcPr>
            <w:tcW w:w="3192" w:type="dxa"/>
            <w:shd w:val="clear" w:color="auto" w:fill="auto"/>
          </w:tcPr>
          <w:p w:rsidR="00984A3B" w:rsidRPr="00A9585D" w:rsidRDefault="00984A3B" w:rsidP="002856E7">
            <w:pPr>
              <w:pStyle w:val="a5"/>
              <w:widowControl w:val="0"/>
              <w:spacing w:before="0" w:beforeAutospacing="0" w:after="0" w:afterAutospacing="0"/>
              <w:jc w:val="center"/>
              <w:rPr>
                <w:b/>
                <w:sz w:val="28"/>
                <w:szCs w:val="28"/>
                <w:highlight w:val="yellow"/>
                <w:lang w:val="uk-UA"/>
              </w:rPr>
            </w:pPr>
            <w:r w:rsidRPr="00A9585D">
              <w:rPr>
                <w:b/>
                <w:szCs w:val="24"/>
                <w:lang w:val="uk-UA"/>
              </w:rPr>
              <w:t>Витрати</w:t>
            </w:r>
          </w:p>
        </w:tc>
      </w:tr>
      <w:tr w:rsidR="00984A3B" w:rsidRPr="00A9585D" w:rsidTr="005444E6">
        <w:tc>
          <w:tcPr>
            <w:tcW w:w="3217" w:type="dxa"/>
            <w:shd w:val="clear" w:color="auto" w:fill="auto"/>
          </w:tcPr>
          <w:p w:rsidR="00984A3B" w:rsidRPr="00A9585D" w:rsidRDefault="00984A3B" w:rsidP="002856E7">
            <w:pPr>
              <w:pStyle w:val="a5"/>
              <w:widowControl w:val="0"/>
              <w:spacing w:before="0" w:beforeAutospacing="0" w:after="0" w:afterAutospacing="0"/>
              <w:rPr>
                <w:szCs w:val="24"/>
                <w:lang w:val="uk-UA"/>
              </w:rPr>
            </w:pPr>
            <w:r w:rsidRPr="00A9585D">
              <w:rPr>
                <w:szCs w:val="24"/>
                <w:lang w:val="uk-UA"/>
              </w:rPr>
              <w:t xml:space="preserve">Альтернатива 1 </w:t>
            </w:r>
          </w:p>
        </w:tc>
        <w:tc>
          <w:tcPr>
            <w:tcW w:w="3219" w:type="dxa"/>
            <w:shd w:val="clear" w:color="auto" w:fill="auto"/>
          </w:tcPr>
          <w:p w:rsidR="00984A3B" w:rsidRPr="00A9585D" w:rsidRDefault="00984A3B" w:rsidP="002856E7">
            <w:pPr>
              <w:pStyle w:val="a5"/>
              <w:widowControl w:val="0"/>
              <w:spacing w:before="0" w:beforeAutospacing="0" w:after="0" w:afterAutospacing="0"/>
              <w:jc w:val="both"/>
              <w:rPr>
                <w:szCs w:val="24"/>
                <w:highlight w:val="yellow"/>
                <w:lang w:val="uk-UA"/>
              </w:rPr>
            </w:pPr>
            <w:r w:rsidRPr="00A9585D">
              <w:rPr>
                <w:szCs w:val="24"/>
                <w:lang w:val="uk-UA"/>
              </w:rPr>
              <w:t>Залишаючи діюче регулювання без змін, вигоди відсутні, оскільки п</w:t>
            </w:r>
            <w:r>
              <w:rPr>
                <w:szCs w:val="24"/>
                <w:lang w:val="uk-UA"/>
              </w:rPr>
              <w:t>роблема залишається невирішеною</w:t>
            </w:r>
          </w:p>
        </w:tc>
        <w:tc>
          <w:tcPr>
            <w:tcW w:w="3192" w:type="dxa"/>
            <w:shd w:val="clear" w:color="auto" w:fill="auto"/>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Додаткові витрати відсутні</w:t>
            </w:r>
          </w:p>
        </w:tc>
      </w:tr>
      <w:tr w:rsidR="00984A3B" w:rsidRPr="00A9585D" w:rsidTr="005444E6">
        <w:tc>
          <w:tcPr>
            <w:tcW w:w="3217" w:type="dxa"/>
            <w:shd w:val="clear" w:color="auto" w:fill="auto"/>
          </w:tcPr>
          <w:p w:rsidR="00984A3B" w:rsidRPr="00A9585D" w:rsidRDefault="00984A3B" w:rsidP="002856E7">
            <w:pPr>
              <w:pStyle w:val="a5"/>
              <w:widowControl w:val="0"/>
              <w:spacing w:before="0" w:beforeAutospacing="0" w:after="0" w:afterAutospacing="0"/>
              <w:rPr>
                <w:szCs w:val="24"/>
                <w:lang w:val="uk-UA"/>
              </w:rPr>
            </w:pPr>
            <w:r w:rsidRPr="00A9585D">
              <w:rPr>
                <w:szCs w:val="24"/>
                <w:lang w:val="uk-UA"/>
              </w:rPr>
              <w:t>Альтернатива 2</w:t>
            </w:r>
          </w:p>
          <w:p w:rsidR="00984A3B" w:rsidRPr="00A9585D" w:rsidRDefault="00984A3B" w:rsidP="002856E7">
            <w:pPr>
              <w:pStyle w:val="a5"/>
              <w:widowControl w:val="0"/>
              <w:spacing w:before="0" w:beforeAutospacing="0" w:after="0" w:afterAutospacing="0"/>
              <w:jc w:val="both"/>
              <w:rPr>
                <w:sz w:val="28"/>
                <w:szCs w:val="28"/>
                <w:highlight w:val="yellow"/>
                <w:lang w:val="uk-UA"/>
              </w:rPr>
            </w:pPr>
          </w:p>
        </w:tc>
        <w:tc>
          <w:tcPr>
            <w:tcW w:w="3219" w:type="dxa"/>
            <w:shd w:val="clear" w:color="auto" w:fill="auto"/>
          </w:tcPr>
          <w:p w:rsidR="00984A3B" w:rsidRPr="00E428B7"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Прийняття регуляторного акта надасть можливість усунути невідповідність між положеннями чинного нормативно-правового акта та акта вищої юридичної сили, а також удосконалить процедуру реєстрації об’єктів права інтелектуальної власності у митному реєстрі обʼєктів права інтелектуальної власності за заявами правовласників про сприяння захисту прав інтелектуальної власності</w:t>
            </w:r>
          </w:p>
        </w:tc>
        <w:tc>
          <w:tcPr>
            <w:tcW w:w="3192" w:type="dxa"/>
            <w:shd w:val="clear" w:color="auto" w:fill="auto"/>
          </w:tcPr>
          <w:p w:rsidR="00984A3B" w:rsidRPr="00A9585D" w:rsidRDefault="00984A3B" w:rsidP="002856E7">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Додаткові витрати відсутні</w:t>
            </w:r>
          </w:p>
        </w:tc>
      </w:tr>
    </w:tbl>
    <w:p w:rsidR="00984A3B" w:rsidRPr="00984A3B" w:rsidRDefault="00984A3B" w:rsidP="007F2B4C">
      <w:pPr>
        <w:spacing w:after="0" w:line="240" w:lineRule="auto"/>
        <w:ind w:firstLine="567"/>
        <w:jc w:val="both"/>
        <w:rPr>
          <w:rFonts w:ascii="Times New Roman" w:eastAsia="Calibri" w:hAnsi="Times New Roman" w:cs="Times New Roman"/>
          <w:sz w:val="28"/>
          <w:szCs w:val="28"/>
          <w:lang w:val="x-none"/>
        </w:rPr>
      </w:pPr>
    </w:p>
    <w:p w:rsidR="00984A3B" w:rsidRDefault="00233766" w:rsidP="00984A3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984A3B">
        <w:rPr>
          <w:rFonts w:ascii="Times New Roman" w:eastAsia="Calibri" w:hAnsi="Times New Roman" w:cs="Times New Roman"/>
          <w:b/>
          <w:sz w:val="28"/>
          <w:szCs w:val="28"/>
        </w:rPr>
        <w:t xml:space="preserve">. Щодо </w:t>
      </w:r>
      <w:r w:rsidR="00984A3B" w:rsidRPr="007F2B4C">
        <w:rPr>
          <w:rFonts w:ascii="Times New Roman" w:eastAsia="Calibri" w:hAnsi="Times New Roman" w:cs="Times New Roman"/>
          <w:b/>
          <w:sz w:val="28"/>
          <w:szCs w:val="28"/>
        </w:rPr>
        <w:t>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r w:rsidR="00984A3B">
        <w:rPr>
          <w:rFonts w:ascii="Times New Roman" w:eastAsia="Calibri" w:hAnsi="Times New Roman" w:cs="Times New Roman"/>
          <w:b/>
          <w:sz w:val="28"/>
          <w:szCs w:val="28"/>
        </w:rPr>
        <w:t>:</w:t>
      </w:r>
    </w:p>
    <w:p w:rsidR="00984A3B" w:rsidRDefault="00984A3B" w:rsidP="007F2B4C">
      <w:pPr>
        <w:spacing w:after="0" w:line="240" w:lineRule="auto"/>
        <w:ind w:firstLine="567"/>
        <w:jc w:val="both"/>
        <w:rPr>
          <w:rFonts w:ascii="Times New Roman" w:eastAsia="Calibri" w:hAnsi="Times New Roman" w:cs="Times New Roman"/>
          <w:sz w:val="28"/>
          <w:szCs w:val="28"/>
        </w:rPr>
      </w:pPr>
    </w:p>
    <w:p w:rsidR="007F2B4C" w:rsidRP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 xml:space="preserve">1. Альтернативними способами регулювання порушеної проблеми можна визначити: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16"/>
      </w:tblGrid>
      <w:tr w:rsidR="007F2B4C" w:rsidRPr="007F2B4C" w:rsidTr="00522DA4">
        <w:tc>
          <w:tcPr>
            <w:tcW w:w="251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Вид альтернативи</w:t>
            </w:r>
          </w:p>
        </w:tc>
        <w:tc>
          <w:tcPr>
            <w:tcW w:w="7116"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Опис альтернативи</w:t>
            </w:r>
          </w:p>
        </w:tc>
      </w:tr>
      <w:tr w:rsidR="007F2B4C" w:rsidRPr="007F2B4C" w:rsidTr="00522DA4">
        <w:trPr>
          <w:trHeight w:val="525"/>
        </w:trPr>
        <w:tc>
          <w:tcPr>
            <w:tcW w:w="251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lang w:eastAsia="uk-UA"/>
              </w:rPr>
              <w:t>Альтернатива 1</w:t>
            </w:r>
          </w:p>
        </w:tc>
        <w:tc>
          <w:tcPr>
            <w:tcW w:w="7116"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ind w:firstLine="21"/>
              <w:rPr>
                <w:rFonts w:ascii="Times New Roman" w:eastAsia="Calibri" w:hAnsi="Times New Roman" w:cs="Times New Roman"/>
                <w:sz w:val="24"/>
                <w:szCs w:val="24"/>
              </w:rPr>
            </w:pPr>
            <w:r w:rsidRPr="007F2B4C">
              <w:rPr>
                <w:rFonts w:ascii="Times New Roman" w:eastAsia="Times New Roman" w:hAnsi="Times New Roman" w:cs="Times New Roman"/>
                <w:bCs/>
                <w:sz w:val="24"/>
                <w:szCs w:val="24"/>
                <w:lang w:eastAsia="uk-UA"/>
              </w:rPr>
              <w:t>Збереження існуючого стану</w:t>
            </w:r>
          </w:p>
        </w:tc>
      </w:tr>
      <w:tr w:rsidR="007F2B4C" w:rsidRPr="007F2B4C" w:rsidTr="00522DA4">
        <w:tc>
          <w:tcPr>
            <w:tcW w:w="2518"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sz w:val="24"/>
                <w:szCs w:val="24"/>
              </w:rPr>
            </w:pPr>
            <w:r w:rsidRPr="007F2B4C">
              <w:rPr>
                <w:rFonts w:ascii="Times New Roman" w:eastAsia="Calibri" w:hAnsi="Times New Roman" w:cs="Times New Roman"/>
                <w:sz w:val="24"/>
                <w:szCs w:val="24"/>
              </w:rPr>
              <w:t>Альтернатива 2</w:t>
            </w:r>
          </w:p>
        </w:tc>
        <w:tc>
          <w:tcPr>
            <w:tcW w:w="7116" w:type="dxa"/>
            <w:tcBorders>
              <w:top w:val="single" w:sz="4" w:space="0" w:color="auto"/>
              <w:left w:val="single" w:sz="4" w:space="0" w:color="auto"/>
              <w:bottom w:val="single" w:sz="4" w:space="0" w:color="auto"/>
              <w:right w:val="single" w:sz="4" w:space="0" w:color="auto"/>
            </w:tcBorders>
          </w:tcPr>
          <w:p w:rsidR="007F2B4C" w:rsidRPr="007F2B4C" w:rsidRDefault="007F2B4C" w:rsidP="007F2B4C">
            <w:pPr>
              <w:spacing w:after="120" w:line="240" w:lineRule="auto"/>
              <w:jc w:val="both"/>
              <w:outlineLvl w:val="2"/>
              <w:rPr>
                <w:rFonts w:ascii="Times New Roman" w:eastAsia="Times New Roman" w:hAnsi="Times New Roman" w:cs="Times New Roman"/>
                <w:bCs/>
                <w:sz w:val="24"/>
                <w:szCs w:val="24"/>
                <w:lang w:eastAsia="uk-UA"/>
              </w:rPr>
            </w:pPr>
            <w:r w:rsidRPr="007F2B4C">
              <w:rPr>
                <w:rFonts w:ascii="Times New Roman" w:eastAsia="Times New Roman" w:hAnsi="Times New Roman" w:cs="Times New Roman"/>
                <w:bCs/>
                <w:sz w:val="24"/>
                <w:szCs w:val="24"/>
                <w:lang w:eastAsia="uk-UA"/>
              </w:rPr>
              <w:t>Затвердження 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в новій редакції.</w:t>
            </w:r>
          </w:p>
        </w:tc>
      </w:tr>
    </w:tbl>
    <w:p w:rsidR="007F2B4C" w:rsidRPr="007F2B4C" w:rsidRDefault="007F2B4C" w:rsidP="007F2B4C">
      <w:pPr>
        <w:widowControl w:val="0"/>
        <w:spacing w:after="0" w:line="240" w:lineRule="auto"/>
        <w:ind w:firstLine="567"/>
        <w:jc w:val="both"/>
        <w:rPr>
          <w:rFonts w:ascii="Times New Roman" w:eastAsia="Times New Roman" w:hAnsi="Times New Roman" w:cs="Times New Roman"/>
          <w:i/>
          <w:sz w:val="24"/>
          <w:szCs w:val="28"/>
          <w:lang w:eastAsia="ru-RU"/>
        </w:rPr>
      </w:pPr>
      <w:r w:rsidRPr="007F2B4C">
        <w:rPr>
          <w:rFonts w:ascii="Times New Roman" w:eastAsia="Times New Roman" w:hAnsi="Times New Roman" w:cs="Times New Roman"/>
          <w:i/>
          <w:sz w:val="24"/>
          <w:szCs w:val="24"/>
          <w:lang w:eastAsia="ru-RU"/>
        </w:rPr>
        <w:t>* </w:t>
      </w:r>
      <w:r w:rsidRPr="007F2B4C">
        <w:rPr>
          <w:rFonts w:ascii="Times New Roman" w:eastAsia="Times New Roman" w:hAnsi="Times New Roman" w:cs="Times New Roman"/>
          <w:i/>
          <w:sz w:val="24"/>
          <w:szCs w:val="28"/>
          <w:lang w:eastAsia="ru-RU"/>
        </w:rPr>
        <w:t>Інших альтернативних способів досягнення основної мети, ніж прийняття зазначеного регуляторного акта, не існує.</w:t>
      </w:r>
    </w:p>
    <w:p w:rsidR="007F2B4C" w:rsidRPr="00421ADF" w:rsidRDefault="007F2B4C" w:rsidP="007F2B4C">
      <w:pPr>
        <w:spacing w:after="0" w:line="240" w:lineRule="auto"/>
        <w:ind w:firstLine="567"/>
        <w:jc w:val="both"/>
        <w:rPr>
          <w:rFonts w:ascii="Times New Roman" w:eastAsia="Calibri" w:hAnsi="Times New Roman" w:cs="Times New Roman"/>
          <w:sz w:val="16"/>
          <w:szCs w:val="16"/>
        </w:rPr>
      </w:pPr>
    </w:p>
    <w:p w:rsidR="007F2B4C" w:rsidRDefault="007F2B4C" w:rsidP="007F2B4C">
      <w:pPr>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2. Оцінка вибраних альтернативних способів досягнення цілей</w:t>
      </w:r>
    </w:p>
    <w:p w:rsidR="007F2B4C" w:rsidRPr="007F2B4C" w:rsidRDefault="007F2B4C" w:rsidP="007F2B4C">
      <w:pPr>
        <w:spacing w:before="120"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Оцінка впливу на сферу інтересів держави: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7F2B4C" w:rsidRPr="007F2B4C" w:rsidTr="00522DA4">
        <w:tc>
          <w:tcPr>
            <w:tcW w:w="20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Витрати</w:t>
            </w:r>
          </w:p>
        </w:tc>
      </w:tr>
      <w:tr w:rsidR="007F2B4C" w:rsidRPr="007F2B4C" w:rsidTr="00522DA4">
        <w:tc>
          <w:tcPr>
            <w:tcW w:w="20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rPr>
            </w:pPr>
            <w:r w:rsidRPr="007F2B4C">
              <w:rPr>
                <w:rFonts w:ascii="Times New Roman" w:eastAsia="Calibri" w:hAnsi="Times New Roman" w:cs="Times New Roman"/>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Залишаючи діюче регулювання без змін, вигоди відсутні, оскільки проблема залишається невирішеною</w:t>
            </w:r>
          </w:p>
        </w:tc>
        <w:tc>
          <w:tcPr>
            <w:tcW w:w="3572"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Додаткові витрати відсутні</w:t>
            </w:r>
          </w:p>
        </w:tc>
      </w:tr>
      <w:tr w:rsidR="007F2B4C" w:rsidRPr="007F2B4C" w:rsidTr="00522DA4">
        <w:tc>
          <w:tcPr>
            <w:tcW w:w="2093"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rPr>
            </w:pPr>
            <w:r w:rsidRPr="007F2B4C">
              <w:rPr>
                <w:rFonts w:ascii="Times New Roman" w:eastAsia="Calibri" w:hAnsi="Times New Roman" w:cs="Times New Roman"/>
              </w:rPr>
              <w:t xml:space="preserve">Альтернатива 2 </w:t>
            </w:r>
          </w:p>
        </w:tc>
        <w:tc>
          <w:tcPr>
            <w:tcW w:w="3969" w:type="dxa"/>
            <w:tcBorders>
              <w:top w:val="single" w:sz="4" w:space="0" w:color="auto"/>
              <w:left w:val="single" w:sz="4" w:space="0" w:color="auto"/>
              <w:bottom w:val="single" w:sz="4" w:space="0" w:color="auto"/>
              <w:right w:val="single" w:sz="4" w:space="0" w:color="auto"/>
            </w:tcBorders>
            <w:vAlign w:val="center"/>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Прийняття регуляторного акта надасть можливість усунути невідповідність між положеннями чинного нормативно-правового акта та акта вищої юридичної сили, а також удосконалить процедуру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p>
        </w:tc>
        <w:tc>
          <w:tcPr>
            <w:tcW w:w="3572" w:type="dxa"/>
            <w:tcBorders>
              <w:top w:val="single" w:sz="4" w:space="0" w:color="auto"/>
              <w:left w:val="single" w:sz="4" w:space="0" w:color="auto"/>
              <w:bottom w:val="single" w:sz="4" w:space="0" w:color="auto"/>
              <w:right w:val="single" w:sz="4" w:space="0" w:color="auto"/>
            </w:tcBorders>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Додаткові витрати відсутні</w:t>
            </w:r>
          </w:p>
        </w:tc>
      </w:tr>
    </w:tbl>
    <w:p w:rsidR="005444E6" w:rsidRPr="00421ADF" w:rsidRDefault="005444E6" w:rsidP="007F2B4C">
      <w:pPr>
        <w:tabs>
          <w:tab w:val="left" w:pos="359"/>
          <w:tab w:val="left" w:pos="459"/>
        </w:tabs>
        <w:spacing w:after="0" w:line="240" w:lineRule="auto"/>
        <w:ind w:firstLine="567"/>
        <w:jc w:val="both"/>
        <w:rPr>
          <w:rFonts w:ascii="Times New Roman" w:eastAsia="Calibri" w:hAnsi="Times New Roman" w:cs="Times New Roman"/>
          <w:sz w:val="28"/>
          <w:szCs w:val="28"/>
        </w:rPr>
      </w:pPr>
    </w:p>
    <w:p w:rsidR="007F2B4C" w:rsidRPr="007F2B4C" w:rsidRDefault="007F2B4C" w:rsidP="007F2B4C">
      <w:pPr>
        <w:tabs>
          <w:tab w:val="left" w:pos="359"/>
          <w:tab w:val="left" w:pos="459"/>
        </w:tabs>
        <w:spacing w:after="0" w:line="240" w:lineRule="auto"/>
        <w:ind w:firstLine="567"/>
        <w:jc w:val="both"/>
        <w:rPr>
          <w:rFonts w:ascii="Times New Roman" w:eastAsia="Calibri" w:hAnsi="Times New Roman" w:cs="Times New Roman"/>
          <w:sz w:val="28"/>
          <w:szCs w:val="28"/>
        </w:rPr>
      </w:pPr>
      <w:r w:rsidRPr="007F2B4C">
        <w:rPr>
          <w:rFonts w:ascii="Times New Roman" w:eastAsia="Calibri" w:hAnsi="Times New Roman" w:cs="Times New Roman"/>
          <w:sz w:val="28"/>
          <w:szCs w:val="28"/>
        </w:rPr>
        <w:t xml:space="preserve"> Оцінка впливу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3878"/>
        <w:gridCol w:w="3670"/>
      </w:tblGrid>
      <w:tr w:rsidR="007F2B4C" w:rsidRPr="007F2B4C" w:rsidTr="002856E7">
        <w:tc>
          <w:tcPr>
            <w:tcW w:w="2093" w:type="dxa"/>
            <w:shd w:val="clear" w:color="auto" w:fill="auto"/>
          </w:tcPr>
          <w:p w:rsidR="007F2B4C" w:rsidRPr="007F2B4C" w:rsidRDefault="007F2B4C" w:rsidP="007F2B4C">
            <w:pPr>
              <w:tabs>
                <w:tab w:val="left" w:pos="359"/>
                <w:tab w:val="left" w:pos="459"/>
              </w:tabs>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Вид альтернативи</w:t>
            </w:r>
          </w:p>
        </w:tc>
        <w:tc>
          <w:tcPr>
            <w:tcW w:w="3969" w:type="dxa"/>
            <w:shd w:val="clear" w:color="auto" w:fill="auto"/>
          </w:tcPr>
          <w:p w:rsidR="007F2B4C" w:rsidRPr="007F2B4C" w:rsidRDefault="007F2B4C" w:rsidP="007F2B4C">
            <w:pPr>
              <w:tabs>
                <w:tab w:val="left" w:pos="359"/>
                <w:tab w:val="left" w:pos="459"/>
              </w:tabs>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Вигоди</w:t>
            </w:r>
          </w:p>
        </w:tc>
        <w:tc>
          <w:tcPr>
            <w:tcW w:w="3792" w:type="dxa"/>
            <w:shd w:val="clear" w:color="auto" w:fill="auto"/>
          </w:tcPr>
          <w:p w:rsidR="007F2B4C" w:rsidRPr="007F2B4C" w:rsidRDefault="007F2B4C" w:rsidP="007F2B4C">
            <w:pPr>
              <w:tabs>
                <w:tab w:val="left" w:pos="359"/>
                <w:tab w:val="left" w:pos="459"/>
              </w:tabs>
              <w:spacing w:after="0" w:line="240" w:lineRule="auto"/>
              <w:jc w:val="center"/>
              <w:rPr>
                <w:rFonts w:ascii="Times New Roman" w:eastAsia="Calibri" w:hAnsi="Times New Roman" w:cs="Times New Roman"/>
                <w:b/>
                <w:sz w:val="24"/>
                <w:szCs w:val="24"/>
              </w:rPr>
            </w:pPr>
            <w:r w:rsidRPr="007F2B4C">
              <w:rPr>
                <w:rFonts w:ascii="Times New Roman" w:eastAsia="Calibri" w:hAnsi="Times New Roman" w:cs="Times New Roman"/>
                <w:b/>
                <w:sz w:val="24"/>
                <w:szCs w:val="24"/>
              </w:rPr>
              <w:t>Витрати</w:t>
            </w:r>
          </w:p>
        </w:tc>
      </w:tr>
      <w:tr w:rsidR="007F2B4C" w:rsidRPr="007F2B4C" w:rsidTr="002856E7">
        <w:tc>
          <w:tcPr>
            <w:tcW w:w="2093"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Альтернатива 1</w:t>
            </w:r>
          </w:p>
        </w:tc>
        <w:tc>
          <w:tcPr>
            <w:tcW w:w="3969"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Залишаючи діюче регулювання без змін, вигоди відсутні, оскільки проблема залишається невирішеною</w:t>
            </w:r>
          </w:p>
        </w:tc>
        <w:tc>
          <w:tcPr>
            <w:tcW w:w="3792"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Додаткові витрати відсутні</w:t>
            </w:r>
          </w:p>
        </w:tc>
      </w:tr>
      <w:tr w:rsidR="007F2B4C" w:rsidRPr="007F2B4C" w:rsidTr="002856E7">
        <w:tc>
          <w:tcPr>
            <w:tcW w:w="2093"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Альтернатива 2</w:t>
            </w:r>
          </w:p>
        </w:tc>
        <w:tc>
          <w:tcPr>
            <w:tcW w:w="3969"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Прийняття регуляторного акта надасть можливість усунути невідповідність між положеннями чинного нормативно-правового акта та акта вищої юридичної сили, а також удосконалить процедуру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p>
        </w:tc>
        <w:tc>
          <w:tcPr>
            <w:tcW w:w="3792"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Додаткові витрати відсутні</w:t>
            </w:r>
          </w:p>
        </w:tc>
      </w:tr>
    </w:tbl>
    <w:p w:rsidR="007F2B4C" w:rsidRPr="00421ADF" w:rsidRDefault="007F2B4C" w:rsidP="007F2B4C">
      <w:pPr>
        <w:widowControl w:val="0"/>
        <w:spacing w:after="0" w:line="240" w:lineRule="auto"/>
        <w:ind w:firstLine="709"/>
        <w:jc w:val="both"/>
        <w:rPr>
          <w:rFonts w:ascii="Times New Roman" w:eastAsia="Times New Roman" w:hAnsi="Times New Roman" w:cs="Times New Roman"/>
          <w:i/>
          <w:sz w:val="28"/>
          <w:szCs w:val="28"/>
          <w:lang w:eastAsia="ru-RU"/>
        </w:rPr>
      </w:pPr>
    </w:p>
    <w:p w:rsidR="007F2B4C" w:rsidRPr="007F2B4C" w:rsidRDefault="007F2B4C" w:rsidP="007F2B4C">
      <w:pPr>
        <w:widowControl w:val="0"/>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Оцінка впливу на сферу інтересів суб’єктів господарювання</w:t>
      </w:r>
      <w:r w:rsidR="005444E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227"/>
        <w:gridCol w:w="3187"/>
      </w:tblGrid>
      <w:tr w:rsidR="007F2B4C" w:rsidRPr="007F2B4C" w:rsidTr="005444E6">
        <w:tc>
          <w:tcPr>
            <w:tcW w:w="3214" w:type="dxa"/>
            <w:shd w:val="clear" w:color="auto" w:fill="auto"/>
          </w:tcPr>
          <w:p w:rsidR="007F2B4C" w:rsidRPr="007F2B4C" w:rsidRDefault="007F2B4C" w:rsidP="007F2B4C">
            <w:pPr>
              <w:widowControl w:val="0"/>
              <w:spacing w:after="0" w:line="240" w:lineRule="auto"/>
              <w:jc w:val="center"/>
              <w:rPr>
                <w:rFonts w:ascii="Times New Roman" w:eastAsia="Times New Roman" w:hAnsi="Times New Roman" w:cs="Times New Roman"/>
                <w:b/>
                <w:sz w:val="28"/>
                <w:szCs w:val="28"/>
                <w:highlight w:val="yellow"/>
                <w:lang w:eastAsia="ru-RU"/>
              </w:rPr>
            </w:pPr>
            <w:r w:rsidRPr="007F2B4C">
              <w:rPr>
                <w:rFonts w:ascii="Times New Roman" w:eastAsia="Times New Roman" w:hAnsi="Times New Roman" w:cs="Times New Roman"/>
                <w:b/>
                <w:sz w:val="24"/>
                <w:szCs w:val="24"/>
                <w:lang w:eastAsia="ru-RU"/>
              </w:rPr>
              <w:t>Вид альтернативи</w:t>
            </w:r>
          </w:p>
        </w:tc>
        <w:tc>
          <w:tcPr>
            <w:tcW w:w="3227" w:type="dxa"/>
            <w:shd w:val="clear" w:color="auto" w:fill="auto"/>
          </w:tcPr>
          <w:p w:rsidR="007F2B4C" w:rsidRPr="007F2B4C" w:rsidRDefault="007F2B4C" w:rsidP="007F2B4C">
            <w:pPr>
              <w:widowControl w:val="0"/>
              <w:spacing w:after="0" w:line="240" w:lineRule="auto"/>
              <w:jc w:val="center"/>
              <w:rPr>
                <w:rFonts w:ascii="Times New Roman" w:eastAsia="Times New Roman" w:hAnsi="Times New Roman" w:cs="Times New Roman"/>
                <w:b/>
                <w:sz w:val="28"/>
                <w:szCs w:val="28"/>
                <w:highlight w:val="yellow"/>
                <w:lang w:eastAsia="ru-RU"/>
              </w:rPr>
            </w:pPr>
            <w:r w:rsidRPr="007F2B4C">
              <w:rPr>
                <w:rFonts w:ascii="Times New Roman" w:eastAsia="Times New Roman" w:hAnsi="Times New Roman" w:cs="Times New Roman"/>
                <w:b/>
                <w:sz w:val="24"/>
                <w:szCs w:val="24"/>
                <w:lang w:eastAsia="ru-RU"/>
              </w:rPr>
              <w:t>Вигоди</w:t>
            </w:r>
          </w:p>
        </w:tc>
        <w:tc>
          <w:tcPr>
            <w:tcW w:w="3187" w:type="dxa"/>
            <w:shd w:val="clear" w:color="auto" w:fill="auto"/>
          </w:tcPr>
          <w:p w:rsidR="007F2B4C" w:rsidRPr="007F2B4C" w:rsidRDefault="007F2B4C" w:rsidP="007F2B4C">
            <w:pPr>
              <w:widowControl w:val="0"/>
              <w:spacing w:after="0" w:line="240" w:lineRule="auto"/>
              <w:jc w:val="center"/>
              <w:rPr>
                <w:rFonts w:ascii="Times New Roman" w:eastAsia="Times New Roman" w:hAnsi="Times New Roman" w:cs="Times New Roman"/>
                <w:b/>
                <w:sz w:val="28"/>
                <w:szCs w:val="28"/>
                <w:highlight w:val="yellow"/>
                <w:lang w:eastAsia="ru-RU"/>
              </w:rPr>
            </w:pPr>
            <w:r w:rsidRPr="007F2B4C">
              <w:rPr>
                <w:rFonts w:ascii="Times New Roman" w:eastAsia="Times New Roman" w:hAnsi="Times New Roman" w:cs="Times New Roman"/>
                <w:b/>
                <w:sz w:val="24"/>
                <w:szCs w:val="24"/>
                <w:lang w:eastAsia="ru-RU"/>
              </w:rPr>
              <w:t>Витрати</w:t>
            </w:r>
          </w:p>
        </w:tc>
      </w:tr>
      <w:tr w:rsidR="007F2B4C" w:rsidRPr="007F2B4C" w:rsidTr="005444E6">
        <w:tc>
          <w:tcPr>
            <w:tcW w:w="3214" w:type="dxa"/>
            <w:shd w:val="clear" w:color="auto" w:fill="auto"/>
          </w:tcPr>
          <w:p w:rsidR="007F2B4C" w:rsidRPr="007F2B4C" w:rsidRDefault="007F2B4C" w:rsidP="007F2B4C">
            <w:pPr>
              <w:widowControl w:val="0"/>
              <w:spacing w:after="0" w:line="240" w:lineRule="auto"/>
              <w:rPr>
                <w:rFonts w:ascii="Times New Roman" w:eastAsia="Times New Roman" w:hAnsi="Times New Roman" w:cs="Times New Roman"/>
                <w:sz w:val="24"/>
                <w:szCs w:val="24"/>
                <w:lang w:eastAsia="ru-RU"/>
              </w:rPr>
            </w:pPr>
            <w:r w:rsidRPr="007F2B4C">
              <w:rPr>
                <w:rFonts w:ascii="Times New Roman" w:eastAsia="Times New Roman" w:hAnsi="Times New Roman" w:cs="Times New Roman"/>
                <w:sz w:val="24"/>
                <w:szCs w:val="24"/>
                <w:lang w:eastAsia="ru-RU"/>
              </w:rPr>
              <w:t xml:space="preserve">Альтернатива 1 </w:t>
            </w:r>
          </w:p>
        </w:tc>
        <w:tc>
          <w:tcPr>
            <w:tcW w:w="3227" w:type="dxa"/>
            <w:shd w:val="clear" w:color="auto" w:fill="auto"/>
          </w:tcPr>
          <w:p w:rsidR="007F2B4C" w:rsidRPr="007F2B4C" w:rsidRDefault="007F2B4C" w:rsidP="007F2B4C">
            <w:pPr>
              <w:widowControl w:val="0"/>
              <w:spacing w:after="0" w:line="240" w:lineRule="auto"/>
              <w:jc w:val="both"/>
              <w:rPr>
                <w:rFonts w:ascii="Times New Roman" w:eastAsia="Times New Roman" w:hAnsi="Times New Roman" w:cs="Times New Roman"/>
                <w:sz w:val="24"/>
                <w:szCs w:val="24"/>
                <w:highlight w:val="yellow"/>
                <w:lang w:eastAsia="ru-RU"/>
              </w:rPr>
            </w:pPr>
            <w:r w:rsidRPr="007F2B4C">
              <w:rPr>
                <w:rFonts w:ascii="Times New Roman" w:eastAsia="Times New Roman" w:hAnsi="Times New Roman" w:cs="Times New Roman"/>
                <w:sz w:val="24"/>
                <w:szCs w:val="24"/>
                <w:lang w:eastAsia="ru-RU"/>
              </w:rPr>
              <w:t>Залишаючи діюче регулювання без змін, вигоди відсутні, оскільки проблема залишається невирішеною</w:t>
            </w:r>
          </w:p>
        </w:tc>
        <w:tc>
          <w:tcPr>
            <w:tcW w:w="3187"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Додаткові витрати відсутні</w:t>
            </w:r>
          </w:p>
        </w:tc>
      </w:tr>
      <w:tr w:rsidR="007F2B4C" w:rsidRPr="007F2B4C" w:rsidTr="005444E6">
        <w:tc>
          <w:tcPr>
            <w:tcW w:w="3214" w:type="dxa"/>
            <w:shd w:val="clear" w:color="auto" w:fill="auto"/>
          </w:tcPr>
          <w:p w:rsidR="007F2B4C" w:rsidRPr="007F2B4C" w:rsidRDefault="007F2B4C" w:rsidP="007F2B4C">
            <w:pPr>
              <w:widowControl w:val="0"/>
              <w:spacing w:after="0" w:line="240" w:lineRule="auto"/>
              <w:rPr>
                <w:rFonts w:ascii="Times New Roman" w:eastAsia="Times New Roman" w:hAnsi="Times New Roman" w:cs="Times New Roman"/>
                <w:sz w:val="24"/>
                <w:szCs w:val="24"/>
                <w:lang w:eastAsia="ru-RU"/>
              </w:rPr>
            </w:pPr>
            <w:r w:rsidRPr="007F2B4C">
              <w:rPr>
                <w:rFonts w:ascii="Times New Roman" w:eastAsia="Times New Roman" w:hAnsi="Times New Roman" w:cs="Times New Roman"/>
                <w:sz w:val="24"/>
                <w:szCs w:val="24"/>
                <w:lang w:eastAsia="ru-RU"/>
              </w:rPr>
              <w:t>Альтернатива 2</w:t>
            </w:r>
          </w:p>
          <w:p w:rsidR="007F2B4C" w:rsidRPr="007F2B4C" w:rsidRDefault="007F2B4C" w:rsidP="007F2B4C">
            <w:pPr>
              <w:widowControl w:val="0"/>
              <w:spacing w:after="0" w:line="240" w:lineRule="auto"/>
              <w:jc w:val="both"/>
              <w:rPr>
                <w:rFonts w:ascii="Times New Roman" w:eastAsia="Times New Roman" w:hAnsi="Times New Roman" w:cs="Times New Roman"/>
                <w:sz w:val="28"/>
                <w:szCs w:val="28"/>
                <w:highlight w:val="yellow"/>
                <w:lang w:eastAsia="ru-RU"/>
              </w:rPr>
            </w:pPr>
          </w:p>
        </w:tc>
        <w:tc>
          <w:tcPr>
            <w:tcW w:w="3227"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 xml:space="preserve">Прийняття регуляторного акта надасть можливість усунути невідповідність між положеннями чинного нормативно-правового акта та акта вищої юридичної сили, а також удосконалить процедуру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w:t>
            </w:r>
          </w:p>
        </w:tc>
        <w:tc>
          <w:tcPr>
            <w:tcW w:w="3187" w:type="dxa"/>
            <w:shd w:val="clear" w:color="auto" w:fill="auto"/>
          </w:tcPr>
          <w:p w:rsidR="007F2B4C" w:rsidRPr="007F2B4C" w:rsidRDefault="007F2B4C" w:rsidP="007F2B4C">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Calibri" w:hAnsi="Times New Roman" w:cs="Times New Roman"/>
                <w:sz w:val="24"/>
                <w:szCs w:val="24"/>
              </w:rPr>
              <w:t>Додаткові витрати відсутні</w:t>
            </w:r>
          </w:p>
        </w:tc>
      </w:tr>
    </w:tbl>
    <w:p w:rsidR="007F2B4C" w:rsidRDefault="007F2B4C" w:rsidP="007F2B4C">
      <w:pPr>
        <w:widowControl w:val="0"/>
        <w:spacing w:after="0" w:line="240" w:lineRule="auto"/>
        <w:jc w:val="center"/>
        <w:outlineLvl w:val="2"/>
        <w:rPr>
          <w:rFonts w:ascii="Times New Roman" w:eastAsia="Times New Roman" w:hAnsi="Times New Roman" w:cs="Times New Roman"/>
          <w:b/>
          <w:bCs/>
          <w:sz w:val="28"/>
          <w:szCs w:val="28"/>
          <w:lang w:val="x-none" w:eastAsia="x-none"/>
        </w:rPr>
      </w:pPr>
    </w:p>
    <w:p w:rsidR="007F2B4C" w:rsidRDefault="007F2B4C" w:rsidP="007F2B4C">
      <w:pPr>
        <w:widowControl w:val="0"/>
        <w:spacing w:after="0" w:line="240" w:lineRule="auto"/>
        <w:jc w:val="center"/>
        <w:outlineLvl w:val="2"/>
        <w:rPr>
          <w:rFonts w:ascii="Times New Roman" w:eastAsia="Times New Roman" w:hAnsi="Times New Roman" w:cs="Times New Roman"/>
          <w:b/>
          <w:bCs/>
          <w:sz w:val="28"/>
          <w:szCs w:val="28"/>
          <w:lang w:val="x-none" w:eastAsia="x-none"/>
        </w:rPr>
      </w:pPr>
      <w:r w:rsidRPr="007F2B4C">
        <w:rPr>
          <w:rFonts w:ascii="Times New Roman" w:eastAsia="Times New Roman" w:hAnsi="Times New Roman" w:cs="Times New Roman"/>
          <w:b/>
          <w:bCs/>
          <w:sz w:val="28"/>
          <w:szCs w:val="28"/>
          <w:lang w:val="x-none" w:eastAsia="x-none"/>
        </w:rPr>
        <w:t>IV. Вибір найбільш оптимального альтернативного способу досягнення цілей</w:t>
      </w:r>
    </w:p>
    <w:p w:rsidR="00984A3B" w:rsidRPr="007F2B4C" w:rsidRDefault="00984A3B" w:rsidP="007F2B4C">
      <w:pPr>
        <w:widowControl w:val="0"/>
        <w:spacing w:after="0" w:line="240" w:lineRule="auto"/>
        <w:jc w:val="center"/>
        <w:outlineLvl w:val="2"/>
        <w:rPr>
          <w:rFonts w:ascii="Times New Roman" w:eastAsia="Times New Roman" w:hAnsi="Times New Roman" w:cs="Times New Roman"/>
          <w:b/>
          <w:bCs/>
          <w:sz w:val="28"/>
          <w:szCs w:val="28"/>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85"/>
        <w:gridCol w:w="1641"/>
        <w:gridCol w:w="852"/>
        <w:gridCol w:w="1508"/>
        <w:gridCol w:w="2412"/>
      </w:tblGrid>
      <w:tr w:rsidR="007F2B4C" w:rsidRPr="007F2B4C" w:rsidTr="002856E7">
        <w:tc>
          <w:tcPr>
            <w:tcW w:w="3284"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r w:rsidRPr="007F2B4C">
              <w:rPr>
                <w:rFonts w:ascii="Times New Roman" w:eastAsia="Times New Roman" w:hAnsi="Times New Roman" w:cs="Times New Roman"/>
                <w:b/>
                <w:bCs/>
                <w:sz w:val="24"/>
                <w:szCs w:val="24"/>
                <w:lang w:eastAsia="uk-UA"/>
              </w:rPr>
              <w:t>Рейтинг результативності (досягнення цілей під час вирішення проблеми)</w:t>
            </w:r>
          </w:p>
        </w:tc>
        <w:tc>
          <w:tcPr>
            <w:tcW w:w="2494"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r w:rsidRPr="007F2B4C">
              <w:rPr>
                <w:rFonts w:ascii="Times New Roman" w:eastAsia="Times New Roman" w:hAnsi="Times New Roman" w:cs="Times New Roman"/>
                <w:b/>
                <w:bCs/>
                <w:sz w:val="24"/>
                <w:szCs w:val="24"/>
                <w:lang w:eastAsia="uk-UA"/>
              </w:rPr>
              <w:t>Бал результативності (за чотирибальною системою оцінки)</w:t>
            </w:r>
          </w:p>
        </w:tc>
        <w:tc>
          <w:tcPr>
            <w:tcW w:w="4076"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r w:rsidRPr="007F2B4C">
              <w:rPr>
                <w:rFonts w:ascii="Times New Roman" w:eastAsia="Times New Roman" w:hAnsi="Times New Roman" w:cs="Times New Roman"/>
                <w:b/>
                <w:bCs/>
                <w:sz w:val="24"/>
                <w:szCs w:val="24"/>
                <w:lang w:eastAsia="uk-UA"/>
              </w:rPr>
              <w:t>Коментарі щодо присвоєння відповідного бала</w:t>
            </w:r>
          </w:p>
        </w:tc>
      </w:tr>
      <w:tr w:rsidR="007F2B4C" w:rsidRPr="007F2B4C" w:rsidTr="002856E7">
        <w:tc>
          <w:tcPr>
            <w:tcW w:w="3284" w:type="dxa"/>
            <w:gridSpan w:val="2"/>
            <w:shd w:val="clear" w:color="auto" w:fill="auto"/>
          </w:tcPr>
          <w:p w:rsidR="007F2B4C" w:rsidRPr="007F2B4C" w:rsidRDefault="007F2B4C" w:rsidP="007F2B4C">
            <w:pPr>
              <w:widowControl w:val="0"/>
              <w:spacing w:after="0" w:line="240" w:lineRule="auto"/>
              <w:ind w:firstLine="142"/>
              <w:rPr>
                <w:rFonts w:ascii="Times New Roman" w:eastAsia="Times New Roman" w:hAnsi="Times New Roman" w:cs="Times New Roman"/>
                <w:sz w:val="24"/>
                <w:szCs w:val="24"/>
                <w:lang w:eastAsia="ru-RU"/>
              </w:rPr>
            </w:pPr>
            <w:r w:rsidRPr="007F2B4C">
              <w:rPr>
                <w:rFonts w:ascii="Times New Roman" w:eastAsia="Times New Roman" w:hAnsi="Times New Roman" w:cs="Times New Roman"/>
                <w:sz w:val="24"/>
                <w:szCs w:val="24"/>
                <w:lang w:eastAsia="ru-RU"/>
              </w:rPr>
              <w:t>Альтернатива 1</w:t>
            </w:r>
          </w:p>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p>
        </w:tc>
        <w:tc>
          <w:tcPr>
            <w:tcW w:w="2494"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Cs/>
                <w:sz w:val="24"/>
                <w:szCs w:val="24"/>
                <w:lang w:eastAsia="uk-UA"/>
              </w:rPr>
            </w:pPr>
            <w:r w:rsidRPr="007F2B4C">
              <w:rPr>
                <w:rFonts w:ascii="Times New Roman" w:eastAsia="Times New Roman" w:hAnsi="Times New Roman" w:cs="Times New Roman"/>
                <w:bCs/>
                <w:sz w:val="24"/>
                <w:szCs w:val="24"/>
                <w:lang w:eastAsia="uk-UA"/>
              </w:rPr>
              <w:t>1</w:t>
            </w:r>
          </w:p>
        </w:tc>
        <w:tc>
          <w:tcPr>
            <w:tcW w:w="4076"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Cs/>
                <w:sz w:val="24"/>
                <w:szCs w:val="24"/>
                <w:lang w:eastAsia="uk-UA"/>
              </w:rPr>
            </w:pPr>
            <w:r w:rsidRPr="007F2B4C">
              <w:rPr>
                <w:rFonts w:ascii="Times New Roman" w:eastAsia="MS Mincho" w:hAnsi="Times New Roman" w:cs="Times New Roman"/>
                <w:bCs/>
                <w:sz w:val="24"/>
                <w:szCs w:val="24"/>
                <w:lang w:eastAsia="uk-UA"/>
              </w:rPr>
              <w:t>Не дає змоги досягнути поставлених цілей державного регулювання.</w:t>
            </w:r>
          </w:p>
        </w:tc>
      </w:tr>
      <w:tr w:rsidR="007F2B4C" w:rsidRPr="007F2B4C" w:rsidTr="002856E7">
        <w:tc>
          <w:tcPr>
            <w:tcW w:w="3284" w:type="dxa"/>
            <w:gridSpan w:val="2"/>
            <w:shd w:val="clear" w:color="auto" w:fill="auto"/>
          </w:tcPr>
          <w:p w:rsidR="007F2B4C" w:rsidRPr="007F2B4C" w:rsidRDefault="007F2B4C" w:rsidP="007F2B4C">
            <w:pPr>
              <w:widowControl w:val="0"/>
              <w:spacing w:after="0" w:line="240" w:lineRule="auto"/>
              <w:ind w:firstLine="142"/>
              <w:rPr>
                <w:rFonts w:ascii="Times New Roman" w:eastAsia="Times New Roman" w:hAnsi="Times New Roman" w:cs="Times New Roman"/>
                <w:sz w:val="24"/>
                <w:szCs w:val="24"/>
                <w:lang w:eastAsia="ru-RU"/>
              </w:rPr>
            </w:pPr>
            <w:r w:rsidRPr="007F2B4C">
              <w:rPr>
                <w:rFonts w:ascii="Times New Roman" w:eastAsia="Times New Roman" w:hAnsi="Times New Roman" w:cs="Times New Roman"/>
                <w:sz w:val="24"/>
                <w:szCs w:val="24"/>
                <w:lang w:eastAsia="ru-RU"/>
              </w:rPr>
              <w:t>Альтернатива 2</w:t>
            </w:r>
          </w:p>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p>
        </w:tc>
        <w:tc>
          <w:tcPr>
            <w:tcW w:w="2494"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Cs/>
                <w:sz w:val="24"/>
                <w:szCs w:val="24"/>
                <w:lang w:eastAsia="uk-UA"/>
              </w:rPr>
            </w:pPr>
            <w:r w:rsidRPr="007F2B4C">
              <w:rPr>
                <w:rFonts w:ascii="Times New Roman" w:eastAsia="Times New Roman" w:hAnsi="Times New Roman" w:cs="Times New Roman"/>
                <w:bCs/>
                <w:sz w:val="24"/>
                <w:szCs w:val="24"/>
                <w:lang w:eastAsia="uk-UA"/>
              </w:rPr>
              <w:t>4</w:t>
            </w:r>
          </w:p>
        </w:tc>
        <w:tc>
          <w:tcPr>
            <w:tcW w:w="4076" w:type="dxa"/>
            <w:gridSpan w:val="2"/>
            <w:shd w:val="clear" w:color="auto" w:fill="auto"/>
          </w:tcPr>
          <w:p w:rsidR="007F2B4C" w:rsidRPr="007F2B4C" w:rsidRDefault="007F2B4C" w:rsidP="007F2B4C">
            <w:pPr>
              <w:widowControl w:val="0"/>
              <w:spacing w:after="0" w:line="240" w:lineRule="auto"/>
              <w:ind w:left="-104"/>
              <w:jc w:val="center"/>
              <w:outlineLvl w:val="2"/>
              <w:rPr>
                <w:rFonts w:ascii="Times New Roman" w:eastAsia="Times New Roman" w:hAnsi="Times New Roman" w:cs="Times New Roman"/>
                <w:bCs/>
                <w:sz w:val="24"/>
                <w:szCs w:val="24"/>
                <w:lang w:eastAsia="uk-UA"/>
              </w:rPr>
            </w:pPr>
            <w:r w:rsidRPr="007F2B4C">
              <w:rPr>
                <w:rFonts w:ascii="Times New Roman" w:eastAsia="Times New Roman" w:hAnsi="Times New Roman" w:cs="Times New Roman"/>
                <w:bCs/>
                <w:sz w:val="24"/>
                <w:szCs w:val="24"/>
                <w:lang w:eastAsia="uk-UA"/>
              </w:rPr>
              <w:t>Цілі прийняття регуляторного акта можуть бути досягнуті повною мірою</w:t>
            </w:r>
          </w:p>
        </w:tc>
      </w:tr>
      <w:tr w:rsidR="007F2B4C" w:rsidRPr="007F2B4C" w:rsidTr="002856E7">
        <w:tc>
          <w:tcPr>
            <w:tcW w:w="2463" w:type="dxa"/>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r w:rsidRPr="007F2B4C">
              <w:rPr>
                <w:rFonts w:ascii="Times New Roman" w:eastAsia="Times New Roman" w:hAnsi="Times New Roman" w:cs="Times New Roman"/>
                <w:b/>
                <w:bCs/>
                <w:sz w:val="24"/>
                <w:szCs w:val="24"/>
                <w:lang w:eastAsia="uk-UA"/>
              </w:rPr>
              <w:t>Рейтинг результативності</w:t>
            </w:r>
          </w:p>
        </w:tc>
        <w:tc>
          <w:tcPr>
            <w:tcW w:w="2463"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r w:rsidRPr="007F2B4C">
              <w:rPr>
                <w:rFonts w:ascii="Times New Roman" w:eastAsia="Times New Roman" w:hAnsi="Times New Roman" w:cs="Times New Roman"/>
                <w:b/>
                <w:bCs/>
                <w:sz w:val="24"/>
                <w:szCs w:val="24"/>
                <w:lang w:eastAsia="uk-UA"/>
              </w:rPr>
              <w:t>Вигоди (підсумок)</w:t>
            </w:r>
          </w:p>
        </w:tc>
        <w:tc>
          <w:tcPr>
            <w:tcW w:w="2464" w:type="dxa"/>
            <w:gridSpan w:val="2"/>
            <w:shd w:val="clear" w:color="auto" w:fill="auto"/>
          </w:tcPr>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4"/>
                <w:szCs w:val="24"/>
                <w:lang w:eastAsia="uk-UA"/>
              </w:rPr>
            </w:pPr>
            <w:r w:rsidRPr="007F2B4C">
              <w:rPr>
                <w:rFonts w:ascii="Times New Roman" w:eastAsia="Times New Roman" w:hAnsi="Times New Roman" w:cs="Times New Roman"/>
                <w:b/>
                <w:bCs/>
                <w:sz w:val="24"/>
                <w:szCs w:val="24"/>
                <w:lang w:eastAsia="uk-UA"/>
              </w:rPr>
              <w:t>Витрати (підсумок)</w:t>
            </w:r>
          </w:p>
        </w:tc>
        <w:tc>
          <w:tcPr>
            <w:tcW w:w="2464" w:type="dxa"/>
            <w:shd w:val="clear" w:color="auto" w:fill="auto"/>
          </w:tcPr>
          <w:p w:rsidR="007F2B4C" w:rsidRPr="007F2B4C" w:rsidRDefault="007F2B4C" w:rsidP="007F2B4C">
            <w:pPr>
              <w:spacing w:after="0" w:line="240" w:lineRule="auto"/>
              <w:jc w:val="center"/>
              <w:rPr>
                <w:rFonts w:ascii="Times New Roman" w:eastAsia="Times New Roman" w:hAnsi="Times New Roman" w:cs="Times New Roman"/>
                <w:b/>
                <w:sz w:val="24"/>
                <w:szCs w:val="24"/>
                <w:lang w:eastAsia="ru-RU"/>
              </w:rPr>
            </w:pPr>
            <w:r w:rsidRPr="007F2B4C">
              <w:rPr>
                <w:rFonts w:ascii="Times New Roman" w:eastAsia="Times New Roman" w:hAnsi="Times New Roman" w:cs="Times New Roman"/>
                <w:b/>
                <w:sz w:val="24"/>
                <w:szCs w:val="24"/>
                <w:lang w:eastAsia="ru-RU"/>
              </w:rPr>
              <w:t>Обґрунтування відповідного місця альтернативи у рейтингу</w:t>
            </w:r>
          </w:p>
        </w:tc>
      </w:tr>
      <w:tr w:rsidR="007F2B4C" w:rsidRPr="007F2B4C" w:rsidTr="002856E7">
        <w:tc>
          <w:tcPr>
            <w:tcW w:w="2463" w:type="dxa"/>
            <w:shd w:val="clear" w:color="auto" w:fill="auto"/>
          </w:tcPr>
          <w:p w:rsidR="007F2B4C" w:rsidRPr="007F2B4C" w:rsidRDefault="007F2B4C" w:rsidP="007F2B4C">
            <w:pPr>
              <w:spacing w:after="0" w:line="240" w:lineRule="auto"/>
              <w:jc w:val="both"/>
              <w:rPr>
                <w:rFonts w:ascii="Times New Roman" w:eastAsia="Times New Roman" w:hAnsi="Times New Roman" w:cs="Times New Roman"/>
                <w:sz w:val="24"/>
                <w:szCs w:val="24"/>
                <w:lang w:eastAsia="ru-RU"/>
              </w:rPr>
            </w:pPr>
            <w:r w:rsidRPr="007F2B4C">
              <w:rPr>
                <w:rFonts w:ascii="Times New Roman" w:eastAsia="Times New Roman" w:hAnsi="Times New Roman" w:cs="Times New Roman"/>
                <w:sz w:val="24"/>
                <w:szCs w:val="24"/>
                <w:lang w:eastAsia="ru-RU"/>
              </w:rPr>
              <w:t>Альтернатива 1</w:t>
            </w:r>
          </w:p>
        </w:tc>
        <w:tc>
          <w:tcPr>
            <w:tcW w:w="2463" w:type="dxa"/>
            <w:gridSpan w:val="2"/>
            <w:shd w:val="clear" w:color="auto" w:fill="auto"/>
          </w:tcPr>
          <w:p w:rsidR="007F2B4C" w:rsidRPr="007F2B4C" w:rsidRDefault="007F2B4C" w:rsidP="007F2B4C">
            <w:pPr>
              <w:widowControl w:val="0"/>
              <w:spacing w:after="0" w:line="240" w:lineRule="auto"/>
              <w:jc w:val="both"/>
              <w:rPr>
                <w:rFonts w:ascii="Times New Roman" w:eastAsia="Times New Roman" w:hAnsi="Times New Roman" w:cs="Times New Roman"/>
                <w:sz w:val="24"/>
                <w:szCs w:val="24"/>
                <w:lang w:eastAsia="ru-RU"/>
              </w:rPr>
            </w:pPr>
            <w:r w:rsidRPr="007F2B4C">
              <w:rPr>
                <w:rFonts w:ascii="Times New Roman" w:eastAsia="Times New Roman" w:hAnsi="Times New Roman" w:cs="Times New Roman"/>
                <w:sz w:val="24"/>
                <w:szCs w:val="24"/>
                <w:lang w:eastAsia="ru-RU"/>
              </w:rPr>
              <w:t>Відсутні. Залишаючи діюче регулювання без змін, вигоди відсутні, оскільки проблема залишається невирішеною</w:t>
            </w:r>
          </w:p>
          <w:p w:rsidR="007F2B4C" w:rsidRPr="007F2B4C" w:rsidRDefault="007F2B4C" w:rsidP="007F2B4C">
            <w:pPr>
              <w:widowControl w:val="0"/>
              <w:spacing w:after="0" w:line="240" w:lineRule="auto"/>
              <w:outlineLvl w:val="2"/>
              <w:rPr>
                <w:rFonts w:ascii="Times New Roman" w:eastAsia="Times New Roman" w:hAnsi="Times New Roman" w:cs="Times New Roman"/>
                <w:bCs/>
                <w:sz w:val="24"/>
                <w:szCs w:val="24"/>
                <w:lang w:eastAsia="uk-UA"/>
              </w:rPr>
            </w:pPr>
          </w:p>
        </w:tc>
        <w:tc>
          <w:tcPr>
            <w:tcW w:w="2464" w:type="dxa"/>
            <w:gridSpan w:val="2"/>
            <w:shd w:val="clear" w:color="auto" w:fill="auto"/>
          </w:tcPr>
          <w:p w:rsidR="007F2B4C" w:rsidRPr="007F2B4C" w:rsidRDefault="007F2B4C" w:rsidP="007F2B4C">
            <w:pPr>
              <w:tabs>
                <w:tab w:val="left" w:pos="359"/>
                <w:tab w:val="left" w:pos="459"/>
              </w:tabs>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Відсутні</w:t>
            </w:r>
          </w:p>
        </w:tc>
        <w:tc>
          <w:tcPr>
            <w:tcW w:w="2464" w:type="dxa"/>
            <w:shd w:val="clear" w:color="auto" w:fill="auto"/>
          </w:tcPr>
          <w:p w:rsidR="007F2B4C" w:rsidRPr="007F2B4C" w:rsidRDefault="007F2B4C" w:rsidP="007F2B4C">
            <w:pPr>
              <w:widowControl w:val="0"/>
              <w:spacing w:after="0" w:line="240" w:lineRule="auto"/>
              <w:jc w:val="both"/>
              <w:outlineLvl w:val="2"/>
              <w:rPr>
                <w:rFonts w:ascii="Times New Roman" w:eastAsia="Times New Roman" w:hAnsi="Times New Roman" w:cs="Times New Roman"/>
                <w:bCs/>
                <w:sz w:val="24"/>
                <w:szCs w:val="24"/>
                <w:lang w:eastAsia="uk-UA"/>
              </w:rPr>
            </w:pPr>
            <w:r w:rsidRPr="007F2B4C">
              <w:rPr>
                <w:rFonts w:ascii="Times New Roman" w:eastAsia="Times New Roman" w:hAnsi="Times New Roman" w:cs="Times New Roman"/>
                <w:bCs/>
                <w:sz w:val="24"/>
                <w:szCs w:val="24"/>
                <w:lang w:eastAsia="uk-UA"/>
              </w:rPr>
              <w:t>Є найгіршою, оскільки на відміну від альтернативи 2 не дає змоги досягнути поставлених цілей державного регулювання</w:t>
            </w:r>
          </w:p>
        </w:tc>
      </w:tr>
      <w:tr w:rsidR="007F2B4C" w:rsidRPr="007F2B4C" w:rsidTr="002856E7">
        <w:tc>
          <w:tcPr>
            <w:tcW w:w="2463" w:type="dxa"/>
            <w:shd w:val="clear" w:color="auto" w:fill="auto"/>
          </w:tcPr>
          <w:p w:rsidR="007F2B4C" w:rsidRPr="007F2B4C" w:rsidRDefault="007F2B4C" w:rsidP="007F2B4C">
            <w:pPr>
              <w:widowControl w:val="0"/>
              <w:spacing w:after="0" w:line="240" w:lineRule="auto"/>
              <w:outlineLvl w:val="2"/>
              <w:rPr>
                <w:rFonts w:ascii="Times New Roman" w:eastAsia="Times New Roman" w:hAnsi="Times New Roman" w:cs="Times New Roman"/>
                <w:bCs/>
                <w:sz w:val="28"/>
                <w:szCs w:val="28"/>
                <w:lang w:eastAsia="uk-UA"/>
              </w:rPr>
            </w:pPr>
            <w:r w:rsidRPr="007F2B4C">
              <w:rPr>
                <w:rFonts w:ascii="Times New Roman" w:eastAsia="Times New Roman" w:hAnsi="Times New Roman" w:cs="Times New Roman"/>
                <w:bCs/>
                <w:sz w:val="27"/>
                <w:szCs w:val="24"/>
                <w:lang w:eastAsia="uk-UA"/>
              </w:rPr>
              <w:t>Альтернатива 2</w:t>
            </w:r>
          </w:p>
        </w:tc>
        <w:tc>
          <w:tcPr>
            <w:tcW w:w="2463" w:type="dxa"/>
            <w:gridSpan w:val="2"/>
            <w:shd w:val="clear" w:color="auto" w:fill="auto"/>
          </w:tcPr>
          <w:p w:rsidR="007F2B4C" w:rsidRPr="007F2B4C" w:rsidRDefault="007F2B4C" w:rsidP="00571C83">
            <w:pPr>
              <w:tabs>
                <w:tab w:val="left" w:pos="359"/>
                <w:tab w:val="left" w:pos="459"/>
              </w:tabs>
              <w:spacing w:after="0" w:line="240" w:lineRule="auto"/>
              <w:jc w:val="both"/>
              <w:rPr>
                <w:rFonts w:ascii="Times New Roman" w:eastAsia="Calibri" w:hAnsi="Times New Roman" w:cs="Times New Roman"/>
                <w:sz w:val="24"/>
                <w:szCs w:val="24"/>
              </w:rPr>
            </w:pPr>
            <w:r w:rsidRPr="007F2B4C">
              <w:rPr>
                <w:rFonts w:ascii="Times New Roman" w:eastAsia="Times New Roman" w:hAnsi="Times New Roman" w:cs="Times New Roman"/>
                <w:sz w:val="24"/>
                <w:szCs w:val="24"/>
                <w:lang w:eastAsia="ru-RU"/>
              </w:rPr>
              <w:t>Високі.</w:t>
            </w:r>
            <w:r w:rsidRPr="007F2B4C">
              <w:rPr>
                <w:rFonts w:ascii="Calibri" w:eastAsia="Calibri" w:hAnsi="Calibri" w:cs="Times New Roman"/>
                <w:sz w:val="24"/>
                <w:szCs w:val="24"/>
              </w:rPr>
              <w:t xml:space="preserve"> </w:t>
            </w:r>
            <w:r w:rsidRPr="007F2B4C">
              <w:rPr>
                <w:rFonts w:ascii="Times New Roman" w:eastAsia="Calibri" w:hAnsi="Times New Roman" w:cs="Times New Roman"/>
                <w:sz w:val="24"/>
                <w:szCs w:val="24"/>
              </w:rPr>
              <w:t>Прийняття регуляторного акта надасть можливість усунути невідповідність між положеннями чинного нормативно-правового акта та акта вищої юридичної сили,</w:t>
            </w:r>
            <w:r w:rsidR="00571C83">
              <w:rPr>
                <w:rFonts w:ascii="Times New Roman" w:eastAsia="Calibri" w:hAnsi="Times New Roman" w:cs="Times New Roman"/>
                <w:sz w:val="24"/>
                <w:szCs w:val="24"/>
              </w:rPr>
              <w:t xml:space="preserve"> а також удосконалить процедуру</w:t>
            </w:r>
            <w:r w:rsidR="00571C83" w:rsidRPr="00571C83">
              <w:rPr>
                <w:rFonts w:ascii="Times New Roman" w:eastAsia="Calibri" w:hAnsi="Times New Roman" w:cs="Times New Roman"/>
                <w:sz w:val="24"/>
                <w:szCs w:val="24"/>
              </w:rPr>
              <w:t xml:space="preserve"> реєстрації об’єктів права інтелектуальної власності у митному реєстрі </w:t>
            </w:r>
            <w:r w:rsidR="002B361B" w:rsidRPr="00571C83">
              <w:rPr>
                <w:rFonts w:ascii="Times New Roman" w:eastAsia="Calibri" w:hAnsi="Times New Roman" w:cs="Times New Roman"/>
                <w:sz w:val="24"/>
                <w:szCs w:val="24"/>
              </w:rPr>
              <w:t>об’єктів</w:t>
            </w:r>
            <w:r w:rsidR="00571C83" w:rsidRPr="00571C83">
              <w:rPr>
                <w:rFonts w:ascii="Times New Roman" w:eastAsia="Calibri" w:hAnsi="Times New Roman" w:cs="Times New Roman"/>
                <w:sz w:val="24"/>
                <w:szCs w:val="24"/>
              </w:rPr>
              <w:t xml:space="preserve"> права інтелектуальної власності за заявами правовласників про сприяння захисту прав інтелектуальної власності</w:t>
            </w:r>
            <w:r w:rsidR="00571C83">
              <w:rPr>
                <w:rFonts w:ascii="Times New Roman" w:eastAsia="Calibri" w:hAnsi="Times New Roman" w:cs="Times New Roman"/>
                <w:sz w:val="24"/>
                <w:szCs w:val="24"/>
              </w:rPr>
              <w:t xml:space="preserve"> </w:t>
            </w:r>
            <w:r w:rsidR="002B361B">
              <w:rPr>
                <w:rFonts w:ascii="Times New Roman" w:eastAsia="Calibri" w:hAnsi="Times New Roman" w:cs="Times New Roman"/>
                <w:sz w:val="24"/>
                <w:szCs w:val="24"/>
              </w:rPr>
              <w:t xml:space="preserve">та порядок </w:t>
            </w:r>
            <w:r w:rsidRPr="007F2B4C">
              <w:rPr>
                <w:rFonts w:ascii="Times New Roman" w:eastAsia="Calibri" w:hAnsi="Times New Roman" w:cs="Times New Roman"/>
                <w:sz w:val="24"/>
                <w:szCs w:val="24"/>
              </w:rPr>
              <w:t>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p>
        </w:tc>
        <w:tc>
          <w:tcPr>
            <w:tcW w:w="2464" w:type="dxa"/>
            <w:gridSpan w:val="2"/>
            <w:shd w:val="clear" w:color="auto" w:fill="auto"/>
          </w:tcPr>
          <w:p w:rsidR="007F2B4C" w:rsidRPr="007F2B4C" w:rsidRDefault="007F2B4C" w:rsidP="007F2B4C">
            <w:pPr>
              <w:tabs>
                <w:tab w:val="left" w:pos="359"/>
                <w:tab w:val="left" w:pos="459"/>
              </w:tabs>
              <w:spacing w:after="0" w:line="240" w:lineRule="auto"/>
              <w:rPr>
                <w:rFonts w:ascii="Times New Roman" w:eastAsia="Calibri" w:hAnsi="Times New Roman" w:cs="Times New Roman"/>
                <w:sz w:val="24"/>
                <w:szCs w:val="24"/>
              </w:rPr>
            </w:pPr>
            <w:r w:rsidRPr="007F2B4C">
              <w:rPr>
                <w:rFonts w:ascii="Times New Roman" w:eastAsia="Calibri" w:hAnsi="Times New Roman" w:cs="Times New Roman"/>
                <w:sz w:val="24"/>
                <w:szCs w:val="24"/>
              </w:rPr>
              <w:t>Відсутні</w:t>
            </w:r>
          </w:p>
        </w:tc>
        <w:tc>
          <w:tcPr>
            <w:tcW w:w="2464" w:type="dxa"/>
            <w:shd w:val="clear" w:color="auto" w:fill="auto"/>
          </w:tcPr>
          <w:p w:rsidR="007F2B4C" w:rsidRPr="007F2B4C" w:rsidRDefault="007F2B4C" w:rsidP="007F2B4C">
            <w:pPr>
              <w:widowControl w:val="0"/>
              <w:spacing w:after="0" w:line="240" w:lineRule="auto"/>
              <w:outlineLvl w:val="2"/>
              <w:rPr>
                <w:rFonts w:ascii="Times New Roman" w:eastAsia="Times New Roman" w:hAnsi="Times New Roman" w:cs="Times New Roman"/>
                <w:bCs/>
                <w:sz w:val="24"/>
                <w:szCs w:val="24"/>
                <w:lang w:eastAsia="uk-UA"/>
              </w:rPr>
            </w:pPr>
            <w:r w:rsidRPr="007F2B4C">
              <w:rPr>
                <w:rFonts w:ascii="Times New Roman" w:eastAsia="Times New Roman" w:hAnsi="Times New Roman" w:cs="Times New Roman"/>
                <w:bCs/>
                <w:sz w:val="24"/>
                <w:szCs w:val="24"/>
                <w:lang w:eastAsia="uk-UA"/>
              </w:rPr>
              <w:t>Є найбільш оптимальною серед запропонованих альтернатив, оскільки дає змогу досягнути поставлених цілей державного регулювання</w:t>
            </w:r>
          </w:p>
        </w:tc>
      </w:tr>
    </w:tbl>
    <w:p w:rsidR="007F2B4C" w:rsidRPr="007F2B4C" w:rsidRDefault="007F2B4C" w:rsidP="007F2B4C">
      <w:pPr>
        <w:widowControl w:val="0"/>
        <w:spacing w:after="0" w:line="240" w:lineRule="auto"/>
        <w:outlineLvl w:val="2"/>
        <w:rPr>
          <w:rFonts w:ascii="Times New Roman" w:eastAsia="Times New Roman" w:hAnsi="Times New Roman" w:cs="Times New Roman"/>
          <w:b/>
          <w:bCs/>
          <w:sz w:val="16"/>
          <w:szCs w:val="16"/>
          <w:highlight w:val="yellow"/>
          <w:lang w:val="x-none" w:eastAsia="x-none"/>
        </w:rPr>
      </w:pPr>
    </w:p>
    <w:p w:rsidR="007F2B4C" w:rsidRPr="007F2B4C" w:rsidRDefault="007F2B4C" w:rsidP="007F2B4C">
      <w:pPr>
        <w:widowControl w:val="0"/>
        <w:spacing w:after="0" w:line="240" w:lineRule="auto"/>
        <w:outlineLvl w:val="2"/>
        <w:rPr>
          <w:rFonts w:ascii="Times New Roman" w:eastAsia="Times New Roman" w:hAnsi="Times New Roman" w:cs="Times New Roman"/>
          <w:b/>
          <w:bCs/>
          <w:sz w:val="16"/>
          <w:szCs w:val="16"/>
          <w:highlight w:val="yellow"/>
          <w:lang w:val="x-none" w:eastAsia="x-none"/>
        </w:rPr>
      </w:pPr>
    </w:p>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8"/>
          <w:szCs w:val="28"/>
          <w:lang w:val="x-none" w:eastAsia="x-none"/>
        </w:rPr>
      </w:pPr>
      <w:r w:rsidRPr="007F2B4C">
        <w:rPr>
          <w:rFonts w:ascii="Times New Roman" w:eastAsia="Times New Roman" w:hAnsi="Times New Roman" w:cs="Times New Roman"/>
          <w:b/>
          <w:bCs/>
          <w:sz w:val="28"/>
          <w:szCs w:val="28"/>
          <w:lang w:val="x-none" w:eastAsia="x-none"/>
        </w:rPr>
        <w:t>V. Механізми та заходи, які забезпечать розв’язання визначеної проблеми</w:t>
      </w:r>
    </w:p>
    <w:p w:rsidR="007F2B4C" w:rsidRPr="005444E6" w:rsidRDefault="007F2B4C" w:rsidP="007F2B4C">
      <w:pPr>
        <w:widowControl w:val="0"/>
        <w:spacing w:after="0" w:line="240" w:lineRule="auto"/>
        <w:jc w:val="center"/>
        <w:outlineLvl w:val="2"/>
        <w:rPr>
          <w:rFonts w:ascii="Times New Roman" w:eastAsia="Times New Roman" w:hAnsi="Times New Roman" w:cs="Times New Roman"/>
          <w:b/>
          <w:bCs/>
          <w:sz w:val="16"/>
          <w:szCs w:val="16"/>
          <w:lang w:val="x-none" w:eastAsia="x-none"/>
        </w:rPr>
      </w:pPr>
    </w:p>
    <w:p w:rsidR="007F2B4C" w:rsidRPr="007F2B4C" w:rsidRDefault="007F2B4C" w:rsidP="007F2B4C">
      <w:pPr>
        <w:numPr>
          <w:ilvl w:val="0"/>
          <w:numId w:val="1"/>
        </w:numPr>
        <w:tabs>
          <w:tab w:val="left" w:pos="993"/>
        </w:tabs>
        <w:spacing w:after="0" w:line="240" w:lineRule="auto"/>
        <w:ind w:left="0" w:firstLine="567"/>
        <w:jc w:val="both"/>
        <w:rPr>
          <w:rFonts w:ascii="Times New Roman" w:eastAsia="Times New Roman" w:hAnsi="Times New Roman" w:cs="Times New Roman"/>
          <w:i/>
          <w:sz w:val="28"/>
          <w:szCs w:val="28"/>
          <w:lang w:eastAsia="ru-RU"/>
        </w:rPr>
      </w:pPr>
      <w:r w:rsidRPr="007F2B4C">
        <w:rPr>
          <w:rFonts w:ascii="Times New Roman" w:eastAsia="Times New Roman" w:hAnsi="Times New Roman" w:cs="Times New Roman"/>
          <w:i/>
          <w:sz w:val="28"/>
          <w:szCs w:val="28"/>
          <w:lang w:eastAsia="ru-RU"/>
        </w:rPr>
        <w:t>Механізм дії регуляторного акта</w:t>
      </w:r>
    </w:p>
    <w:p w:rsidR="007F2B4C" w:rsidRPr="007F2B4C" w:rsidRDefault="007F2B4C" w:rsidP="007F2B4C">
      <w:pPr>
        <w:widowControl w:val="0"/>
        <w:spacing w:after="0" w:line="240" w:lineRule="auto"/>
        <w:ind w:firstLine="567"/>
        <w:jc w:val="both"/>
        <w:outlineLvl w:val="2"/>
        <w:rPr>
          <w:rFonts w:ascii="Times New Roman" w:eastAsia="Times New Roman" w:hAnsi="Times New Roman" w:cs="Times New Roman"/>
          <w:bCs/>
          <w:sz w:val="28"/>
          <w:szCs w:val="28"/>
          <w:lang w:val="x-none" w:eastAsia="x-none"/>
        </w:rPr>
      </w:pPr>
      <w:r w:rsidRPr="007F2B4C">
        <w:rPr>
          <w:rFonts w:ascii="Times New Roman" w:eastAsia="Times New Roman" w:hAnsi="Times New Roman" w:cs="Times New Roman"/>
          <w:bCs/>
          <w:sz w:val="28"/>
          <w:szCs w:val="28"/>
          <w:lang w:val="x-none" w:eastAsia="x-none"/>
        </w:rPr>
        <w:t>Основним механізмом для розв’язання визначеної проблеми є прийняття проєкту наказу Міністерства фінансів України</w:t>
      </w:r>
      <w:r w:rsidRPr="007F2B4C">
        <w:rPr>
          <w:rFonts w:ascii="Times New Roman" w:eastAsia="Times New Roman" w:hAnsi="Times New Roman" w:cs="Times New Roman"/>
          <w:bCs/>
          <w:sz w:val="28"/>
          <w:szCs w:val="28"/>
          <w:lang w:eastAsia="x-none"/>
        </w:rPr>
        <w:t xml:space="preserve"> </w:t>
      </w:r>
      <w:r w:rsidRPr="007F2B4C">
        <w:rPr>
          <w:rFonts w:ascii="Times New Roman" w:eastAsia="Times New Roman" w:hAnsi="Times New Roman" w:cs="Times New Roman"/>
          <w:bCs/>
          <w:sz w:val="28"/>
          <w:szCs w:val="28"/>
          <w:lang w:val="x-none" w:eastAsia="x-none"/>
        </w:rPr>
        <w:t>« Про внесення змін до Порядку реєстрації у митному реєстрі об’єктів права інтелектуальної власності, які охороняються відповідно до закону та 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p>
    <w:p w:rsidR="007F2B4C" w:rsidRPr="007F2B4C" w:rsidRDefault="007F2B4C" w:rsidP="007F2B4C">
      <w:pPr>
        <w:widowControl w:val="0"/>
        <w:spacing w:after="0" w:line="240" w:lineRule="auto"/>
        <w:ind w:firstLine="567"/>
        <w:jc w:val="both"/>
        <w:outlineLvl w:val="2"/>
        <w:rPr>
          <w:rFonts w:ascii="Times New Roman" w:eastAsia="Times New Roman" w:hAnsi="Times New Roman" w:cs="Times New Roman"/>
          <w:bCs/>
          <w:sz w:val="28"/>
          <w:szCs w:val="28"/>
          <w:lang w:val="ru-RU" w:eastAsia="x-none"/>
        </w:rPr>
      </w:pPr>
      <w:r w:rsidRPr="007F2B4C">
        <w:rPr>
          <w:rFonts w:ascii="Times New Roman" w:eastAsia="Times New Roman" w:hAnsi="Times New Roman" w:cs="Times New Roman"/>
          <w:bCs/>
          <w:sz w:val="28"/>
          <w:szCs w:val="28"/>
          <w:lang w:val="x-none" w:eastAsia="x-none"/>
        </w:rPr>
        <w:t xml:space="preserve">Підготовленим проєктом регуляторного акта передбачається врегулювати питання щодо приведення у відповідність до чинного законодавства </w:t>
      </w:r>
      <w:r w:rsidR="005444E6">
        <w:rPr>
          <w:rFonts w:ascii="Times New Roman" w:eastAsia="Times New Roman" w:hAnsi="Times New Roman" w:cs="Times New Roman"/>
          <w:bCs/>
          <w:sz w:val="28"/>
          <w:szCs w:val="28"/>
          <w:lang w:eastAsia="x-none"/>
        </w:rPr>
        <w:t>процедури</w:t>
      </w:r>
      <w:r w:rsidR="00571C83" w:rsidRPr="00571C83">
        <w:rPr>
          <w:rFonts w:ascii="Times New Roman" w:eastAsia="Times New Roman" w:hAnsi="Times New Roman" w:cs="Times New Roman"/>
          <w:bCs/>
          <w:sz w:val="28"/>
          <w:szCs w:val="28"/>
          <w:lang w:val="x-none" w:eastAsia="x-none"/>
        </w:rPr>
        <w:t xml:space="preserve"> реєстрації у митному реєстрі об’єктів права інтелектуальної власності, які охороняються відповідно до закону</w:t>
      </w:r>
      <w:r w:rsidR="00571C83">
        <w:rPr>
          <w:rFonts w:ascii="Times New Roman" w:eastAsia="Times New Roman" w:hAnsi="Times New Roman" w:cs="Times New Roman"/>
          <w:bCs/>
          <w:sz w:val="28"/>
          <w:szCs w:val="28"/>
          <w:lang w:eastAsia="x-none"/>
        </w:rPr>
        <w:t>, та</w:t>
      </w:r>
      <w:r w:rsidR="00571C83" w:rsidRPr="00571C83">
        <w:rPr>
          <w:rFonts w:ascii="Times New Roman" w:eastAsia="Times New Roman" w:hAnsi="Times New Roman" w:cs="Times New Roman"/>
          <w:bCs/>
          <w:sz w:val="28"/>
          <w:szCs w:val="28"/>
          <w:lang w:val="x-none" w:eastAsia="x-none"/>
        </w:rPr>
        <w:t xml:space="preserve"> </w:t>
      </w:r>
      <w:r w:rsidRPr="007F2B4C">
        <w:rPr>
          <w:rFonts w:ascii="Times New Roman" w:eastAsia="Times New Roman" w:hAnsi="Times New Roman" w:cs="Times New Roman"/>
          <w:bCs/>
          <w:sz w:val="28"/>
          <w:szCs w:val="28"/>
          <w:lang w:val="x-none" w:eastAsia="x-none"/>
        </w:rPr>
        <w:t>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r w:rsidRPr="007F2B4C">
        <w:rPr>
          <w:rFonts w:ascii="Times New Roman" w:eastAsia="Times New Roman" w:hAnsi="Times New Roman" w:cs="Times New Roman"/>
          <w:bCs/>
          <w:sz w:val="28"/>
          <w:szCs w:val="28"/>
          <w:lang w:eastAsia="x-none"/>
        </w:rPr>
        <w:t>.</w:t>
      </w:r>
      <w:r w:rsidRPr="007F2B4C">
        <w:rPr>
          <w:rFonts w:ascii="Times New Roman" w:eastAsia="Times New Roman" w:hAnsi="Times New Roman" w:cs="Times New Roman"/>
          <w:bCs/>
          <w:sz w:val="28"/>
          <w:szCs w:val="28"/>
          <w:lang w:val="ru-RU" w:eastAsia="x-none"/>
        </w:rPr>
        <w:t xml:space="preserve">  </w:t>
      </w:r>
    </w:p>
    <w:p w:rsidR="007F2B4C" w:rsidRPr="005444E6" w:rsidRDefault="007F2B4C" w:rsidP="007F2B4C">
      <w:pPr>
        <w:spacing w:after="0" w:line="240" w:lineRule="auto"/>
        <w:ind w:left="567"/>
        <w:contextualSpacing/>
        <w:jc w:val="both"/>
        <w:rPr>
          <w:rFonts w:ascii="Times New Roman" w:eastAsia="Times New Roman" w:hAnsi="Times New Roman" w:cs="Times New Roman"/>
          <w:i/>
          <w:sz w:val="16"/>
          <w:szCs w:val="16"/>
          <w:lang w:eastAsia="ru-RU"/>
        </w:rPr>
      </w:pPr>
    </w:p>
    <w:p w:rsidR="007F2B4C" w:rsidRPr="007F2B4C" w:rsidRDefault="007F2B4C" w:rsidP="007F2B4C">
      <w:pPr>
        <w:spacing w:after="0" w:line="240" w:lineRule="auto"/>
        <w:ind w:left="567"/>
        <w:contextualSpacing/>
        <w:jc w:val="both"/>
        <w:rPr>
          <w:rFonts w:ascii="Times New Roman" w:eastAsia="Times New Roman" w:hAnsi="Times New Roman" w:cs="Times New Roman"/>
          <w:i/>
          <w:sz w:val="28"/>
          <w:szCs w:val="28"/>
          <w:lang w:eastAsia="ru-RU"/>
        </w:rPr>
      </w:pPr>
      <w:r w:rsidRPr="007F2B4C">
        <w:rPr>
          <w:rFonts w:ascii="Times New Roman" w:eastAsia="Times New Roman" w:hAnsi="Times New Roman" w:cs="Times New Roman"/>
          <w:i/>
          <w:sz w:val="28"/>
          <w:szCs w:val="28"/>
          <w:lang w:eastAsia="ru-RU"/>
        </w:rPr>
        <w:t>2. Організаційні заходи впровадження регуляторного акта в дію</w:t>
      </w:r>
    </w:p>
    <w:p w:rsidR="007F2B4C" w:rsidRPr="007F2B4C" w:rsidRDefault="007F2B4C" w:rsidP="007F2B4C">
      <w:pPr>
        <w:spacing w:after="0" w:line="240" w:lineRule="auto"/>
        <w:ind w:firstLine="567"/>
        <w:contextualSpacing/>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Для впровадження цього регуляторного акта в дію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Мінфіну.</w:t>
      </w:r>
    </w:p>
    <w:p w:rsidR="007F2B4C" w:rsidRPr="00421ADF" w:rsidRDefault="007F2B4C" w:rsidP="007F2B4C">
      <w:pPr>
        <w:spacing w:after="0" w:line="240" w:lineRule="auto"/>
        <w:ind w:firstLine="709"/>
        <w:jc w:val="both"/>
        <w:rPr>
          <w:rFonts w:ascii="Times New Roman" w:eastAsia="Times New Roman" w:hAnsi="Times New Roman" w:cs="Times New Roman"/>
          <w:sz w:val="28"/>
          <w:szCs w:val="28"/>
          <w:highlight w:val="yellow"/>
          <w:lang w:eastAsia="ru-RU"/>
        </w:rPr>
      </w:pPr>
    </w:p>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8"/>
          <w:szCs w:val="28"/>
          <w:lang w:val="x-none" w:eastAsia="x-none"/>
        </w:rPr>
      </w:pPr>
      <w:r w:rsidRPr="007F2B4C">
        <w:rPr>
          <w:rFonts w:ascii="Times New Roman" w:eastAsia="Times New Roman" w:hAnsi="Times New Roman" w:cs="Times New Roman"/>
          <w:b/>
          <w:bCs/>
          <w:sz w:val="28"/>
          <w:szCs w:val="28"/>
          <w:lang w:val="x-none" w:eastAsia="x-none"/>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F2B4C" w:rsidRPr="00421ADF" w:rsidRDefault="007F2B4C" w:rsidP="007F2B4C">
      <w:pPr>
        <w:widowControl w:val="0"/>
        <w:spacing w:after="0" w:line="240" w:lineRule="auto"/>
        <w:ind w:firstLine="709"/>
        <w:jc w:val="center"/>
        <w:outlineLvl w:val="2"/>
        <w:rPr>
          <w:rFonts w:ascii="Times New Roman" w:eastAsia="Times New Roman" w:hAnsi="Times New Roman" w:cs="Times New Roman"/>
          <w:b/>
          <w:bCs/>
          <w:sz w:val="28"/>
          <w:szCs w:val="28"/>
          <w:lang w:val="x-none" w:eastAsia="x-none"/>
        </w:rPr>
      </w:pPr>
    </w:p>
    <w:p w:rsidR="007F2B4C" w:rsidRPr="007F2B4C" w:rsidRDefault="007F2B4C" w:rsidP="007F2B4C">
      <w:pPr>
        <w:widowControl w:val="0"/>
        <w:spacing w:after="0" w:line="240" w:lineRule="auto"/>
        <w:ind w:firstLine="567"/>
        <w:jc w:val="both"/>
        <w:outlineLvl w:val="2"/>
        <w:rPr>
          <w:rFonts w:ascii="Times New Roman" w:eastAsia="Times New Roman" w:hAnsi="Times New Roman" w:cs="Times New Roman"/>
          <w:bCs/>
          <w:sz w:val="28"/>
          <w:szCs w:val="28"/>
          <w:lang w:val="x-none" w:eastAsia="x-none"/>
        </w:rPr>
      </w:pPr>
      <w:r w:rsidRPr="007F2B4C">
        <w:rPr>
          <w:rFonts w:ascii="Times New Roman" w:eastAsia="Times New Roman" w:hAnsi="Times New Roman" w:cs="Times New Roman"/>
          <w:bCs/>
          <w:sz w:val="28"/>
          <w:szCs w:val="28"/>
          <w:lang w:val="x-none" w:eastAsia="x-none"/>
        </w:rPr>
        <w:t>Для впровадження та виконання вимог регуляторного акта суб’єкти господарювання та громадяни не нестимуть додаткових витрат.</w:t>
      </w:r>
    </w:p>
    <w:p w:rsidR="007F2B4C" w:rsidRDefault="007F2B4C" w:rsidP="007F2B4C">
      <w:pPr>
        <w:widowControl w:val="0"/>
        <w:spacing w:after="0" w:line="240" w:lineRule="auto"/>
        <w:ind w:firstLine="567"/>
        <w:jc w:val="both"/>
        <w:outlineLvl w:val="2"/>
        <w:rPr>
          <w:rFonts w:ascii="Times New Roman" w:eastAsia="Times New Roman" w:hAnsi="Times New Roman" w:cs="Times New Roman"/>
          <w:bCs/>
          <w:sz w:val="28"/>
          <w:szCs w:val="28"/>
          <w:lang w:val="x-none" w:eastAsia="x-none"/>
        </w:rPr>
      </w:pPr>
      <w:r w:rsidRPr="007F2B4C">
        <w:rPr>
          <w:rFonts w:ascii="Times New Roman" w:eastAsia="Times New Roman" w:hAnsi="Times New Roman" w:cs="Times New Roman"/>
          <w:bCs/>
          <w:sz w:val="28"/>
          <w:szCs w:val="28"/>
          <w:lang w:val="x-none" w:eastAsia="x-none"/>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5444E6" w:rsidRPr="00421ADF" w:rsidRDefault="005444E6" w:rsidP="007F2B4C">
      <w:pPr>
        <w:widowControl w:val="0"/>
        <w:spacing w:after="0" w:line="240" w:lineRule="auto"/>
        <w:ind w:firstLine="567"/>
        <w:jc w:val="both"/>
        <w:outlineLvl w:val="2"/>
        <w:rPr>
          <w:rFonts w:ascii="Times New Roman" w:eastAsia="Times New Roman" w:hAnsi="Times New Roman" w:cs="Times New Roman"/>
          <w:bCs/>
          <w:sz w:val="28"/>
          <w:szCs w:val="28"/>
          <w:lang w:val="x-none" w:eastAsia="x-none"/>
        </w:rPr>
      </w:pPr>
    </w:p>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8"/>
          <w:szCs w:val="28"/>
          <w:lang w:val="x-none" w:eastAsia="x-none"/>
        </w:rPr>
      </w:pPr>
      <w:r w:rsidRPr="007F2B4C">
        <w:rPr>
          <w:rFonts w:ascii="Times New Roman" w:eastAsia="Times New Roman" w:hAnsi="Times New Roman" w:cs="Times New Roman"/>
          <w:b/>
          <w:bCs/>
          <w:sz w:val="28"/>
          <w:szCs w:val="28"/>
          <w:lang w:val="x-none" w:eastAsia="x-none"/>
        </w:rPr>
        <w:t>VII. Обґрунтування запропонованого строку дії регуляторного акта</w:t>
      </w:r>
    </w:p>
    <w:p w:rsidR="007F2B4C" w:rsidRPr="00421ADF" w:rsidRDefault="007F2B4C" w:rsidP="007F2B4C">
      <w:pPr>
        <w:widowControl w:val="0"/>
        <w:spacing w:after="0" w:line="240" w:lineRule="auto"/>
        <w:ind w:firstLine="709"/>
        <w:jc w:val="both"/>
        <w:rPr>
          <w:rFonts w:ascii="Times New Roman" w:eastAsia="Times New Roman" w:hAnsi="Times New Roman" w:cs="Times New Roman"/>
          <w:sz w:val="28"/>
          <w:szCs w:val="28"/>
          <w:lang w:eastAsia="ru-RU"/>
        </w:rPr>
      </w:pPr>
    </w:p>
    <w:p w:rsidR="007F2B4C" w:rsidRPr="007F2B4C" w:rsidRDefault="007F2B4C" w:rsidP="007F2B4C">
      <w:pPr>
        <w:widowControl w:val="0"/>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Строк дії регуляторного акта не обмежується в часі, що надасть можливість розв’язати проблеми та досягти цілей державного регулювання.</w:t>
      </w:r>
    </w:p>
    <w:p w:rsidR="007F2B4C" w:rsidRPr="007F2B4C" w:rsidRDefault="007F2B4C" w:rsidP="007F2B4C">
      <w:pPr>
        <w:widowControl w:val="0"/>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Зміна терміну дії акта можлива у разі зміни правових актів, на виконання вимог яких базується проєкт.</w:t>
      </w:r>
    </w:p>
    <w:p w:rsidR="007F2B4C" w:rsidRPr="005444E6" w:rsidRDefault="007F2B4C" w:rsidP="007F2B4C">
      <w:pPr>
        <w:widowControl w:val="0"/>
        <w:spacing w:after="0" w:line="240" w:lineRule="auto"/>
        <w:ind w:firstLine="851"/>
        <w:jc w:val="both"/>
        <w:rPr>
          <w:rFonts w:ascii="Times New Roman" w:eastAsia="Times New Roman" w:hAnsi="Times New Roman" w:cs="Times New Roman"/>
          <w:sz w:val="16"/>
          <w:szCs w:val="16"/>
          <w:lang w:eastAsia="ru-RU"/>
        </w:rPr>
      </w:pPr>
    </w:p>
    <w:p w:rsidR="007F2B4C" w:rsidRPr="007F2B4C" w:rsidRDefault="007F2B4C" w:rsidP="007F2B4C">
      <w:pPr>
        <w:widowControl w:val="0"/>
        <w:spacing w:after="0" w:line="240" w:lineRule="auto"/>
        <w:jc w:val="center"/>
        <w:outlineLvl w:val="2"/>
        <w:rPr>
          <w:rFonts w:ascii="Times New Roman" w:eastAsia="Times New Roman" w:hAnsi="Times New Roman" w:cs="Times New Roman"/>
          <w:b/>
          <w:bCs/>
          <w:sz w:val="28"/>
          <w:szCs w:val="28"/>
          <w:lang w:val="x-none" w:eastAsia="x-none"/>
        </w:rPr>
      </w:pPr>
      <w:r w:rsidRPr="007F2B4C">
        <w:rPr>
          <w:rFonts w:ascii="Times New Roman" w:eastAsia="Times New Roman" w:hAnsi="Times New Roman" w:cs="Times New Roman"/>
          <w:b/>
          <w:bCs/>
          <w:sz w:val="28"/>
          <w:szCs w:val="28"/>
          <w:lang w:val="x-none" w:eastAsia="x-none"/>
        </w:rPr>
        <w:t>VIII. Визначення показників результативності дії регуляторного акта</w:t>
      </w:r>
    </w:p>
    <w:p w:rsidR="007F2B4C" w:rsidRPr="007F2B4C" w:rsidRDefault="007F2B4C" w:rsidP="007F2B4C">
      <w:pPr>
        <w:spacing w:after="0" w:line="240" w:lineRule="auto"/>
        <w:ind w:firstLine="709"/>
        <w:jc w:val="both"/>
        <w:rPr>
          <w:rFonts w:ascii="Times New Roman" w:eastAsia="Times New Roman" w:hAnsi="Times New Roman" w:cs="Times New Roman"/>
          <w:sz w:val="16"/>
          <w:szCs w:val="16"/>
          <w:lang w:eastAsia="ru-RU"/>
        </w:rPr>
      </w:pPr>
    </w:p>
    <w:p w:rsidR="00571C83"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 xml:space="preserve">Прогнозними значеннями показників результативності регуляторного  акта є: </w:t>
      </w: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1. Рівень поінформованості суб’єктів господарювання – високий. Проєкт акта та відповідний аналіз регуляторного впливу оприлюднено на офіційному вебсайті Міністерства фінансів України.</w:t>
      </w: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2. Розмір надходжень до державного та місцевих бюджетів і державних цільових фондів, пов’язаних із дією акта, – не передбачаються.</w:t>
      </w: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3. Розмір коштів і час, які витрачаються суб’єктами господарювання у зв’язку із виконанням вимог акта, – не передбачаються.</w:t>
      </w:r>
    </w:p>
    <w:p w:rsidR="007F2B4C" w:rsidRPr="005444E6" w:rsidRDefault="007F2B4C" w:rsidP="007F2B4C">
      <w:pPr>
        <w:spacing w:after="0" w:line="240" w:lineRule="auto"/>
        <w:ind w:firstLine="709"/>
        <w:jc w:val="both"/>
        <w:rPr>
          <w:rFonts w:ascii="Times New Roman" w:eastAsia="Times New Roman" w:hAnsi="Times New Roman" w:cs="Times New Roman"/>
          <w:b/>
          <w:sz w:val="16"/>
          <w:szCs w:val="16"/>
          <w:lang w:eastAsia="ru-RU"/>
        </w:rPr>
      </w:pPr>
    </w:p>
    <w:p w:rsidR="007F2B4C" w:rsidRPr="007F2B4C" w:rsidRDefault="007F2B4C" w:rsidP="007F2B4C">
      <w:pPr>
        <w:spacing w:after="0" w:line="240" w:lineRule="auto"/>
        <w:ind w:firstLine="709"/>
        <w:jc w:val="both"/>
        <w:rPr>
          <w:rFonts w:ascii="Times New Roman" w:eastAsia="Times New Roman" w:hAnsi="Times New Roman" w:cs="Times New Roman"/>
          <w:b/>
          <w:sz w:val="28"/>
          <w:szCs w:val="28"/>
          <w:lang w:eastAsia="ru-RU"/>
        </w:rPr>
      </w:pPr>
      <w:r w:rsidRPr="007F2B4C">
        <w:rPr>
          <w:rFonts w:ascii="Times New Roman" w:eastAsia="Times New Roman" w:hAnsi="Times New Roman" w:cs="Times New Roman"/>
          <w:b/>
          <w:sz w:val="28"/>
          <w:szCs w:val="28"/>
          <w:lang w:eastAsia="ru-RU"/>
        </w:rPr>
        <w:t>IX. Визначення заходів, за допомогою яких здійснюватиметься відстеження результативності дії регуляторного акта</w:t>
      </w:r>
    </w:p>
    <w:p w:rsidR="007F2B4C" w:rsidRPr="007F2B4C" w:rsidRDefault="007F2B4C" w:rsidP="007F2B4C">
      <w:pPr>
        <w:spacing w:after="0" w:line="240" w:lineRule="auto"/>
        <w:ind w:firstLine="709"/>
        <w:jc w:val="both"/>
        <w:rPr>
          <w:rFonts w:ascii="Times New Roman" w:eastAsia="Times New Roman" w:hAnsi="Times New Roman" w:cs="Times New Roman"/>
          <w:b/>
          <w:sz w:val="16"/>
          <w:szCs w:val="16"/>
          <w:lang w:eastAsia="ru-RU"/>
        </w:rPr>
      </w:pP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Відстеження результативності регуляторного акта здійснюється шляхом обробки та аналізу інформації, отриманої від Держмитслужби та митниць.</w:t>
      </w: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Базове відстеження результативності акта буде здійснюватися через рік після набрання чинності цим актом шляхом аналізу статистичних даних, що містяться в інформаційних базах Держмитслужби, та інформації, що надходить від митниць.</w:t>
      </w: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Повторне відстеження результативності акта буде здійснюватися через два роки з дня набрання ним чинності.</w:t>
      </w: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Виконавець із заходів відстеження – Державна митна служба України.</w:t>
      </w:r>
    </w:p>
    <w:p w:rsidR="007F2B4C" w:rsidRPr="007F2B4C" w:rsidRDefault="007F2B4C" w:rsidP="007F2B4C">
      <w:pPr>
        <w:spacing w:after="0" w:line="240" w:lineRule="auto"/>
        <w:ind w:firstLine="567"/>
        <w:jc w:val="both"/>
        <w:rPr>
          <w:rFonts w:ascii="Times New Roman" w:eastAsia="Times New Roman" w:hAnsi="Times New Roman" w:cs="Times New Roman"/>
          <w:sz w:val="28"/>
          <w:szCs w:val="28"/>
          <w:lang w:eastAsia="ru-RU"/>
        </w:rPr>
      </w:pPr>
      <w:r w:rsidRPr="007F2B4C">
        <w:rPr>
          <w:rFonts w:ascii="Times New Roman" w:eastAsia="Times New Roman" w:hAnsi="Times New Roman" w:cs="Times New Roman"/>
          <w:sz w:val="28"/>
          <w:szCs w:val="28"/>
          <w:lang w:eastAsia="ru-RU"/>
        </w:rPr>
        <w:t>У разі прийняття законодавчих змін до кодексу або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7F2B4C" w:rsidRPr="007F2B4C" w:rsidRDefault="007F2B4C" w:rsidP="007F2B4C">
      <w:pPr>
        <w:widowControl w:val="0"/>
        <w:spacing w:after="0" w:line="240" w:lineRule="auto"/>
        <w:ind w:firstLine="851"/>
        <w:jc w:val="both"/>
        <w:rPr>
          <w:rFonts w:ascii="Times New Roman" w:eastAsia="Times New Roman" w:hAnsi="Times New Roman" w:cs="Times New Roman"/>
          <w:sz w:val="28"/>
          <w:szCs w:val="28"/>
          <w:lang w:eastAsia="ru-RU"/>
        </w:rPr>
      </w:pPr>
    </w:p>
    <w:p w:rsidR="007F2B4C" w:rsidRPr="007F2B4C" w:rsidRDefault="007F2B4C" w:rsidP="007F2B4C">
      <w:pPr>
        <w:widowControl w:val="0"/>
        <w:spacing w:after="0" w:line="240" w:lineRule="auto"/>
        <w:ind w:firstLine="851"/>
        <w:jc w:val="both"/>
        <w:rPr>
          <w:rFonts w:ascii="Times New Roman" w:eastAsia="Times New Roman" w:hAnsi="Times New Roman" w:cs="Times New Roman"/>
          <w:sz w:val="28"/>
          <w:szCs w:val="28"/>
          <w:lang w:eastAsia="ru-RU"/>
        </w:rPr>
      </w:pPr>
      <w:bookmarkStart w:id="0" w:name="_GoBack"/>
      <w:bookmarkEnd w:id="0"/>
    </w:p>
    <w:sectPr w:rsidR="007F2B4C" w:rsidRPr="007F2B4C" w:rsidSect="005444E6">
      <w:headerReference w:type="default" r:id="rId7"/>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88" w:rsidRDefault="00761588">
      <w:pPr>
        <w:spacing w:after="0" w:line="240" w:lineRule="auto"/>
      </w:pPr>
      <w:r>
        <w:separator/>
      </w:r>
    </w:p>
  </w:endnote>
  <w:endnote w:type="continuationSeparator" w:id="0">
    <w:p w:rsidR="00761588" w:rsidRDefault="0076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CC"/>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88" w:rsidRDefault="00761588">
      <w:pPr>
        <w:spacing w:after="0" w:line="240" w:lineRule="auto"/>
      </w:pPr>
      <w:r>
        <w:separator/>
      </w:r>
    </w:p>
  </w:footnote>
  <w:footnote w:type="continuationSeparator" w:id="0">
    <w:p w:rsidR="00761588" w:rsidRDefault="00761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ED" w:rsidRPr="004B0114" w:rsidRDefault="00054AFC" w:rsidP="00F56AED">
    <w:pPr>
      <w:pStyle w:val="a3"/>
      <w:jc w:val="center"/>
      <w:rPr>
        <w:rFonts w:ascii="Times New Roman" w:hAnsi="Times New Roman"/>
        <w:sz w:val="28"/>
        <w:szCs w:val="28"/>
      </w:rPr>
    </w:pPr>
    <w:r w:rsidRPr="004B0114">
      <w:rPr>
        <w:rFonts w:ascii="Times New Roman" w:hAnsi="Times New Roman"/>
        <w:sz w:val="28"/>
        <w:szCs w:val="28"/>
      </w:rPr>
      <w:fldChar w:fldCharType="begin"/>
    </w:r>
    <w:r w:rsidRPr="004B0114">
      <w:rPr>
        <w:rFonts w:ascii="Times New Roman" w:hAnsi="Times New Roman"/>
        <w:sz w:val="28"/>
        <w:szCs w:val="28"/>
      </w:rPr>
      <w:instrText xml:space="preserve"> PAGE   \* MERGEFORMAT </w:instrText>
    </w:r>
    <w:r w:rsidRPr="004B0114">
      <w:rPr>
        <w:rFonts w:ascii="Times New Roman" w:hAnsi="Times New Roman"/>
        <w:sz w:val="28"/>
        <w:szCs w:val="28"/>
      </w:rPr>
      <w:fldChar w:fldCharType="separate"/>
    </w:r>
    <w:r w:rsidR="0016640D">
      <w:rPr>
        <w:rFonts w:ascii="Times New Roman" w:hAnsi="Times New Roman"/>
        <w:noProof/>
        <w:sz w:val="28"/>
        <w:szCs w:val="28"/>
      </w:rPr>
      <w:t>9</w:t>
    </w:r>
    <w:r w:rsidRPr="004B0114">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4C"/>
    <w:rsid w:val="00054AFC"/>
    <w:rsid w:val="000E714B"/>
    <w:rsid w:val="0016640D"/>
    <w:rsid w:val="00233766"/>
    <w:rsid w:val="0027166A"/>
    <w:rsid w:val="002B361B"/>
    <w:rsid w:val="00421ADF"/>
    <w:rsid w:val="00522DA4"/>
    <w:rsid w:val="005444E6"/>
    <w:rsid w:val="00557AEA"/>
    <w:rsid w:val="00571C83"/>
    <w:rsid w:val="00652D98"/>
    <w:rsid w:val="00761588"/>
    <w:rsid w:val="007D758F"/>
    <w:rsid w:val="007F2B4C"/>
    <w:rsid w:val="00984A3B"/>
    <w:rsid w:val="00BA3A70"/>
    <w:rsid w:val="00BF2B4D"/>
    <w:rsid w:val="00D46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5E80F-BBCF-44BC-A715-AB072A8F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3B"/>
  </w:style>
  <w:style w:type="paragraph" w:styleId="3">
    <w:name w:val="heading 3"/>
    <w:basedOn w:val="a"/>
    <w:link w:val="30"/>
    <w:uiPriority w:val="9"/>
    <w:qFormat/>
    <w:rsid w:val="00984A3B"/>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2B4C"/>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7F2B4C"/>
  </w:style>
  <w:style w:type="character" w:customStyle="1" w:styleId="30">
    <w:name w:val="Заголовок 3 Знак"/>
    <w:basedOn w:val="a0"/>
    <w:link w:val="3"/>
    <w:uiPriority w:val="9"/>
    <w:rsid w:val="00984A3B"/>
    <w:rPr>
      <w:rFonts w:ascii="Times New Roman" w:eastAsia="Times New Roman" w:hAnsi="Times New Roman" w:cs="Times New Roman"/>
      <w:b/>
      <w:bCs/>
      <w:sz w:val="27"/>
      <w:szCs w:val="27"/>
      <w:lang w:val="x-none" w:eastAsia="x-none"/>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6"/>
    <w:qFormat/>
    <w:rsid w:val="00984A3B"/>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6">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5"/>
    <w:locked/>
    <w:rsid w:val="00984A3B"/>
    <w:rPr>
      <w:rFonts w:ascii="Times New Roman" w:eastAsia="Times New Roman" w:hAnsi="Times New Roman" w:cs="Times New Roman"/>
      <w:sz w:val="24"/>
      <w:szCs w:val="20"/>
      <w:lang w:val="ru-RU" w:eastAsia="ru-RU"/>
    </w:rPr>
  </w:style>
  <w:style w:type="paragraph" w:styleId="a7">
    <w:name w:val="List Paragraph"/>
    <w:basedOn w:val="a"/>
    <w:uiPriority w:val="34"/>
    <w:qFormat/>
    <w:rsid w:val="00544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11294</Words>
  <Characters>6438</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Самойлова Людмила Миколаївна</cp:lastModifiedBy>
  <cp:revision>2</cp:revision>
  <dcterms:created xsi:type="dcterms:W3CDTF">2025-06-18T12:10:00Z</dcterms:created>
  <dcterms:modified xsi:type="dcterms:W3CDTF">2025-06-18T12:10:00Z</dcterms:modified>
</cp:coreProperties>
</file>