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93BEF" w:rsidRPr="00B51331" w:rsidRDefault="001D769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B51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ЗАТВЕРДЖЕНО</w:t>
      </w:r>
    </w:p>
    <w:p w14:paraId="00000002" w14:textId="77777777" w:rsidR="00793BEF" w:rsidRPr="00B51331" w:rsidRDefault="00793BEF">
      <w:pPr>
        <w:tabs>
          <w:tab w:val="left" w:pos="4678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77777777" w:rsidR="00793BEF" w:rsidRPr="00B51331" w:rsidRDefault="001D7696">
      <w:pPr>
        <w:tabs>
          <w:tab w:val="left" w:pos="4678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31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 Міністерства фінансів України</w:t>
      </w:r>
    </w:p>
    <w:p w14:paraId="00000004" w14:textId="77777777" w:rsidR="00793BEF" w:rsidRPr="00B51331" w:rsidRDefault="00793BE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793BEF" w:rsidRPr="00B51331" w:rsidRDefault="001D769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31">
        <w:rPr>
          <w:rFonts w:ascii="Times New Roman" w:eastAsia="Times New Roman" w:hAnsi="Times New Roman" w:cs="Times New Roman"/>
          <w:color w:val="000000"/>
          <w:sz w:val="28"/>
          <w:szCs w:val="28"/>
        </w:rPr>
        <w:t>___ ________ року № _____________</w:t>
      </w:r>
    </w:p>
    <w:p w14:paraId="00000006" w14:textId="77777777" w:rsidR="00793BEF" w:rsidRPr="00B51331" w:rsidRDefault="00793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793BEF" w:rsidRPr="0018585B" w:rsidRDefault="001D7696" w:rsidP="0018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00000008" w14:textId="77777777" w:rsidR="00793BEF" w:rsidRPr="0018585B" w:rsidRDefault="001D7696" w:rsidP="0018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документів, що підтверджують неможливість </w:t>
      </w:r>
    </w:p>
    <w:p w14:paraId="00000009" w14:textId="77777777" w:rsidR="00793BEF" w:rsidRPr="0018585B" w:rsidRDefault="001D7696" w:rsidP="0018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платника податків – фізичної особи, зокрема </w:t>
      </w:r>
      <w:proofErr w:type="spellStart"/>
      <w:r w:rsidRPr="00185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самозайнятої</w:t>
      </w:r>
      <w:proofErr w:type="spellEnd"/>
      <w:r w:rsidRPr="00185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особи, </w:t>
      </w:r>
    </w:p>
    <w:p w14:paraId="0000000A" w14:textId="77777777" w:rsidR="00793BEF" w:rsidRPr="0018585B" w:rsidRDefault="001D7696" w:rsidP="0018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своєчасно виконати свій податковий обов’язок, у тому числі обов’язок податкового </w:t>
      </w:r>
      <w:proofErr w:type="spellStart"/>
      <w:r w:rsidRPr="00185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агента</w:t>
      </w:r>
      <w:proofErr w:type="spellEnd"/>
    </w:p>
    <w:p w14:paraId="0000000B" w14:textId="77777777" w:rsidR="00793BEF" w:rsidRPr="00B51331" w:rsidRDefault="00793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1C96BE7E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Документальне підтвердження підстав, встановлених підпунктами 102.6.1 – 102.6.5 пункту 102.6 статті 102</w:t>
      </w:r>
      <w:r w:rsidRPr="00836925">
        <w:rPr>
          <w:rFonts w:ascii="Times New Roman" w:hAnsi="Times New Roman" w:cs="Times New Roman"/>
          <w:sz w:val="28"/>
          <w:szCs w:val="28"/>
        </w:rPr>
        <w:t xml:space="preserve"> </w:t>
      </w: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глави 9 розділу ІІ Податкового кодексу України здійснюється відповідно до вимог пункту 2 розділу ІІ По</w:t>
      </w:r>
      <w:r w:rsidR="00185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рядку застосування норм пунктів </w:t>
      </w: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102.6 – 102.7 статті 102 глави 9 розділу ІІ Податкового кодексу України, затвердженого наказом Міністерства фінансів України від 20 жовтня 2017 року № 861, зареєстрованого в Міністерстві юстиції України 10 листопада 2017 року за № 1373/31241.</w:t>
      </w:r>
    </w:p>
    <w:p w14:paraId="0000000D" w14:textId="77777777" w:rsidR="00793BEF" w:rsidRPr="00836925" w:rsidRDefault="001D769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підстав, передбачених підпунктом 1 пункту 2 розділу ІІ Порядку підтвердження можливості чи неможливості виконання платником податків обов’язків, визначених у підпункті 69.1 пункту 69 підрозділу 10 розділу ХХ «Перехідні положення» Податкового кодексу України затвердженого наказом Міністерства фінансів України від____________ 2022 року № ____ зареєстрованого в Міністерстві юстиції України від___________ 2022 року №_______________(далі – Порядок): </w:t>
      </w:r>
    </w:p>
    <w:p w14:paraId="0000000E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громадянина України;</w:t>
      </w:r>
    </w:p>
    <w:p w14:paraId="0000000F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довідка про реєстрацію місця проживання особи;</w:t>
      </w:r>
    </w:p>
    <w:p w14:paraId="00000010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витяг з Єдиного державного демографічного реєстру щодо реєстрації місця проживання.  </w:t>
      </w:r>
    </w:p>
    <w:p w14:paraId="00000011" w14:textId="77777777" w:rsidR="00793BEF" w:rsidRPr="00836925" w:rsidRDefault="001D769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З підстав, передбачених підпунктом 2 пункту 2 розділу ІІ Порядку:</w:t>
      </w:r>
    </w:p>
    <w:p w14:paraId="00000012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військовий квиток та довідка закладу охорони здоров’я;</w:t>
      </w:r>
    </w:p>
    <w:p w14:paraId="00000013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військовий квиток та висновок (постанова) військово-лікарської (лікарсько-експертної) комісії;</w:t>
      </w:r>
    </w:p>
    <w:p w14:paraId="00000014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довідка закладу охорони здоров’я із зазначенням періоду перебування на лікуванні та характеру поранення (контузії, травми, каліцтва).</w:t>
      </w:r>
    </w:p>
    <w:p w14:paraId="00000015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3. З підстав, передбачених підпунктом 3 пункту 2 розділу ІІ Порядку, довідка закладу охорони здоров’я із зазначенням періоду перебування на лікуванні та характеру поранення (контузії, травми, каліцтва), захворювання.</w:t>
      </w:r>
    </w:p>
    <w:p w14:paraId="00000016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4. З підстав, передбачених підпунктом 4 пункту 2 розділу ІІ Порядку, військовий квиток або інший документ, виданий відповідним державним органом, із зазначенням даних про призов такої особи на військову службу за призовом під час мобілізації на особливий період.</w:t>
      </w:r>
    </w:p>
    <w:p w14:paraId="00000017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5. З підстав, передбачених підпунктом 5 пункту 2 розділу ІІ Порядку:</w:t>
      </w:r>
    </w:p>
    <w:p w14:paraId="00000018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трудова книжка та документ, виданий відповідним державним органом, із зазначенням даних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Федерації;</w:t>
      </w:r>
    </w:p>
    <w:p w14:paraId="00000019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військовий квиток та документ, виданий відповідним державним органом, із зазначенням даних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Федерації.</w:t>
      </w:r>
    </w:p>
    <w:p w14:paraId="0000001A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6. З підстав, передбачених підпунктом 6 пункту 2 розділу ІІ Порядку:</w:t>
      </w:r>
    </w:p>
    <w:p w14:paraId="0000001B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свідоцтво про народження малолітньої/неповнолітньої дитини та свідоцтво про смерть батьків, опікуна або піклувальника;</w:t>
      </w:r>
    </w:p>
    <w:p w14:paraId="0000001C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свідоцтво про народження малолітньої/неповнолітньої дитини та відповідне рішення суду;</w:t>
      </w:r>
    </w:p>
    <w:p w14:paraId="0000001D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що підтверджує недієздатність особи, та свідоцтво про смерть батьків, опікуна або піклувальника;</w:t>
      </w:r>
    </w:p>
    <w:p w14:paraId="0000001E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що підтверджує недієздатність особи, та відповідне рішення суду.</w:t>
      </w:r>
    </w:p>
    <w:p w14:paraId="0000001F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З підстав, передбачених підпунктом 7 </w:t>
      </w:r>
      <w:r w:rsidRPr="00836925">
        <w:rPr>
          <w:rFonts w:ascii="Times New Roman" w:eastAsia="Times New Roman" w:hAnsi="Times New Roman" w:cs="Times New Roman"/>
          <w:sz w:val="28"/>
          <w:szCs w:val="28"/>
        </w:rPr>
        <w:t>- 11</w:t>
      </w: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пункту 2 розділу ІІ Порядку:</w:t>
      </w:r>
    </w:p>
    <w:p w14:paraId="00000020" w14:textId="04D8558C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документ, що підтверджує відсутність коштів на банківських рахунках платника податків - </w:t>
      </w:r>
      <w:proofErr w:type="spellStart"/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самозайнятої</w:t>
      </w:r>
      <w:proofErr w:type="spellEnd"/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особи (виписка з рахунків клієнта банку на дату подання до банку розрахункового документа на сплату податків);</w:t>
      </w:r>
    </w:p>
    <w:p w14:paraId="00000021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 або повідомлення оператора поштового зв’язку (вказується посилання на офіційну сторінку оператора, де розміщене таке повідомлення), що підтверджує призупинення функціонування  оператора поштового зв’язку та/або об’єктів поштового зв’язку на територіях, на яких ведуться (велися) бойові дії, та територіях, тимчасово окупованих збройними формуваннями Російської Федерації;</w:t>
      </w:r>
    </w:p>
    <w:p w14:paraId="00000022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 або повідомлення банку (вказується посилання на офіційну сторінку банку, де розміщене таке повідомлення), що підтверджує призупинення роботи банку або його відокремлених підрозділів та/або платіжних систем у зв’язку із введенням воєнного стану;</w:t>
      </w:r>
    </w:p>
    <w:p w14:paraId="00000023" w14:textId="64AA3BD4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копії платіжних доручень (розрахункових та інших документів щодо ініціювання переказу) або їх </w:t>
      </w:r>
      <w:proofErr w:type="spellStart"/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скріншот</w:t>
      </w:r>
      <w:proofErr w:type="spellEnd"/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(знімок екрану) платника податків на сплату узгоджених сум грошових зобов’язань, податкового боргу, поданих до банку, що залишилися невиконаними, оскільки кошти не були зараховані до бюджету у зв’язку з відключенням банку від системи електронних платежів або порушенням у роботі системи авторизації банку. Надається разом із документом або повідомленням зазначеним в абзаці </w:t>
      </w:r>
      <w:r w:rsidR="00B7558E"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п’ятому</w:t>
      </w: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цього пункту Переліку;</w:t>
      </w:r>
    </w:p>
    <w:p w14:paraId="00000024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 або повідомлення (вказується посилання на офіційну сторінку банку, де розміщене таке повідомлення), що підтверджує вимушене призупинення роботи головних управлі</w:t>
      </w:r>
      <w:bookmarkStart w:id="1" w:name="_GoBack"/>
      <w:bookmarkEnd w:id="1"/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нь Державної казначейської служби України у зв’язку з введенням воєнного стану;</w:t>
      </w:r>
    </w:p>
    <w:p w14:paraId="00000025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документ, що підтверджує аварійне (незаплановане) відключення постачання електроенергії, пов’язане з введенням воєнного стану, до сфери обслуговування якої належить таке підприємство, зокрема розміщений у мережі Інтернет тощо;</w:t>
      </w:r>
    </w:p>
    <w:p w14:paraId="00000026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документ, що підтверджує вимушене відключення надання послуг глобальної мережі Інтернет, пов’язане з введенням воєнного стану, що унеможливило надання податкової звітності в електронному вигляді (інформаційне повідомлення інтернет-провайдера);</w:t>
      </w:r>
    </w:p>
    <w:p w14:paraId="00000027" w14:textId="77777777" w:rsidR="00793BEF" w:rsidRPr="00836925" w:rsidRDefault="001D76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документи, що свідчать про пошкодження, знищення, втрату майна, що належить фізичній особі і використовується в підприємницькій/незалежній діяльності і є об’єктом оподаткування, єдиним джерелом для сплати податків або яке перебуває у податковій заставі </w:t>
      </w: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заява до правоохоронних органів; акт незалежного оцінювача; наявність страхового полісу, заява про страховий випадок тощо);</w:t>
      </w:r>
    </w:p>
    <w:p w14:paraId="00000028" w14:textId="77777777" w:rsidR="00793BEF" w:rsidRPr="00836925" w:rsidRDefault="001D76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документи, що свідчать про акти мародерства, грабежу, рейдерства, захоплення майна та примусове захоплення приміщення (заява до територіального органу внутрішніх справ та документ, виданий відповідним правоохоронним органом щодо реєстрації кримінального провадження тощо);</w:t>
      </w:r>
    </w:p>
    <w:p w14:paraId="00000029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акт, який засвідчує факт пожежі, складений відповідно до вимог пункту 7 Порядку обліку пожеж та їх наслідків, затвердженого постановою Кабінету Міністрів України від 26 грудня 2003 року № 2030;</w:t>
      </w:r>
    </w:p>
    <w:p w14:paraId="0000002A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витяг з Реєстру прав власності на нерухоме майно у разі його знищення, отриманий з урахуванням вимог пункту 75 </w:t>
      </w:r>
      <w:hyperlink r:id="rId9" w:anchor="n23">
        <w:r w:rsidRPr="00836925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Порядку державної реєстрації речових прав на нерухоме майно та їх обтяжень, затвердженого постановою Кабінету Міністрів України від 25 грудня 2015 року № 1127</w:t>
        </w:r>
      </w:hyperlink>
      <w:r w:rsidRPr="00836925">
        <w:rPr>
          <w:rFonts w:ascii="Times New Roman" w:eastAsia="Times New Roman" w:hAnsi="Times New Roman" w:cs="Times New Roman"/>
          <w:sz w:val="28"/>
          <w:szCs w:val="28"/>
          <w:highlight w:val="white"/>
        </w:rPr>
        <w:t>, (затверджена належним чином копія);</w:t>
      </w:r>
    </w:p>
    <w:p w14:paraId="0000002B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витяг з Єдиного реєстру досудових розслідувань, що засвідчує факт реєстрації відомостей про кримінальне правопорушення, отриманий у порядку, встановленому Кримінальним процесуальним кодексом України, у разі викрадення або руйнування/втрати майна;</w:t>
      </w:r>
    </w:p>
    <w:p w14:paraId="0000002C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Федерації, програмними засобами Єдиного державного </w:t>
      </w:r>
      <w:proofErr w:type="spellStart"/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вебпорталу</w:t>
      </w:r>
      <w:proofErr w:type="spellEnd"/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 (Портал Дія);</w:t>
      </w:r>
    </w:p>
    <w:p w14:paraId="0000002D" w14:textId="77777777" w:rsidR="00793BEF" w:rsidRPr="00836925" w:rsidRDefault="001D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25">
        <w:rPr>
          <w:rFonts w:ascii="Times New Roman" w:eastAsia="Times New Roman" w:hAnsi="Times New Roman" w:cs="Times New Roman"/>
          <w:color w:val="000000"/>
          <w:sz w:val="28"/>
          <w:szCs w:val="28"/>
        </w:rPr>
        <w:t>інші документи, що підтверджують відсутність можливості своєчасно виконати свій податковий обов’язок.</w:t>
      </w:r>
    </w:p>
    <w:p w14:paraId="0000002E" w14:textId="77777777" w:rsidR="00793BEF" w:rsidRPr="00B51331" w:rsidRDefault="00793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9B7C2" w14:textId="77777777" w:rsidR="00FA58B8" w:rsidRPr="00B51331" w:rsidRDefault="00FA5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F" w14:textId="77777777" w:rsidR="00793BEF" w:rsidRPr="00B51331" w:rsidRDefault="001D7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Департаменту </w:t>
      </w:r>
    </w:p>
    <w:p w14:paraId="00000030" w14:textId="3AF46CAB" w:rsidR="00793BEF" w:rsidRPr="00B51331" w:rsidRDefault="001D7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податкової політики                                                            </w:t>
      </w:r>
      <w:r w:rsidR="00FA58B8" w:rsidRPr="00B51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Віктор ОВЧАР</w:t>
      </w:r>
      <w:r w:rsidRPr="00B51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ЕНКО</w:t>
      </w:r>
    </w:p>
    <w:p w14:paraId="00000031" w14:textId="77777777" w:rsidR="00793BEF" w:rsidRPr="00B51331" w:rsidRDefault="00793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793BEF" w:rsidRPr="00B51331">
      <w:headerReference w:type="default" r:id="rId10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E96D1" w14:textId="77777777" w:rsidR="00982D51" w:rsidRDefault="00982D51">
      <w:pPr>
        <w:spacing w:after="0" w:line="240" w:lineRule="auto"/>
      </w:pPr>
      <w:r>
        <w:separator/>
      </w:r>
    </w:p>
  </w:endnote>
  <w:endnote w:type="continuationSeparator" w:id="0">
    <w:p w14:paraId="58333ECC" w14:textId="77777777" w:rsidR="00982D51" w:rsidRDefault="0098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0C23" w14:textId="77777777" w:rsidR="00982D51" w:rsidRDefault="00982D51">
      <w:pPr>
        <w:spacing w:after="0" w:line="240" w:lineRule="auto"/>
      </w:pPr>
      <w:r>
        <w:separator/>
      </w:r>
    </w:p>
  </w:footnote>
  <w:footnote w:type="continuationSeparator" w:id="0">
    <w:p w14:paraId="70B464A0" w14:textId="77777777" w:rsidR="00982D51" w:rsidRDefault="0098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77777777" w:rsidR="00793BEF" w:rsidRDefault="001D76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7558E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33" w14:textId="77777777" w:rsidR="00793BEF" w:rsidRDefault="00793B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7147"/>
    <w:multiLevelType w:val="multilevel"/>
    <w:tmpl w:val="26F62A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3BEF"/>
    <w:rsid w:val="0018585B"/>
    <w:rsid w:val="001D7696"/>
    <w:rsid w:val="003748E9"/>
    <w:rsid w:val="003F5EB1"/>
    <w:rsid w:val="00793BEF"/>
    <w:rsid w:val="00836925"/>
    <w:rsid w:val="008A273F"/>
    <w:rsid w:val="00982D51"/>
    <w:rsid w:val="00B51331"/>
    <w:rsid w:val="00B7558E"/>
    <w:rsid w:val="00CE1046"/>
    <w:rsid w:val="00DD25B4"/>
    <w:rsid w:val="00FA459E"/>
    <w:rsid w:val="00FA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40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1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7240"/>
    <w:rPr>
      <w:rFonts w:ascii="Calibri" w:eastAsia="Calibri" w:hAnsi="Calibri" w:cs="Calibri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1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7240"/>
    <w:rPr>
      <w:rFonts w:ascii="Calibri" w:eastAsia="Calibri" w:hAnsi="Calibri" w:cs="Calibri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C9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2D8"/>
    <w:rPr>
      <w:rFonts w:ascii="Segoe UI" w:eastAsia="Calibri" w:hAnsi="Segoe UI" w:cs="Segoe UI"/>
      <w:sz w:val="18"/>
      <w:szCs w:val="1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AF37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37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376F"/>
    <w:rPr>
      <w:rFonts w:ascii="Calibri" w:eastAsia="Calibri" w:hAnsi="Calibri" w:cs="Calibri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37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376F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40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1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7240"/>
    <w:rPr>
      <w:rFonts w:ascii="Calibri" w:eastAsia="Calibri" w:hAnsi="Calibri" w:cs="Calibri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1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7240"/>
    <w:rPr>
      <w:rFonts w:ascii="Calibri" w:eastAsia="Calibri" w:hAnsi="Calibri" w:cs="Calibri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C9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2D8"/>
    <w:rPr>
      <w:rFonts w:ascii="Segoe UI" w:eastAsia="Calibri" w:hAnsi="Segoe UI" w:cs="Segoe UI"/>
      <w:sz w:val="18"/>
      <w:szCs w:val="1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AF37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37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376F"/>
    <w:rPr>
      <w:rFonts w:ascii="Calibri" w:eastAsia="Calibri" w:hAnsi="Calibri" w:cs="Calibri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37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376F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127-2015-%D0%BF/paran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vJYsr+/nAQYBjZnd+UJqHPRDg==">AMUW2mUM60QHmEbB1IJjLVGsi+yJJgEJznJ7HVzSClwjuip67yDeMxKgmOkOZ+wfnVpXcu84t0dptBgciGywZN4Q8/6/rMb4Dlw83Ymc5I2ZEM47wl4XiEE6Q1lgFQb5Rzz3iaTjzoD8TdDRRnRK0Co18XgGLWdmwarGHExZcNG5/ersrfv/t65fIgGCvjhOPPzYGjf6KPY2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АЛЬОНА МИХАЙЛIВНА</dc:creator>
  <cp:lastModifiedBy>User</cp:lastModifiedBy>
  <cp:revision>9</cp:revision>
  <dcterms:created xsi:type="dcterms:W3CDTF">2022-06-17T16:08:00Z</dcterms:created>
  <dcterms:modified xsi:type="dcterms:W3CDTF">2022-06-29T15:47:00Z</dcterms:modified>
</cp:coreProperties>
</file>