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45A" w:rsidRPr="006F345A" w:rsidRDefault="006F345A" w:rsidP="006F34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88645" cy="664845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5A" w:rsidRPr="006F345A" w:rsidRDefault="006F345A" w:rsidP="006F3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6F345A" w:rsidRPr="006F345A" w:rsidRDefault="006F345A" w:rsidP="006F3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6F345A" w:rsidRPr="006F345A" w:rsidRDefault="006F345A" w:rsidP="006F3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45A" w:rsidRPr="006F345A" w:rsidRDefault="006F345A" w:rsidP="006F3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F34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НАКАЗ</w:t>
      </w:r>
    </w:p>
    <w:p w:rsidR="006F345A" w:rsidRPr="006F345A" w:rsidRDefault="006F345A" w:rsidP="006F34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F345A" w:rsidRDefault="006F345A" w:rsidP="006F34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F345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6F3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Київ                                     № </w:t>
      </w:r>
    </w:p>
    <w:p w:rsidR="006F345A" w:rsidRPr="006F345A" w:rsidRDefault="006F345A" w:rsidP="006F3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C1CA2" w:rsidRDefault="005C1CA2" w:rsidP="006F3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345A" w:rsidRDefault="006F345A" w:rsidP="006F3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1CA2" w:rsidRPr="006F345A" w:rsidRDefault="005C1CA2" w:rsidP="006F3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45A" w:rsidRPr="006F345A" w:rsidRDefault="006F345A" w:rsidP="006F3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45A" w:rsidRPr="006F345A" w:rsidRDefault="006F345A" w:rsidP="006F3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F345A" w:rsidRPr="006F345A" w:rsidRDefault="006F345A" w:rsidP="006F345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F34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наказу </w:t>
      </w:r>
    </w:p>
    <w:p w:rsidR="006F345A" w:rsidRPr="006F345A" w:rsidRDefault="006F345A" w:rsidP="006F345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F34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Міністерства фінансів України</w:t>
      </w:r>
    </w:p>
    <w:p w:rsidR="006F345A" w:rsidRPr="006F345A" w:rsidRDefault="006F345A" w:rsidP="006F345A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F34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 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</w:t>
      </w:r>
      <w:r w:rsidRPr="006F34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берез</w:t>
      </w:r>
      <w:r w:rsidRPr="006F34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ня 200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</w:t>
      </w:r>
      <w:r w:rsidRPr="006F34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428</w:t>
      </w:r>
      <w:r w:rsidRPr="006F34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</w:t>
      </w:r>
    </w:p>
    <w:p w:rsidR="006F345A" w:rsidRPr="006F345A" w:rsidRDefault="006F345A" w:rsidP="006F345A">
      <w:pPr>
        <w:spacing w:before="120"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10"/>
          <w:szCs w:val="10"/>
          <w:lang w:eastAsia="uk-UA"/>
        </w:rPr>
      </w:pPr>
    </w:p>
    <w:p w:rsidR="006F345A" w:rsidRPr="006F345A" w:rsidRDefault="001913DD" w:rsidP="006F345A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метою удосконалення </w:t>
      </w:r>
      <w:r w:rsidRPr="001913DD">
        <w:rPr>
          <w:rFonts w:ascii="Times New Roman" w:hAnsi="Times New Roman" w:cs="Times New Roman"/>
          <w:sz w:val="28"/>
          <w:szCs w:val="28"/>
        </w:rPr>
        <w:t xml:space="preserve">Методики проведення фінансово-економічних розрахунків при підготовці проекту </w:t>
      </w:r>
      <w:proofErr w:type="spellStart"/>
      <w:r w:rsidRPr="001913DD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1913DD">
        <w:rPr>
          <w:rFonts w:ascii="Times New Roman" w:hAnsi="Times New Roman" w:cs="Times New Roman"/>
          <w:sz w:val="28"/>
          <w:szCs w:val="28"/>
        </w:rPr>
        <w:t xml:space="preserve">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</w:t>
      </w:r>
    </w:p>
    <w:p w:rsidR="006F345A" w:rsidRPr="006F345A" w:rsidRDefault="006F345A" w:rsidP="006F345A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F34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НАКАЗУЮ: </w:t>
      </w:r>
    </w:p>
    <w:p w:rsidR="005A1519" w:rsidRDefault="006F345A" w:rsidP="005A1519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F34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</w:t>
      </w:r>
      <w:r w:rsidRPr="008317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 </w:t>
      </w:r>
      <w:r w:rsidR="001913DD" w:rsidRPr="008317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 вступній частині</w:t>
      </w:r>
      <w:r w:rsidR="005A1519" w:rsidRPr="008317D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наказу</w:t>
      </w:r>
      <w:r w:rsidR="005A15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слова та цифри «пункту 3 §51 глави 2 розділу 6» замінити</w:t>
      </w:r>
      <w:r w:rsidR="005A1519" w:rsidRPr="005A15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5A151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словами та цифрами «пункту 3 §34 глави 2 розділу 4».</w:t>
      </w:r>
    </w:p>
    <w:p w:rsidR="001913DD" w:rsidRPr="005A1519" w:rsidRDefault="006F345A" w:rsidP="005A1519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34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2. </w:t>
      </w:r>
      <w:r w:rsidR="001913DD" w:rsidRPr="005A15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Затвердити Зміни до </w:t>
      </w:r>
      <w:r w:rsidR="001913DD" w:rsidRPr="005A1519">
        <w:rPr>
          <w:rFonts w:ascii="Times New Roman" w:hAnsi="Times New Roman" w:cs="Times New Roman"/>
          <w:sz w:val="28"/>
          <w:szCs w:val="28"/>
        </w:rPr>
        <w:t xml:space="preserve">Методики проведення фінансово-економічних розрахунків при підготовці проекту </w:t>
      </w:r>
      <w:proofErr w:type="spellStart"/>
      <w:r w:rsidR="001913DD" w:rsidRPr="005A151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1913DD" w:rsidRPr="005A1519">
        <w:rPr>
          <w:rFonts w:ascii="Times New Roman" w:hAnsi="Times New Roman" w:cs="Times New Roman"/>
          <w:sz w:val="28"/>
          <w:szCs w:val="28"/>
        </w:rPr>
        <w:t xml:space="preserve">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</w:t>
      </w:r>
      <w:r w:rsidR="001913DD" w:rsidRPr="005A151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затвердженої наказом Міністерства фінансів України від 21 березня 2008 року № 428, зареєстровано</w:t>
      </w:r>
      <w:r w:rsidR="00E90B20">
        <w:rPr>
          <w:rFonts w:ascii="Times New Roman" w:eastAsia="Times New Roman" w:hAnsi="Times New Roman" w:cs="Times New Roman"/>
          <w:sz w:val="28"/>
          <w:szCs w:val="28"/>
          <w:lang w:eastAsia="uk-UA"/>
        </w:rPr>
        <w:t>го</w:t>
      </w:r>
      <w:r w:rsidR="001913DD" w:rsidRPr="005A15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Міністерстві юстиції України 11 квітня 2008 року за                      № 297/14988,</w:t>
      </w:r>
      <w:r w:rsidR="00296D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0B2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виклавши її у новій редакції,</w:t>
      </w:r>
      <w:r w:rsidR="001913DD" w:rsidRPr="005A15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дода</w:t>
      </w:r>
      <w:r w:rsidR="00E90B20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1913DD" w:rsidRPr="005A1519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6F345A" w:rsidRPr="006F345A" w:rsidRDefault="006F345A" w:rsidP="006F345A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F345A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3</w:t>
      </w:r>
      <w:r w:rsidRPr="006F34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 Департаменту державного бюджету забезпечити подання цього наказу в установленому порядку на державну реєстрацію до Міністерства юстиції України.</w:t>
      </w:r>
    </w:p>
    <w:p w:rsidR="006F345A" w:rsidRPr="006F345A" w:rsidRDefault="006F345A" w:rsidP="006F345A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F34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4.</w:t>
      </w:r>
      <w:r w:rsidRPr="006F345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6F34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Департаменту </w:t>
      </w:r>
      <w:r w:rsidRPr="006E314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забезпечення комунікацій та організаційно-аналітичної роботи у</w:t>
      </w:r>
      <w:r w:rsidRPr="006F345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десятиденний строк з дня державної реєстрації цього наказу в Міністерстві юстиції України забезпечити його оприлюднення на офіційному веб-сайті Міністерства фінансів України в мережі Інтернет.</w:t>
      </w:r>
    </w:p>
    <w:p w:rsidR="006F345A" w:rsidRPr="006F345A" w:rsidRDefault="006F345A" w:rsidP="006F34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F34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Pr="006F345A">
        <w:rPr>
          <w:rFonts w:ascii="Times New Roman" w:eastAsia="Times New Roman" w:hAnsi="Times New Roman" w:cs="Times New Roman"/>
          <w:sz w:val="28"/>
          <w:szCs w:val="28"/>
          <w:lang w:eastAsia="uk-UA"/>
        </w:rPr>
        <w:t>. Цей наказ набирає чинності з дня його офіційного опублікування.</w:t>
      </w:r>
    </w:p>
    <w:p w:rsidR="006F345A" w:rsidRPr="006F345A" w:rsidRDefault="006F345A" w:rsidP="006F345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6F345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6</w:t>
      </w:r>
      <w:r w:rsidRPr="006F345A">
        <w:rPr>
          <w:rFonts w:ascii="Times New Roman" w:eastAsia="Times New Roman" w:hAnsi="Times New Roman" w:cs="Times New Roman"/>
          <w:sz w:val="28"/>
          <w:szCs w:val="28"/>
          <w:lang w:eastAsia="uk-UA"/>
        </w:rPr>
        <w:t>. Контроль за виконанням цього наказу покласти на заступника Міністра Мар</w:t>
      </w:r>
      <w:r w:rsidR="001913DD">
        <w:rPr>
          <w:rFonts w:ascii="Times New Roman" w:eastAsia="Times New Roman" w:hAnsi="Times New Roman" w:cs="Times New Roman"/>
          <w:sz w:val="28"/>
          <w:szCs w:val="28"/>
          <w:lang w:eastAsia="uk-UA"/>
        </w:rPr>
        <w:t>ченко</w:t>
      </w:r>
      <w:r w:rsidRPr="006F34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</w:t>
      </w:r>
      <w:r w:rsidR="001913D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</w:t>
      </w:r>
    </w:p>
    <w:p w:rsidR="006F345A" w:rsidRPr="006F345A" w:rsidRDefault="006F345A" w:rsidP="006F345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6F345A" w:rsidRPr="006F345A" w:rsidRDefault="006F345A" w:rsidP="006F345A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6F345A" w:rsidRPr="006F345A" w:rsidRDefault="006F345A" w:rsidP="006F34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34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Міністр                                                                                           О. ДАНИЛЮК</w:t>
      </w:r>
    </w:p>
    <w:p w:rsidR="006F345A" w:rsidRPr="006F345A" w:rsidRDefault="006F345A" w:rsidP="006F3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345A" w:rsidRPr="00E85215" w:rsidRDefault="006F345A" w:rsidP="006F34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800EB" w:rsidRDefault="00024FDA"/>
    <w:p w:rsidR="005A1519" w:rsidRDefault="005A1519"/>
    <w:p w:rsidR="005A1519" w:rsidRDefault="005A1519"/>
    <w:p w:rsidR="005A1519" w:rsidRDefault="005A1519"/>
    <w:p w:rsidR="005A1519" w:rsidRDefault="005A1519"/>
    <w:p w:rsidR="005A1519" w:rsidRDefault="005A1519"/>
    <w:p w:rsidR="005A1519" w:rsidRDefault="005A1519"/>
    <w:p w:rsidR="005A1519" w:rsidRDefault="005A1519"/>
    <w:p w:rsidR="005A1519" w:rsidRDefault="005A1519"/>
    <w:p w:rsidR="005A1519" w:rsidRDefault="005A1519"/>
    <w:p w:rsidR="005A1519" w:rsidRDefault="005A1519"/>
    <w:p w:rsidR="005A1519" w:rsidRDefault="005A1519"/>
    <w:p w:rsidR="005A1519" w:rsidRDefault="005A1519"/>
    <w:p w:rsidR="005A1519" w:rsidRDefault="005A1519"/>
    <w:p w:rsidR="005A1519" w:rsidRDefault="005A1519"/>
    <w:p w:rsidR="005A1519" w:rsidRDefault="005A1519"/>
    <w:p w:rsidR="005A1519" w:rsidRDefault="005A1519"/>
    <w:p w:rsidR="005C1CA2" w:rsidRDefault="005C1CA2"/>
    <w:p w:rsidR="005C1CA2" w:rsidRDefault="005C1CA2"/>
    <w:p w:rsidR="005C1CA2" w:rsidRDefault="005C1CA2"/>
    <w:p w:rsidR="005C1CA2" w:rsidRDefault="005C1CA2"/>
    <w:p w:rsidR="000919F3" w:rsidRDefault="005A1519" w:rsidP="00E90B20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450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ЗАТВЕРДЖЕНО </w:t>
      </w:r>
    </w:p>
    <w:p w:rsidR="000919F3" w:rsidRDefault="005A1519" w:rsidP="00E90B20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450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Наказ Міністерства фінансів України </w:t>
      </w:r>
    </w:p>
    <w:p w:rsidR="005A1519" w:rsidRPr="000919F3" w:rsidRDefault="005A1519" w:rsidP="00E90B20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450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21.03.2008 N 428 </w:t>
      </w:r>
    </w:p>
    <w:p w:rsidR="000919F3" w:rsidRPr="000919F3" w:rsidRDefault="005A1519" w:rsidP="00E90B20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1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(</w:t>
      </w:r>
      <w:r w:rsidR="00091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 w:rsidRPr="00091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редакції наказу </w:t>
      </w:r>
    </w:p>
    <w:p w:rsidR="005A1519" w:rsidRPr="000919F3" w:rsidRDefault="005A1519" w:rsidP="00E90B20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91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Міністерства </w:t>
      </w:r>
      <w:r w:rsidR="000919F3" w:rsidRPr="00091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фінансів України</w:t>
      </w:r>
    </w:p>
    <w:p w:rsidR="000919F3" w:rsidRDefault="000919F3" w:rsidP="00E90B20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</w:t>
      </w:r>
      <w:r w:rsidRPr="00091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ід</w:t>
      </w:r>
      <w:r w:rsidR="00293A6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</w:t>
      </w:r>
      <w:r w:rsidRPr="00091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</w:p>
    <w:p w:rsidR="00E90B20" w:rsidRDefault="005A1519" w:rsidP="00E90B20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o12"/>
      <w:bookmarkEnd w:id="0"/>
      <w:r w:rsidRPr="006450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Зареєстровано </w:t>
      </w:r>
    </w:p>
    <w:p w:rsidR="008A5638" w:rsidRDefault="005A1519" w:rsidP="00E90B20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450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 Міністерстві</w:t>
      </w:r>
      <w:r w:rsidRPr="000919F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6450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юстиції України </w:t>
      </w:r>
    </w:p>
    <w:p w:rsidR="005C1CA2" w:rsidRDefault="005A1519" w:rsidP="008A563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450D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</w:p>
    <w:p w:rsidR="008A5638" w:rsidRPr="008A5638" w:rsidRDefault="000919F3" w:rsidP="005C1CA2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638">
        <w:rPr>
          <w:rFonts w:ascii="Times New Roman" w:hAnsi="Times New Roman" w:cs="Times New Roman"/>
          <w:b/>
          <w:sz w:val="28"/>
          <w:szCs w:val="28"/>
        </w:rPr>
        <w:t xml:space="preserve">Методика проведення фінансово-економічних розрахунків при </w:t>
      </w:r>
    </w:p>
    <w:p w:rsidR="008A5638" w:rsidRPr="008A5638" w:rsidRDefault="000919F3" w:rsidP="005C1CA2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638">
        <w:rPr>
          <w:rFonts w:ascii="Times New Roman" w:hAnsi="Times New Roman" w:cs="Times New Roman"/>
          <w:b/>
          <w:sz w:val="28"/>
          <w:szCs w:val="28"/>
        </w:rPr>
        <w:t xml:space="preserve">підготовці проекту </w:t>
      </w:r>
      <w:proofErr w:type="spellStart"/>
      <w:r w:rsidRPr="008A5638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Pr="008A5638">
        <w:rPr>
          <w:rFonts w:ascii="Times New Roman" w:hAnsi="Times New Roman" w:cs="Times New Roman"/>
          <w:b/>
          <w:sz w:val="28"/>
          <w:szCs w:val="28"/>
        </w:rPr>
        <w:t xml:space="preserve"> Кабінету Міністрів України та законопроекту, </w:t>
      </w:r>
    </w:p>
    <w:p w:rsidR="008A5638" w:rsidRPr="008A5638" w:rsidRDefault="000919F3" w:rsidP="005C1CA2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638">
        <w:rPr>
          <w:rFonts w:ascii="Times New Roman" w:hAnsi="Times New Roman" w:cs="Times New Roman"/>
          <w:b/>
          <w:sz w:val="28"/>
          <w:szCs w:val="28"/>
        </w:rPr>
        <w:t xml:space="preserve">що вноситься у порядку законодавчої ініціативи Кабінетом Міністрів </w:t>
      </w:r>
    </w:p>
    <w:p w:rsidR="005A1519" w:rsidRPr="008A5638" w:rsidRDefault="000919F3" w:rsidP="005C1CA2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8A5638">
        <w:rPr>
          <w:rFonts w:ascii="Times New Roman" w:hAnsi="Times New Roman" w:cs="Times New Roman"/>
          <w:b/>
          <w:sz w:val="28"/>
          <w:szCs w:val="28"/>
        </w:rPr>
        <w:t>України на розгляд Верховної Ради України</w:t>
      </w:r>
    </w:p>
    <w:p w:rsidR="008A5638" w:rsidRDefault="008A5638" w:rsidP="008A5638">
      <w:pPr>
        <w:spacing w:after="0" w:line="240" w:lineRule="auto"/>
        <w:jc w:val="center"/>
        <w:outlineLvl w:val="2"/>
        <w:rPr>
          <w:rFonts w:ascii="Consolas" w:eastAsia="Times New Roman" w:hAnsi="Consolas" w:cs="Consolas"/>
          <w:b/>
          <w:color w:val="292B2C"/>
          <w:sz w:val="26"/>
          <w:szCs w:val="26"/>
          <w:lang w:eastAsia="uk-UA"/>
        </w:rPr>
      </w:pPr>
    </w:p>
    <w:p w:rsidR="005C1CA2" w:rsidRPr="008A5638" w:rsidRDefault="005C1CA2" w:rsidP="008A5638">
      <w:pPr>
        <w:spacing w:after="0" w:line="240" w:lineRule="auto"/>
        <w:jc w:val="center"/>
        <w:outlineLvl w:val="2"/>
        <w:rPr>
          <w:rFonts w:ascii="Consolas" w:eastAsia="Times New Roman" w:hAnsi="Consolas" w:cs="Consolas"/>
          <w:b/>
          <w:color w:val="292B2C"/>
          <w:sz w:val="26"/>
          <w:szCs w:val="26"/>
          <w:lang w:eastAsia="uk-UA"/>
        </w:rPr>
      </w:pPr>
    </w:p>
    <w:p w:rsidR="000919F3" w:rsidRPr="000919F3" w:rsidRDefault="000919F3" w:rsidP="00786052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Ця Методика встановлює вимоги до проведення фінансово-економічних розрахунків при підготовці проекту </w:t>
      </w:r>
      <w:proofErr w:type="spellStart"/>
      <w:r>
        <w:rPr>
          <w:rFonts w:ascii="Times New Roman" w:hAnsi="Times New Roman"/>
          <w:sz w:val="28"/>
        </w:rPr>
        <w:t>акта</w:t>
      </w:r>
      <w:proofErr w:type="spellEnd"/>
      <w:r>
        <w:rPr>
          <w:rFonts w:ascii="Times New Roman" w:hAnsi="Times New Roman"/>
          <w:sz w:val="28"/>
        </w:rPr>
        <w:t xml:space="preserve"> Кабінету Міністрів України та законопр</w:t>
      </w:r>
      <w:r w:rsidRPr="000919F3">
        <w:rPr>
          <w:rFonts w:ascii="Times New Roman" w:hAnsi="Times New Roman"/>
          <w:sz w:val="28"/>
        </w:rPr>
        <w:t xml:space="preserve">оекту, що вноситься у порядку законодавчої ініціативи Кабінетом Міністрів України на розгляд Верховної Ради України (далі - проект </w:t>
      </w:r>
      <w:proofErr w:type="spellStart"/>
      <w:r w:rsidRPr="000919F3">
        <w:rPr>
          <w:rFonts w:ascii="Times New Roman" w:hAnsi="Times New Roman"/>
          <w:sz w:val="28"/>
        </w:rPr>
        <w:t>акта</w:t>
      </w:r>
      <w:proofErr w:type="spellEnd"/>
      <w:r w:rsidRPr="000919F3">
        <w:rPr>
          <w:rFonts w:ascii="Times New Roman" w:hAnsi="Times New Roman"/>
          <w:sz w:val="28"/>
        </w:rPr>
        <w:t>), з метою визначення вартісної оцінки їх впливу на показники державного та/або місцевого бюджетів.</w:t>
      </w:r>
    </w:p>
    <w:p w:rsidR="000919F3" w:rsidRPr="000919F3" w:rsidRDefault="000919F3" w:rsidP="00786052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0919F3">
        <w:rPr>
          <w:rFonts w:ascii="Times New Roman" w:hAnsi="Times New Roman"/>
          <w:sz w:val="28"/>
        </w:rPr>
        <w:t xml:space="preserve">2. Фінансово-економічні розрахунки до проекту </w:t>
      </w:r>
      <w:proofErr w:type="spellStart"/>
      <w:r w:rsidRPr="000919F3">
        <w:rPr>
          <w:rFonts w:ascii="Times New Roman" w:hAnsi="Times New Roman"/>
          <w:sz w:val="28"/>
        </w:rPr>
        <w:t>акта</w:t>
      </w:r>
      <w:proofErr w:type="spellEnd"/>
      <w:r w:rsidRPr="000919F3">
        <w:rPr>
          <w:rFonts w:ascii="Times New Roman" w:hAnsi="Times New Roman"/>
          <w:sz w:val="28"/>
        </w:rPr>
        <w:t xml:space="preserve"> проводяться головним розробником проекту </w:t>
      </w:r>
      <w:proofErr w:type="spellStart"/>
      <w:r w:rsidRPr="000919F3">
        <w:rPr>
          <w:rFonts w:ascii="Times New Roman" w:hAnsi="Times New Roman"/>
          <w:sz w:val="28"/>
        </w:rPr>
        <w:t>акта</w:t>
      </w:r>
      <w:proofErr w:type="spellEnd"/>
      <w:r w:rsidRPr="000919F3">
        <w:rPr>
          <w:rFonts w:ascii="Times New Roman" w:hAnsi="Times New Roman"/>
          <w:sz w:val="28"/>
        </w:rPr>
        <w:t xml:space="preserve"> (далі - головний розробник), згідно з вимогами Регламенту Кабінету Міністрів України, затвердженого постановою Кабінету Міністрів України  від 18.07.2007 №950, та відповідно до цієї Методики.</w:t>
      </w:r>
    </w:p>
    <w:p w:rsidR="000919F3" w:rsidRPr="000919F3" w:rsidRDefault="000919F3" w:rsidP="00786052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0919F3">
        <w:rPr>
          <w:rFonts w:ascii="Times New Roman" w:hAnsi="Times New Roman"/>
          <w:sz w:val="28"/>
        </w:rPr>
        <w:t xml:space="preserve">3. Фінансово-економічні розрахунки до проекту </w:t>
      </w:r>
      <w:proofErr w:type="spellStart"/>
      <w:r w:rsidRPr="000919F3">
        <w:rPr>
          <w:rFonts w:ascii="Times New Roman" w:hAnsi="Times New Roman"/>
          <w:sz w:val="28"/>
        </w:rPr>
        <w:t>акта</w:t>
      </w:r>
      <w:proofErr w:type="spellEnd"/>
      <w:r w:rsidRPr="000919F3">
        <w:rPr>
          <w:rFonts w:ascii="Times New Roman" w:hAnsi="Times New Roman"/>
          <w:sz w:val="28"/>
        </w:rPr>
        <w:t xml:space="preserve"> передбачають визначення вартісної оцінки прямого та опосередкованого впливу проекту </w:t>
      </w:r>
      <w:proofErr w:type="spellStart"/>
      <w:r w:rsidRPr="000919F3">
        <w:rPr>
          <w:rFonts w:ascii="Times New Roman" w:hAnsi="Times New Roman"/>
          <w:sz w:val="28"/>
        </w:rPr>
        <w:t>акта</w:t>
      </w:r>
      <w:proofErr w:type="spellEnd"/>
      <w:r w:rsidRPr="000919F3">
        <w:rPr>
          <w:rFonts w:ascii="Times New Roman" w:hAnsi="Times New Roman"/>
          <w:sz w:val="28"/>
        </w:rPr>
        <w:t xml:space="preserve"> на надходження та витрати державного та/або місцевого бюджетів.</w:t>
      </w:r>
    </w:p>
    <w:p w:rsidR="000919F3" w:rsidRPr="000919F3" w:rsidRDefault="000919F3" w:rsidP="00786052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0919F3">
        <w:rPr>
          <w:rFonts w:ascii="Times New Roman" w:hAnsi="Times New Roman"/>
          <w:sz w:val="28"/>
        </w:rPr>
        <w:lastRenderedPageBreak/>
        <w:t>4. До проведення фінансово-економічних розрахунків головний розробник:</w:t>
      </w:r>
    </w:p>
    <w:p w:rsidR="000919F3" w:rsidRPr="000919F3" w:rsidRDefault="000919F3" w:rsidP="006E46A4">
      <w:pPr>
        <w:pStyle w:val="a5"/>
        <w:spacing w:after="0" w:line="360" w:lineRule="auto"/>
        <w:ind w:left="-65" w:firstLine="774"/>
        <w:jc w:val="both"/>
        <w:outlineLvl w:val="2"/>
        <w:rPr>
          <w:rFonts w:ascii="Times New Roman" w:hAnsi="Times New Roman"/>
          <w:sz w:val="28"/>
        </w:rPr>
      </w:pPr>
      <w:r w:rsidRPr="000919F3">
        <w:rPr>
          <w:rFonts w:ascii="Times New Roman" w:hAnsi="Times New Roman"/>
          <w:sz w:val="28"/>
        </w:rPr>
        <w:t>здійснює аналіз проблеми</w:t>
      </w:r>
      <w:r w:rsidR="00581F59">
        <w:rPr>
          <w:rFonts w:ascii="Times New Roman" w:hAnsi="Times New Roman"/>
          <w:sz w:val="28"/>
        </w:rPr>
        <w:t>,</w:t>
      </w:r>
      <w:r w:rsidRPr="000919F3">
        <w:rPr>
          <w:rFonts w:ascii="Times New Roman" w:hAnsi="Times New Roman"/>
          <w:sz w:val="28"/>
        </w:rPr>
        <w:t xml:space="preserve"> на розв'язання якої спрямовується проект </w:t>
      </w:r>
      <w:proofErr w:type="spellStart"/>
      <w:r w:rsidRPr="000919F3">
        <w:rPr>
          <w:rFonts w:ascii="Times New Roman" w:hAnsi="Times New Roman"/>
          <w:sz w:val="28"/>
        </w:rPr>
        <w:t>акта</w:t>
      </w:r>
      <w:proofErr w:type="spellEnd"/>
      <w:r w:rsidRPr="000919F3">
        <w:rPr>
          <w:rFonts w:ascii="Times New Roman" w:hAnsi="Times New Roman"/>
          <w:sz w:val="28"/>
        </w:rPr>
        <w:t>, причини її виникнення; оцінює можливість розв’язання цієї проблеми за допомогою інших способів (розроблення альтернативних варіантів);</w:t>
      </w:r>
    </w:p>
    <w:p w:rsidR="000919F3" w:rsidRPr="000919F3" w:rsidRDefault="000919F3" w:rsidP="006E46A4">
      <w:pPr>
        <w:pStyle w:val="a5"/>
        <w:spacing w:after="0" w:line="360" w:lineRule="auto"/>
        <w:ind w:left="0" w:firstLine="709"/>
        <w:jc w:val="both"/>
        <w:outlineLvl w:val="2"/>
        <w:rPr>
          <w:rFonts w:ascii="Times New Roman" w:hAnsi="Times New Roman"/>
          <w:sz w:val="28"/>
        </w:rPr>
      </w:pPr>
      <w:r w:rsidRPr="000919F3">
        <w:rPr>
          <w:rFonts w:ascii="Times New Roman" w:hAnsi="Times New Roman"/>
          <w:sz w:val="28"/>
        </w:rPr>
        <w:t xml:space="preserve">встановлює механізм реалізації проекту </w:t>
      </w:r>
      <w:proofErr w:type="spellStart"/>
      <w:r w:rsidRPr="000919F3">
        <w:rPr>
          <w:rFonts w:ascii="Times New Roman" w:hAnsi="Times New Roman"/>
          <w:sz w:val="28"/>
        </w:rPr>
        <w:t>акта</w:t>
      </w:r>
      <w:proofErr w:type="spellEnd"/>
      <w:r w:rsidRPr="000919F3">
        <w:rPr>
          <w:rFonts w:ascii="Times New Roman" w:hAnsi="Times New Roman"/>
          <w:sz w:val="28"/>
        </w:rPr>
        <w:t>, позитивні або можливі негативні наслідки його дії</w:t>
      </w:r>
      <w:r w:rsidRPr="000919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(відповідно збільшення надходжень до бюджету або збитки та втрати бюджету);</w:t>
      </w:r>
    </w:p>
    <w:p w:rsidR="000919F3" w:rsidRPr="000919F3" w:rsidRDefault="000919F3" w:rsidP="006E46A4">
      <w:pPr>
        <w:pStyle w:val="a5"/>
        <w:spacing w:after="0" w:line="360" w:lineRule="auto"/>
        <w:ind w:left="34" w:firstLine="675"/>
        <w:jc w:val="both"/>
        <w:outlineLvl w:val="2"/>
        <w:rPr>
          <w:rFonts w:ascii="Times New Roman" w:hAnsi="Times New Roman"/>
          <w:sz w:val="28"/>
        </w:rPr>
      </w:pPr>
      <w:r w:rsidRPr="000919F3">
        <w:rPr>
          <w:rFonts w:ascii="Times New Roman" w:hAnsi="Times New Roman"/>
          <w:sz w:val="28"/>
        </w:rPr>
        <w:t>визначає очікувані результати щодо його прийняття;</w:t>
      </w:r>
    </w:p>
    <w:p w:rsidR="000919F3" w:rsidRPr="000919F3" w:rsidRDefault="000919F3" w:rsidP="006E46A4">
      <w:pPr>
        <w:pStyle w:val="a5"/>
        <w:shd w:val="clear" w:color="auto" w:fill="FFFFFF"/>
        <w:spacing w:after="0" w:line="360" w:lineRule="auto"/>
        <w:ind w:left="0" w:firstLine="675"/>
        <w:jc w:val="both"/>
        <w:outlineLvl w:val="2"/>
        <w:rPr>
          <w:rFonts w:ascii="Times New Roman" w:hAnsi="Times New Roman"/>
          <w:sz w:val="28"/>
        </w:rPr>
      </w:pPr>
      <w:r w:rsidRPr="000919F3">
        <w:rPr>
          <w:rFonts w:ascii="Times New Roman" w:hAnsi="Times New Roman"/>
          <w:sz w:val="28"/>
        </w:rPr>
        <w:t xml:space="preserve">розраховує кількісно вимірні показники (індикатори) для досягнення цілей, закріплених документами державного стратегічного планування (далі – стратегічні цілі), на виконання яких спрямована дія (або має пріоритетний вплив) проекту </w:t>
      </w:r>
      <w:proofErr w:type="spellStart"/>
      <w:r w:rsidRPr="000919F3">
        <w:rPr>
          <w:rFonts w:ascii="Times New Roman" w:hAnsi="Times New Roman"/>
          <w:sz w:val="28"/>
        </w:rPr>
        <w:t>акта</w:t>
      </w:r>
      <w:proofErr w:type="spellEnd"/>
      <w:r w:rsidRPr="000919F3">
        <w:rPr>
          <w:rFonts w:ascii="Times New Roman" w:hAnsi="Times New Roman"/>
          <w:sz w:val="28"/>
        </w:rPr>
        <w:t xml:space="preserve">. </w:t>
      </w:r>
    </w:p>
    <w:p w:rsidR="000919F3" w:rsidRPr="000919F3" w:rsidRDefault="000919F3" w:rsidP="006E46A4">
      <w:pPr>
        <w:shd w:val="clear" w:color="auto" w:fill="FFFFFF"/>
        <w:spacing w:after="0" w:line="360" w:lineRule="auto"/>
        <w:ind w:firstLine="675"/>
        <w:jc w:val="both"/>
        <w:rPr>
          <w:rFonts w:ascii="Courier New" w:eastAsia="Times New Roman" w:hAnsi="Courier New" w:cs="Courier New"/>
          <w:color w:val="5B9BD5"/>
          <w:sz w:val="20"/>
          <w:szCs w:val="20"/>
          <w:lang w:eastAsia="uk-UA"/>
          <w14:textFill>
            <w14:solidFill>
              <w14:srgbClr w14:val="5B9BD5">
                <w14:lumMod w14:val="50000"/>
              </w14:srgbClr>
            </w14:solidFill>
          </w14:textFill>
        </w:rPr>
      </w:pPr>
      <w:r w:rsidRPr="000919F3">
        <w:rPr>
          <w:rFonts w:ascii="Times New Roman" w:hAnsi="Times New Roman"/>
          <w:sz w:val="28"/>
        </w:rPr>
        <w:t>Індикатори визначаються головним розробником, порівнюючи поточне та планове значення показника із показниками (індикаторами) досягнення цілі та відносно кожної стратегічної цілі.</w:t>
      </w:r>
      <w:r w:rsidRPr="000919F3">
        <w:rPr>
          <w:rFonts w:ascii="Courier New" w:eastAsia="Times New Roman" w:hAnsi="Courier New" w:cs="Courier New"/>
          <w:color w:val="5B9BD5"/>
          <w:sz w:val="20"/>
          <w:szCs w:val="20"/>
          <w:lang w:eastAsia="uk-UA"/>
          <w14:textFill>
            <w14:solidFill>
              <w14:srgbClr w14:val="5B9BD5">
                <w14:lumMod w14:val="50000"/>
              </w14:srgbClr>
            </w14:solidFill>
          </w14:textFill>
        </w:rPr>
        <w:t xml:space="preserve"> </w:t>
      </w:r>
    </w:p>
    <w:p w:rsidR="000919F3" w:rsidRPr="000919F3" w:rsidRDefault="000919F3" w:rsidP="006E46A4">
      <w:pPr>
        <w:shd w:val="clear" w:color="auto" w:fill="FFFFFF"/>
        <w:spacing w:after="0" w:line="360" w:lineRule="auto"/>
        <w:ind w:firstLine="675"/>
        <w:jc w:val="both"/>
        <w:outlineLvl w:val="2"/>
        <w:rPr>
          <w:rFonts w:ascii="Times New Roman" w:hAnsi="Times New Roman"/>
          <w:sz w:val="28"/>
        </w:rPr>
      </w:pPr>
      <w:r w:rsidRPr="000919F3">
        <w:rPr>
          <w:rFonts w:ascii="Times New Roman" w:hAnsi="Times New Roman"/>
          <w:sz w:val="28"/>
        </w:rPr>
        <w:t xml:space="preserve">Якщо дія проекту </w:t>
      </w:r>
      <w:proofErr w:type="spellStart"/>
      <w:r w:rsidRPr="000919F3">
        <w:rPr>
          <w:rFonts w:ascii="Times New Roman" w:hAnsi="Times New Roman"/>
          <w:sz w:val="28"/>
        </w:rPr>
        <w:t>акта</w:t>
      </w:r>
      <w:proofErr w:type="spellEnd"/>
      <w:r w:rsidRPr="000919F3">
        <w:rPr>
          <w:rFonts w:ascii="Times New Roman" w:hAnsi="Times New Roman"/>
          <w:sz w:val="28"/>
        </w:rPr>
        <w:t xml:space="preserve"> розповсюджується на декілька галузей (сфер) стратегічні цілі визначаються розробником для кожної галузі (сфери) в якій здійснюється формування та реалізація державної політики.</w:t>
      </w:r>
    </w:p>
    <w:p w:rsidR="000919F3" w:rsidRPr="000919F3" w:rsidRDefault="000919F3" w:rsidP="006E46A4">
      <w:pPr>
        <w:shd w:val="clear" w:color="auto" w:fill="FFFFFF"/>
        <w:spacing w:after="0" w:line="360" w:lineRule="auto"/>
        <w:ind w:firstLine="675"/>
        <w:jc w:val="both"/>
        <w:outlineLvl w:val="2"/>
        <w:rPr>
          <w:rFonts w:ascii="Times New Roman" w:hAnsi="Times New Roman"/>
          <w:sz w:val="28"/>
        </w:rPr>
      </w:pPr>
      <w:r w:rsidRPr="000919F3">
        <w:rPr>
          <w:rFonts w:ascii="Times New Roman" w:hAnsi="Times New Roman"/>
          <w:sz w:val="28"/>
        </w:rPr>
        <w:t xml:space="preserve">Розрахунок індикаторів сприятиме чіткому розумінню щодо напряму руху змін, що будуть відбуватися із прийняттям проекту </w:t>
      </w:r>
      <w:proofErr w:type="spellStart"/>
      <w:r w:rsidRPr="000919F3">
        <w:rPr>
          <w:rFonts w:ascii="Times New Roman" w:hAnsi="Times New Roman"/>
          <w:sz w:val="28"/>
        </w:rPr>
        <w:t>акта</w:t>
      </w:r>
      <w:proofErr w:type="spellEnd"/>
      <w:r w:rsidRPr="000919F3">
        <w:rPr>
          <w:rFonts w:ascii="Times New Roman" w:hAnsi="Times New Roman"/>
          <w:sz w:val="28"/>
        </w:rPr>
        <w:t xml:space="preserve"> та кінцевого результату (плану), якого необхідно досягти у тій чи іншій галузі (сфер</w:t>
      </w:r>
      <w:r w:rsidR="00290D23">
        <w:rPr>
          <w:rFonts w:ascii="Times New Roman" w:hAnsi="Times New Roman"/>
          <w:sz w:val="28"/>
        </w:rPr>
        <w:t>і</w:t>
      </w:r>
      <w:r w:rsidRPr="000919F3">
        <w:rPr>
          <w:rFonts w:ascii="Times New Roman" w:hAnsi="Times New Roman"/>
          <w:sz w:val="28"/>
        </w:rPr>
        <w:t>) для досягнення стратегічної цілі.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1969"/>
        <w:gridCol w:w="1560"/>
        <w:gridCol w:w="1559"/>
        <w:gridCol w:w="1559"/>
        <w:gridCol w:w="1276"/>
      </w:tblGrid>
      <w:tr w:rsidR="00290AA3" w:rsidRPr="000919F3" w:rsidTr="000919F3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Стратегічна ціль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Показники (індикатори)</w:t>
            </w: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досягнення цілей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Розрахунок показника (індикатора)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Показники до набрання чинності проекту </w:t>
            </w:r>
            <w:proofErr w:type="spellStart"/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Показники</w:t>
            </w:r>
          </w:p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урахуванням прийняття</w:t>
            </w:r>
          </w:p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проекту </w:t>
            </w:r>
            <w:proofErr w:type="spellStart"/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акта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Кінцевий результат (План)</w:t>
            </w:r>
          </w:p>
        </w:tc>
      </w:tr>
      <w:tr w:rsidR="00290AA3" w:rsidRPr="000919F3" w:rsidTr="000919F3">
        <w:tc>
          <w:tcPr>
            <w:tcW w:w="143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(Ціль 1)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(Індикатор 1.1)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90AA3" w:rsidRPr="000919F3" w:rsidTr="000919F3">
        <w:tc>
          <w:tcPr>
            <w:tcW w:w="143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(Індикатор 1.2)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90AA3" w:rsidRPr="000919F3" w:rsidTr="000919F3">
        <w:tc>
          <w:tcPr>
            <w:tcW w:w="1433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(Ціль 2)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(Індикатор 2.1)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90AA3" w:rsidRPr="000919F3" w:rsidTr="000919F3"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0919F3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(Індикатор 2.2)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19F3" w:rsidRPr="000919F3" w:rsidRDefault="000919F3" w:rsidP="00290A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1E5097" w:rsidRDefault="001E5097" w:rsidP="006E46A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0919F3" w:rsidRPr="000919F3" w:rsidRDefault="000919F3" w:rsidP="006E46A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0919F3">
        <w:rPr>
          <w:rFonts w:ascii="Times New Roman" w:hAnsi="Times New Roman"/>
          <w:sz w:val="28"/>
        </w:rPr>
        <w:lastRenderedPageBreak/>
        <w:t xml:space="preserve">5. За результатами реалізації заходів, передбачених пунктом 4 цієї Методики, головний розробник визначає перелік базових показників, які необхідні для фінансово-економічного розрахунку проекту </w:t>
      </w:r>
      <w:proofErr w:type="spellStart"/>
      <w:r w:rsidRPr="000919F3">
        <w:rPr>
          <w:rFonts w:ascii="Times New Roman" w:hAnsi="Times New Roman"/>
          <w:sz w:val="28"/>
        </w:rPr>
        <w:t>акта</w:t>
      </w:r>
      <w:proofErr w:type="spellEnd"/>
      <w:r w:rsidRPr="000919F3">
        <w:rPr>
          <w:rFonts w:ascii="Times New Roman" w:hAnsi="Times New Roman"/>
          <w:sz w:val="28"/>
        </w:rPr>
        <w:t>, наприклад:</w:t>
      </w:r>
    </w:p>
    <w:p w:rsidR="000919F3" w:rsidRPr="000919F3" w:rsidRDefault="000919F3" w:rsidP="006E46A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0919F3">
        <w:rPr>
          <w:rFonts w:ascii="Times New Roman" w:hAnsi="Times New Roman"/>
          <w:sz w:val="28"/>
        </w:rPr>
        <w:t>цільову аудиторію, яка відноситься до відповідної галузі (</w:t>
      </w:r>
      <w:bookmarkStart w:id="1" w:name="_GoBack"/>
      <w:r w:rsidRPr="000919F3">
        <w:rPr>
          <w:rFonts w:ascii="Times New Roman" w:hAnsi="Times New Roman"/>
          <w:sz w:val="28"/>
        </w:rPr>
        <w:t>сфер</w:t>
      </w:r>
      <w:bookmarkEnd w:id="1"/>
      <w:r w:rsidRPr="000919F3">
        <w:rPr>
          <w:rFonts w:ascii="Times New Roman" w:hAnsi="Times New Roman"/>
          <w:sz w:val="28"/>
        </w:rPr>
        <w:t xml:space="preserve">и) правового регулювання; </w:t>
      </w:r>
    </w:p>
    <w:p w:rsidR="000919F3" w:rsidRPr="000919F3" w:rsidRDefault="000919F3" w:rsidP="006E46A4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0919F3">
        <w:rPr>
          <w:rFonts w:ascii="Times New Roman" w:hAnsi="Times New Roman"/>
          <w:sz w:val="28"/>
        </w:rPr>
        <w:t xml:space="preserve">перелік показників прямих витрат (наприклад, контингент осіб, що підпадають під дію </w:t>
      </w:r>
      <w:proofErr w:type="spellStart"/>
      <w:r w:rsidRPr="000919F3">
        <w:rPr>
          <w:rFonts w:ascii="Times New Roman" w:hAnsi="Times New Roman"/>
          <w:sz w:val="28"/>
        </w:rPr>
        <w:t>акта</w:t>
      </w:r>
      <w:proofErr w:type="spellEnd"/>
      <w:r w:rsidRPr="000919F3">
        <w:rPr>
          <w:rFonts w:ascii="Times New Roman" w:hAnsi="Times New Roman"/>
          <w:sz w:val="28"/>
        </w:rPr>
        <w:t>; обсяг товарів, робіт і послуг у розрізі регіонів та/або у розрахунку на одну особу, витрати на утримання  установи (у разі створення нової або збільшення чисельності бюджетних установ); коло пільговиків тощо).</w:t>
      </w:r>
    </w:p>
    <w:p w:rsidR="005A1519" w:rsidRDefault="000919F3" w:rsidP="006E46A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19F3">
        <w:rPr>
          <w:rFonts w:ascii="Times New Roman" w:hAnsi="Times New Roman"/>
          <w:sz w:val="28"/>
        </w:rPr>
        <w:t>Визначення вартості базових показників здійснюється із урахуванням норм, нормативів, стандартів, ставок, лімітів тощо, встановлених законодавством у відповідній галузі (сфер</w:t>
      </w:r>
      <w:r w:rsidR="00290D23">
        <w:rPr>
          <w:rFonts w:ascii="Times New Roman" w:hAnsi="Times New Roman"/>
          <w:sz w:val="28"/>
        </w:rPr>
        <w:t>і</w:t>
      </w:r>
      <w:r w:rsidRPr="000919F3">
        <w:rPr>
          <w:rFonts w:ascii="Times New Roman" w:hAnsi="Times New Roman"/>
          <w:sz w:val="28"/>
        </w:rPr>
        <w:t xml:space="preserve">) правового регулювання, а також з використанням офіційних статистичних даних, даних органів державної влади та органів </w:t>
      </w:r>
      <w:r w:rsidR="00786052">
        <w:rPr>
          <w:rFonts w:ascii="Times New Roman" w:hAnsi="Times New Roman"/>
          <w:sz w:val="28"/>
        </w:rPr>
        <w:t>міс</w:t>
      </w:r>
      <w:r w:rsidRPr="000919F3">
        <w:rPr>
          <w:rFonts w:ascii="Times New Roman" w:hAnsi="Times New Roman"/>
          <w:sz w:val="28"/>
        </w:rPr>
        <w:t>цевого самоврядування, підвідомчих установ, наукових організацій, висновків експертів, власних спостережень і досліджень тощо із зазначенням джерел інформації.</w:t>
      </w:r>
    </w:p>
    <w:p w:rsidR="00290AA3" w:rsidRPr="00290AA3" w:rsidRDefault="00290AA3" w:rsidP="00C3325B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6. </w:t>
      </w: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Головний розробник на підставі визначених базових показників здійснює фінансово-економічні розрахунки до проекту </w:t>
      </w:r>
      <w:proofErr w:type="spellStart"/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 кожним видом надходжень та</w:t>
      </w:r>
      <w:r w:rsidR="00581F59">
        <w:rPr>
          <w:rFonts w:ascii="Times New Roman" w:eastAsiaTheme="minorEastAsia" w:hAnsi="Times New Roman" w:cs="Times New Roman"/>
          <w:sz w:val="28"/>
          <w:szCs w:val="28"/>
          <w:lang w:eastAsia="uk-UA"/>
        </w:rPr>
        <w:t>/або</w:t>
      </w: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витрат бюджету:</w:t>
      </w:r>
    </w:p>
    <w:p w:rsidR="00290AA3" w:rsidRPr="00290AA3" w:rsidRDefault="00290AA3" w:rsidP="006E46A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uk-UA"/>
        </w:rPr>
      </w:pP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>розраховує обсяги надходжень та</w:t>
      </w:r>
      <w:r w:rsidR="00581F59">
        <w:rPr>
          <w:rFonts w:ascii="Times New Roman" w:eastAsiaTheme="minorEastAsia" w:hAnsi="Times New Roman" w:cs="Times New Roman"/>
          <w:sz w:val="28"/>
          <w:szCs w:val="28"/>
          <w:lang w:eastAsia="uk-UA"/>
        </w:rPr>
        <w:t>/або</w:t>
      </w: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витрат бюджету згідно з проектом </w:t>
      </w:r>
      <w:proofErr w:type="spellStart"/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окремо за загальним і спеціальним фондами в розрізі кодів/категорій бюджетної класифікації, окремо для кожного відповідног</w:t>
      </w:r>
      <w:r w:rsidR="00CA6379">
        <w:rPr>
          <w:rFonts w:ascii="Times New Roman" w:eastAsiaTheme="minorEastAsia" w:hAnsi="Times New Roman" w:cs="Times New Roman"/>
          <w:sz w:val="28"/>
          <w:szCs w:val="28"/>
          <w:lang w:eastAsia="uk-UA"/>
        </w:rPr>
        <w:t>о розпорядника бюджетних коштів</w:t>
      </w:r>
      <w:r w:rsidR="00581F5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на кожний рік середньострокового періоду</w:t>
      </w: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; </w:t>
      </w:r>
    </w:p>
    <w:p w:rsidR="00290AA3" w:rsidRPr="00290AA3" w:rsidRDefault="00290AA3" w:rsidP="006E46A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порівнює обсяги витрат бюджету, які необхідні для реалізації проекту </w:t>
      </w:r>
      <w:proofErr w:type="spellStart"/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 обсягами, встановленими у державному та/або місцевому бюджетах на поточний бюджетний період </w:t>
      </w:r>
      <w:r w:rsidR="00581F59">
        <w:rPr>
          <w:rFonts w:ascii="Times New Roman" w:eastAsiaTheme="minorEastAsia" w:hAnsi="Times New Roman" w:cs="Times New Roman"/>
          <w:sz w:val="28"/>
          <w:szCs w:val="28"/>
          <w:lang w:eastAsia="uk-UA"/>
        </w:rPr>
        <w:t>т</w:t>
      </w: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а </w:t>
      </w:r>
      <w:r w:rsidR="00581F59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передбачені бюджетними документами на середньостроковий період</w:t>
      </w: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>;</w:t>
      </w:r>
    </w:p>
    <w:p w:rsidR="00290AA3" w:rsidRPr="00290AA3" w:rsidRDefault="00290AA3" w:rsidP="006E46A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розраховує загальну суму додаткових бюджетних коштів, яка необхідна для реалізації проекту </w:t>
      </w:r>
      <w:proofErr w:type="spellStart"/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="008317D2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на кожний рік </w:t>
      </w:r>
      <w:r w:rsidR="008317D2">
        <w:rPr>
          <w:rFonts w:ascii="Times New Roman" w:eastAsiaTheme="minorEastAsia" w:hAnsi="Times New Roman" w:cs="Times New Roman"/>
          <w:sz w:val="28"/>
          <w:szCs w:val="28"/>
          <w:lang w:eastAsia="uk-UA"/>
        </w:rPr>
        <w:t>середньост</w:t>
      </w:r>
      <w:r w:rsidR="008317D2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рокового </w:t>
      </w:r>
      <w:r w:rsidR="008317D2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період</w:t>
      </w:r>
      <w:r w:rsidR="008317D2">
        <w:rPr>
          <w:rFonts w:ascii="Times New Roman" w:eastAsiaTheme="minorEastAsia" w:hAnsi="Times New Roman" w:cs="Times New Roman"/>
          <w:sz w:val="28"/>
          <w:szCs w:val="28"/>
          <w:lang w:eastAsia="uk-UA"/>
        </w:rPr>
        <w:t>у</w:t>
      </w: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що дорівнює сумі додаткових витрат з бюджету та втрат </w:t>
      </w:r>
      <w:r w:rsidR="008317D2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надходжень </w:t>
      </w: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бюджету. </w:t>
      </w:r>
    </w:p>
    <w:p w:rsidR="00290AA3" w:rsidRPr="00290AA3" w:rsidRDefault="00290AA3" w:rsidP="006E46A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Фінансово-економічні розрахунки до проекту </w:t>
      </w:r>
      <w:proofErr w:type="spellStart"/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мають бути детальними, точними, достовірними, враховувати вимоги законодавства у відповідній </w:t>
      </w:r>
      <w:r w:rsidRPr="00290AA3">
        <w:rPr>
          <w:rFonts w:ascii="Times New Roman" w:eastAsiaTheme="minorEastAsia" w:hAnsi="Times New Roman" w:cs="Times New Roman"/>
          <w:sz w:val="28"/>
          <w:szCs w:val="24"/>
          <w:lang w:eastAsia="uk-UA"/>
        </w:rPr>
        <w:t>галузі (сфер</w:t>
      </w:r>
      <w:r w:rsidR="008317D2">
        <w:rPr>
          <w:rFonts w:ascii="Times New Roman" w:eastAsiaTheme="minorEastAsia" w:hAnsi="Times New Roman" w:cs="Times New Roman"/>
          <w:sz w:val="28"/>
          <w:szCs w:val="24"/>
          <w:lang w:eastAsia="uk-UA"/>
        </w:rPr>
        <w:t>і</w:t>
      </w:r>
      <w:r w:rsidRPr="00290AA3">
        <w:rPr>
          <w:rFonts w:ascii="Times New Roman" w:eastAsiaTheme="minorEastAsia" w:hAnsi="Times New Roman" w:cs="Times New Roman"/>
          <w:sz w:val="28"/>
          <w:szCs w:val="24"/>
          <w:lang w:eastAsia="uk-UA"/>
        </w:rPr>
        <w:t>) правового регулювання</w:t>
      </w: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збалансованими: загальна сума додаткових бюджетних коштів, яка необхідна для реалізації проекту </w:t>
      </w:r>
      <w:proofErr w:type="spellStart"/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повинна бути забезпечена джерелами їх покриття із наданням пропозицій щодо збільшення надходжень до бюджету відповідно до нормативно-правових актів та/або пропозицій щодо скорочення витрат бюджету. </w:t>
      </w:r>
    </w:p>
    <w:p w:rsidR="00290AA3" w:rsidRPr="00290AA3" w:rsidRDefault="00290AA3" w:rsidP="006E46A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 пропозиціях зазначаються обсяги бюджетних коштів за відповідними кодами/категоріями бюджетної класифікації. </w:t>
      </w:r>
    </w:p>
    <w:p w:rsidR="00290AA3" w:rsidRPr="00290AA3" w:rsidRDefault="00290AA3" w:rsidP="006E46A4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290AA3">
        <w:rPr>
          <w:rFonts w:ascii="Times New Roman" w:eastAsiaTheme="minorEastAsia" w:hAnsi="Times New Roman" w:cs="Times New Roman"/>
          <w:sz w:val="28"/>
          <w:szCs w:val="28"/>
          <w:lang w:eastAsia="uk-UA"/>
        </w:rPr>
        <w:t>Якщо передбачається створення нової бюджетної установи (або нового структурного підрозділу такої установи), головному розробнику необхідно визначити обґрунтовані прогнозні показники видатків на забезпечення діяльності нового органу (структурного підрозділу).</w:t>
      </w:r>
    </w:p>
    <w:p w:rsidR="00290AA3" w:rsidRDefault="00290AA3" w:rsidP="006E46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A3">
        <w:rPr>
          <w:rFonts w:ascii="Times New Roman" w:hAnsi="Times New Roman" w:cs="Times New Roman"/>
          <w:sz w:val="28"/>
          <w:szCs w:val="28"/>
        </w:rPr>
        <w:t xml:space="preserve">Обсяг додаткових бюджетних коштів необхідних для реалізації проекту </w:t>
      </w:r>
      <w:proofErr w:type="spellStart"/>
      <w:r w:rsidRPr="00290AA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90AA3">
        <w:rPr>
          <w:rFonts w:ascii="Times New Roman" w:hAnsi="Times New Roman" w:cs="Times New Roman"/>
          <w:sz w:val="28"/>
          <w:szCs w:val="28"/>
        </w:rPr>
        <w:t xml:space="preserve"> не повинен призвести до збільшення обсягів державного </w:t>
      </w:r>
      <w:r w:rsidRPr="008317D2">
        <w:rPr>
          <w:rFonts w:ascii="Times New Roman" w:hAnsi="Times New Roman" w:cs="Times New Roman"/>
          <w:sz w:val="28"/>
          <w:szCs w:val="28"/>
        </w:rPr>
        <w:t>та</w:t>
      </w:r>
      <w:r w:rsidR="00397169" w:rsidRPr="008317D2">
        <w:rPr>
          <w:rFonts w:ascii="Times New Roman" w:hAnsi="Times New Roman" w:cs="Times New Roman"/>
          <w:sz w:val="28"/>
          <w:szCs w:val="28"/>
        </w:rPr>
        <w:t>/або</w:t>
      </w:r>
      <w:r w:rsidRPr="008317D2">
        <w:rPr>
          <w:rFonts w:ascii="Times New Roman" w:hAnsi="Times New Roman" w:cs="Times New Roman"/>
          <w:sz w:val="28"/>
          <w:szCs w:val="28"/>
        </w:rPr>
        <w:t xml:space="preserve"> місцевого боргу, державних та</w:t>
      </w:r>
      <w:r w:rsidR="00397169" w:rsidRPr="008317D2">
        <w:rPr>
          <w:rFonts w:ascii="Times New Roman" w:hAnsi="Times New Roman" w:cs="Times New Roman"/>
          <w:sz w:val="28"/>
          <w:szCs w:val="28"/>
        </w:rPr>
        <w:t>/або</w:t>
      </w:r>
      <w:r w:rsidRPr="008317D2">
        <w:rPr>
          <w:rFonts w:ascii="Times New Roman" w:hAnsi="Times New Roman" w:cs="Times New Roman"/>
          <w:sz w:val="28"/>
          <w:szCs w:val="28"/>
        </w:rPr>
        <w:t xml:space="preserve"> місцевих гарантій щодо виконання</w:t>
      </w:r>
      <w:r w:rsidRPr="00290AA3">
        <w:rPr>
          <w:rFonts w:ascii="Times New Roman" w:hAnsi="Times New Roman" w:cs="Times New Roman"/>
          <w:sz w:val="28"/>
          <w:szCs w:val="28"/>
        </w:rPr>
        <w:t xml:space="preserve"> боргових зобов'язань, дефіциту бюджету (за винятком проектів актів, що передбачають реалізацію інвестиційних проектів із використанням кредитів (позик), залучених державою від іноземних держав, іноземних банків,</w:t>
      </w:r>
      <w:r w:rsidRPr="00290AA3" w:rsidDel="00162C61">
        <w:rPr>
          <w:rFonts w:ascii="Times New Roman" w:hAnsi="Times New Roman" w:cs="Times New Roman"/>
          <w:sz w:val="28"/>
          <w:szCs w:val="28"/>
        </w:rPr>
        <w:t xml:space="preserve"> </w:t>
      </w:r>
      <w:r w:rsidRPr="00290AA3">
        <w:rPr>
          <w:rFonts w:ascii="Times New Roman" w:hAnsi="Times New Roman" w:cs="Times New Roman"/>
          <w:sz w:val="28"/>
          <w:szCs w:val="28"/>
        </w:rPr>
        <w:t xml:space="preserve"> міжнародних фінансових організацій, іноземних кредитних установ та фондів).</w:t>
      </w:r>
    </w:p>
    <w:p w:rsidR="00290AA3" w:rsidRDefault="00290AA3" w:rsidP="00786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0AA3">
        <w:rPr>
          <w:rFonts w:ascii="Times New Roman" w:hAnsi="Times New Roman" w:cs="Times New Roman"/>
          <w:sz w:val="28"/>
          <w:szCs w:val="28"/>
        </w:rPr>
        <w:t xml:space="preserve">7. У разі наявності впливу проекту </w:t>
      </w:r>
      <w:proofErr w:type="spellStart"/>
      <w:r w:rsidRPr="00290AA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90AA3">
        <w:rPr>
          <w:rFonts w:ascii="Times New Roman" w:hAnsi="Times New Roman" w:cs="Times New Roman"/>
          <w:sz w:val="28"/>
          <w:szCs w:val="28"/>
        </w:rPr>
        <w:t xml:space="preserve"> на показники фондів загальнообов'язкового державного соціального і пенсійного страхування головний розробник проводить окремі розрахунки, про що зазначає у пункті 4 пояснювальної записки до проекту </w:t>
      </w:r>
      <w:proofErr w:type="spellStart"/>
      <w:r w:rsidRPr="00290AA3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290AA3">
        <w:rPr>
          <w:rFonts w:ascii="Times New Roman" w:hAnsi="Times New Roman" w:cs="Times New Roman"/>
          <w:sz w:val="28"/>
          <w:szCs w:val="28"/>
        </w:rPr>
        <w:t>.</w:t>
      </w:r>
    </w:p>
    <w:p w:rsidR="00DC33BC" w:rsidRPr="00DC33BC" w:rsidRDefault="007003A0" w:rsidP="00DC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C33BC" w:rsidRPr="00DC33BC">
        <w:rPr>
          <w:rFonts w:ascii="Times New Roman" w:hAnsi="Times New Roman" w:cs="Times New Roman"/>
          <w:sz w:val="28"/>
          <w:szCs w:val="28"/>
        </w:rPr>
        <w:t xml:space="preserve">До проекту </w:t>
      </w:r>
      <w:proofErr w:type="spellStart"/>
      <w:r w:rsidR="00DC33BC" w:rsidRPr="00DC33B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DC33BC" w:rsidRPr="00DC33BC">
        <w:rPr>
          <w:rFonts w:ascii="Times New Roman" w:hAnsi="Times New Roman" w:cs="Times New Roman"/>
          <w:sz w:val="28"/>
          <w:szCs w:val="28"/>
        </w:rPr>
        <w:t>, який містить положення щодо:</w:t>
      </w:r>
    </w:p>
    <w:p w:rsidR="00DC33BC" w:rsidRDefault="00DC33BC" w:rsidP="00DC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BC">
        <w:rPr>
          <w:rFonts w:ascii="Times New Roman" w:hAnsi="Times New Roman" w:cs="Times New Roman"/>
          <w:sz w:val="28"/>
          <w:szCs w:val="28"/>
        </w:rPr>
        <w:lastRenderedPageBreak/>
        <w:t xml:space="preserve">-  звільнення платника податків від обов'язку щодо нарахування та сплати податку та збору; сплати ним податку та збору в меншому розмірі, головний розробник в обов’язковому порядку до фінансово-економічних розрахунків додає обґрунтування доцільності такого звільнення із зазначенням підстав для надання таких податкових пільг; </w:t>
      </w:r>
    </w:p>
    <w:p w:rsidR="00DC33BC" w:rsidRPr="00DC33BC" w:rsidRDefault="00DC33BC" w:rsidP="00DC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BC">
        <w:rPr>
          <w:rFonts w:ascii="Times New Roman" w:hAnsi="Times New Roman" w:cs="Times New Roman"/>
          <w:sz w:val="28"/>
          <w:szCs w:val="28"/>
        </w:rPr>
        <w:t>- надання преференцій, головний розробник обов’язково додає обґрунтування доцільності із зазначенням підстав для надання таких преференцій.</w:t>
      </w:r>
    </w:p>
    <w:p w:rsidR="007003A0" w:rsidRDefault="007003A0" w:rsidP="007860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5746A" w:rsidRPr="00B5746A">
        <w:rPr>
          <w:rFonts w:ascii="Times New Roman" w:hAnsi="Times New Roman" w:cs="Times New Roman"/>
          <w:sz w:val="28"/>
          <w:szCs w:val="28"/>
        </w:rPr>
        <w:t>Фінансово-економічні розрахунки до проектів актів з питань надання державної підтримки (допомоги) та з реалізації заходів на виконання документів державного стратегічного планування здійснюються з урахуванням положень законодавства щодо надання державної підтримки (допомоги) та законодавства, що регулює відносини у цих галузях (сферах) відповідно.</w:t>
      </w:r>
    </w:p>
    <w:p w:rsidR="00DC33BC" w:rsidRPr="00DC33BC" w:rsidRDefault="003C45BE" w:rsidP="00DC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DC33BC" w:rsidRPr="00DC33BC">
        <w:rPr>
          <w:rFonts w:ascii="Times New Roman" w:hAnsi="Times New Roman" w:cs="Times New Roman"/>
          <w:sz w:val="28"/>
          <w:szCs w:val="28"/>
        </w:rPr>
        <w:t xml:space="preserve">До проекту </w:t>
      </w:r>
      <w:proofErr w:type="spellStart"/>
      <w:r w:rsidR="00DC33BC" w:rsidRPr="00DC33B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DC33BC" w:rsidRPr="00DC33BC">
        <w:rPr>
          <w:rFonts w:ascii="Times New Roman" w:hAnsi="Times New Roman" w:cs="Times New Roman"/>
          <w:sz w:val="28"/>
          <w:szCs w:val="28"/>
        </w:rPr>
        <w:t>, що передбачає збільшення витрат, державного комерційного та казенного підприємств, господарського товариства, у статутному капіталі якого є корпоративні права держави, господарського товариства, 50 і більше відсотків акцій (часток) якого належать господарському товариству, частка держави в якому становить 100 відсотків та які можуть впливати на базу оподаткування і надходження до бюджету, головний розробник додатково до фінансово-економічних розрахунків надає пропозиції щодо розширення виробництва та збереження рівня прибутковості діяльності підприємства.</w:t>
      </w:r>
    </w:p>
    <w:p w:rsidR="003C45BE" w:rsidRPr="00DC33BC" w:rsidRDefault="003C45BE" w:rsidP="00DC3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3BC">
        <w:rPr>
          <w:rFonts w:ascii="Times New Roman" w:hAnsi="Times New Roman" w:cs="Times New Roman"/>
          <w:sz w:val="28"/>
          <w:szCs w:val="28"/>
        </w:rPr>
        <w:t xml:space="preserve">11. Фінансово-економічні розрахунки відображаються в таблиці за формою «Зведені фінансово-економічні розрахунки до проекту </w:t>
      </w:r>
      <w:proofErr w:type="spellStart"/>
      <w:r w:rsidRPr="00DC33B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DC33BC">
        <w:rPr>
          <w:rFonts w:ascii="Times New Roman" w:hAnsi="Times New Roman" w:cs="Times New Roman"/>
          <w:sz w:val="28"/>
          <w:szCs w:val="28"/>
        </w:rPr>
        <w:t xml:space="preserve">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України» згідно з додатком  до цієї Методики окремо за державним та місцевим бюджетами та додаються до пояснювальної записки до проекту </w:t>
      </w:r>
      <w:proofErr w:type="spellStart"/>
      <w:r w:rsidRPr="00DC33BC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DC33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5BE" w:rsidRDefault="003C45BE" w:rsidP="007860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5BE">
        <w:rPr>
          <w:rFonts w:ascii="Times New Roman" w:hAnsi="Times New Roman" w:cs="Times New Roman"/>
          <w:sz w:val="28"/>
          <w:szCs w:val="28"/>
        </w:rPr>
        <w:lastRenderedPageBreak/>
        <w:t xml:space="preserve">Зведені фінансово-економічні розрахунки до проекту </w:t>
      </w:r>
      <w:proofErr w:type="spellStart"/>
      <w:r w:rsidRPr="003C45B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C45BE">
        <w:rPr>
          <w:rFonts w:ascii="Times New Roman" w:hAnsi="Times New Roman" w:cs="Times New Roman"/>
          <w:sz w:val="28"/>
          <w:szCs w:val="28"/>
        </w:rPr>
        <w:t xml:space="preserve"> підписуються відповідним керівником самостійного структурного підрозділу головного розробника проекту </w:t>
      </w:r>
      <w:proofErr w:type="spellStart"/>
      <w:r w:rsidRPr="003C45BE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3C45BE">
        <w:rPr>
          <w:rFonts w:ascii="Times New Roman" w:hAnsi="Times New Roman" w:cs="Times New Roman"/>
          <w:sz w:val="28"/>
          <w:szCs w:val="28"/>
        </w:rPr>
        <w:t>.</w:t>
      </w:r>
    </w:p>
    <w:p w:rsidR="00466DB7" w:rsidRDefault="003C45BE" w:rsidP="00DC33BC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 w:rsidRPr="003C45BE">
        <w:rPr>
          <w:sz w:val="28"/>
          <w:szCs w:val="28"/>
        </w:rPr>
        <w:t xml:space="preserve">12. Про результати фінансово-економічних розрахунків щодо вартісного впливу проекту </w:t>
      </w:r>
      <w:proofErr w:type="spellStart"/>
      <w:r w:rsidRPr="003C45BE">
        <w:rPr>
          <w:sz w:val="28"/>
          <w:szCs w:val="28"/>
        </w:rPr>
        <w:t>акта</w:t>
      </w:r>
      <w:proofErr w:type="spellEnd"/>
      <w:r w:rsidRPr="003C45BE">
        <w:rPr>
          <w:sz w:val="28"/>
          <w:szCs w:val="28"/>
        </w:rPr>
        <w:t xml:space="preserve"> на показники державного та/або місцевого бюджету головний розробник зазначає у пункті 4 пояснювальної записки до проекту </w:t>
      </w:r>
      <w:proofErr w:type="spellStart"/>
      <w:r w:rsidRPr="003C45BE">
        <w:rPr>
          <w:sz w:val="28"/>
          <w:szCs w:val="28"/>
        </w:rPr>
        <w:t>акта</w:t>
      </w:r>
      <w:proofErr w:type="spellEnd"/>
      <w:r w:rsidRPr="003C45BE">
        <w:rPr>
          <w:sz w:val="28"/>
          <w:szCs w:val="28"/>
        </w:rPr>
        <w:t xml:space="preserve">. </w:t>
      </w:r>
    </w:p>
    <w:p w:rsidR="005A1519" w:rsidRPr="00466DB7" w:rsidRDefault="003C45BE" w:rsidP="00DC33BC">
      <w:pPr>
        <w:pStyle w:val="a6"/>
        <w:spacing w:after="0" w:line="360" w:lineRule="auto"/>
        <w:ind w:firstLine="709"/>
        <w:jc w:val="both"/>
      </w:pPr>
      <w:r w:rsidRPr="003C45BE">
        <w:rPr>
          <w:sz w:val="28"/>
          <w:szCs w:val="28"/>
        </w:rPr>
        <w:t xml:space="preserve">Якщо реалізація такого </w:t>
      </w:r>
      <w:proofErr w:type="spellStart"/>
      <w:r w:rsidRPr="003C45BE">
        <w:rPr>
          <w:sz w:val="28"/>
          <w:szCs w:val="28"/>
        </w:rPr>
        <w:t>акта</w:t>
      </w:r>
      <w:proofErr w:type="spellEnd"/>
      <w:r w:rsidRPr="003C45BE">
        <w:rPr>
          <w:sz w:val="28"/>
          <w:szCs w:val="28"/>
        </w:rPr>
        <w:t xml:space="preserve"> не потребує додаткових бюджетних коштів, у тому числі з державного або місцевого бюджету, про це окремо зазначається у пояснювальній записці</w:t>
      </w:r>
      <w:r w:rsidR="00466DB7">
        <w:rPr>
          <w:sz w:val="28"/>
          <w:szCs w:val="28"/>
        </w:rPr>
        <w:t xml:space="preserve"> та обов’язково вказується в межах якої бюджетної програми, за рахунок якого фонду </w:t>
      </w:r>
      <w:r w:rsidR="00466DB7" w:rsidRPr="00466DB7">
        <w:rPr>
          <w:sz w:val="28"/>
          <w:szCs w:val="28"/>
        </w:rPr>
        <w:t xml:space="preserve">бюджету буде здійснюватися реалізація проекту </w:t>
      </w:r>
      <w:proofErr w:type="spellStart"/>
      <w:r w:rsidR="00466DB7" w:rsidRPr="00466DB7">
        <w:rPr>
          <w:sz w:val="28"/>
          <w:szCs w:val="28"/>
        </w:rPr>
        <w:t>акта</w:t>
      </w:r>
      <w:proofErr w:type="spellEnd"/>
      <w:r w:rsidRPr="00466DB7">
        <w:rPr>
          <w:sz w:val="28"/>
          <w:szCs w:val="28"/>
        </w:rPr>
        <w:t>.</w:t>
      </w:r>
    </w:p>
    <w:sectPr w:rsidR="005A1519" w:rsidRPr="00466DB7" w:rsidSect="005C1CA2">
      <w:headerReference w:type="default" r:id="rId9"/>
      <w:pgSz w:w="11906" w:h="16838"/>
      <w:pgMar w:top="360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FDA" w:rsidRDefault="00024FDA">
      <w:pPr>
        <w:spacing w:after="0" w:line="240" w:lineRule="auto"/>
      </w:pPr>
      <w:r>
        <w:separator/>
      </w:r>
    </w:p>
  </w:endnote>
  <w:endnote w:type="continuationSeparator" w:id="0">
    <w:p w:rsidR="00024FDA" w:rsidRDefault="0002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FDA" w:rsidRDefault="00024FDA">
      <w:pPr>
        <w:spacing w:after="0" w:line="240" w:lineRule="auto"/>
      </w:pPr>
      <w:r>
        <w:separator/>
      </w:r>
    </w:p>
  </w:footnote>
  <w:footnote w:type="continuationSeparator" w:id="0">
    <w:p w:rsidR="00024FDA" w:rsidRDefault="0002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84D" w:rsidRDefault="00E7484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0D23">
      <w:rPr>
        <w:noProof/>
      </w:rPr>
      <w:t>8</w:t>
    </w:r>
    <w:r>
      <w:rPr>
        <w:noProof/>
      </w:rPr>
      <w:fldChar w:fldCharType="end"/>
    </w:r>
  </w:p>
  <w:p w:rsidR="0034184D" w:rsidRDefault="00024F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5A"/>
    <w:rsid w:val="00001382"/>
    <w:rsid w:val="00024FDA"/>
    <w:rsid w:val="000919F3"/>
    <w:rsid w:val="001523BB"/>
    <w:rsid w:val="001913DD"/>
    <w:rsid w:val="001E5097"/>
    <w:rsid w:val="00290AA3"/>
    <w:rsid w:val="00290D23"/>
    <w:rsid w:val="00293A6D"/>
    <w:rsid w:val="00296DDE"/>
    <w:rsid w:val="0036147F"/>
    <w:rsid w:val="00397169"/>
    <w:rsid w:val="003C45BE"/>
    <w:rsid w:val="00466DB7"/>
    <w:rsid w:val="00472EF2"/>
    <w:rsid w:val="00581F59"/>
    <w:rsid w:val="005A1519"/>
    <w:rsid w:val="005C1CA2"/>
    <w:rsid w:val="006E314F"/>
    <w:rsid w:val="006E46A4"/>
    <w:rsid w:val="006F345A"/>
    <w:rsid w:val="007003A0"/>
    <w:rsid w:val="00786052"/>
    <w:rsid w:val="008317D2"/>
    <w:rsid w:val="008A5638"/>
    <w:rsid w:val="00AA50A2"/>
    <w:rsid w:val="00B5746A"/>
    <w:rsid w:val="00BC579A"/>
    <w:rsid w:val="00C3325B"/>
    <w:rsid w:val="00CA6379"/>
    <w:rsid w:val="00D2162A"/>
    <w:rsid w:val="00DC33BC"/>
    <w:rsid w:val="00E676D9"/>
    <w:rsid w:val="00E74849"/>
    <w:rsid w:val="00E85215"/>
    <w:rsid w:val="00E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3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345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6F34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3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0919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45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3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F345A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6F345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13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0919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45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95A6-AD97-43E2-B87C-9E17AA21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6935</Words>
  <Characters>3954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17</cp:revision>
  <cp:lastPrinted>2017-12-15T16:03:00Z</cp:lastPrinted>
  <dcterms:created xsi:type="dcterms:W3CDTF">2017-12-04T13:09:00Z</dcterms:created>
  <dcterms:modified xsi:type="dcterms:W3CDTF">2017-12-15T16:23:00Z</dcterms:modified>
</cp:coreProperties>
</file>