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120" w:lineRule="auto"/>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Проєкт листа</w:t>
      </w:r>
    </w:p>
    <w:p w:rsidR="00000000" w:rsidDel="00000000" w:rsidP="00000000" w:rsidRDefault="00000000" w:rsidRPr="00000000" w14:paraId="00000002">
      <w:pPr>
        <w:spacing w:after="0" w:before="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10180.0" w:type="dxa"/>
        <w:jc w:val="left"/>
        <w:tblLayout w:type="fixed"/>
        <w:tblLook w:val="0400"/>
      </w:tblPr>
      <w:tblGrid>
        <w:gridCol w:w="4882"/>
        <w:gridCol w:w="151"/>
        <w:gridCol w:w="5147"/>
        <w:tblGridChange w:id="0">
          <w:tblGrid>
            <w:gridCol w:w="4882"/>
            <w:gridCol w:w="151"/>
            <w:gridCol w:w="5147"/>
          </w:tblGrid>
        </w:tblGridChange>
      </w:tblGrid>
      <w:tr>
        <w:trPr>
          <w:cantSplit w:val="0"/>
          <w:tblHeader w:val="0"/>
        </w:trPr>
        <w:tc>
          <w:tcPr>
            <w:tcMar>
              <w:top w:w="72.0" w:type="dxa"/>
              <w:left w:w="120.0" w:type="dxa"/>
              <w:bottom w:w="72.0" w:type="dxa"/>
              <w:right w:w="120.0" w:type="dxa"/>
            </w:tcMar>
            <w:vAlign w:val="center"/>
          </w:tcPr>
          <w:p w:rsidR="00000000" w:rsidDel="00000000" w:rsidP="00000000" w:rsidRDefault="00000000" w:rsidRPr="00000000" w14:paraId="00000003">
            <w:pPr>
              <w:jc w:val="both"/>
              <w:rPr>
                <w:rFonts w:ascii="Times New Roman" w:cs="Times New Roman" w:eastAsia="Times New Roman" w:hAnsi="Times New Roman"/>
                <w:b w:val="1"/>
                <w:sz w:val="28"/>
                <w:szCs w:val="28"/>
              </w:rPr>
            </w:pPr>
            <w:r w:rsidDel="00000000" w:rsidR="00000000" w:rsidRPr="00000000">
              <w:rPr>
                <w:rtl w:val="0"/>
              </w:rPr>
            </w:r>
          </w:p>
        </w:tc>
        <w:tc>
          <w:tcPr>
            <w:gridSpan w:val="2"/>
            <w:tcMar>
              <w:top w:w="72.0" w:type="dxa"/>
              <w:left w:w="120.0" w:type="dxa"/>
              <w:bottom w:w="72.0" w:type="dxa"/>
              <w:right w:w="120.0" w:type="dxa"/>
            </w:tcMar>
            <w:vAlign w:val="bottom"/>
          </w:tcPr>
          <w:p w:rsidR="00000000" w:rsidDel="00000000" w:rsidP="00000000" w:rsidRDefault="00000000" w:rsidRPr="00000000" w14:paraId="0000000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Кабінет Міністрів України</w:t>
            </w:r>
          </w:p>
          <w:p w:rsidR="00000000" w:rsidDel="00000000" w:rsidP="00000000" w:rsidRDefault="00000000" w:rsidRPr="00000000" w14:paraId="0000000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Національне агентство з питань запобігання корупції</w:t>
            </w:r>
          </w:p>
        </w:tc>
      </w:tr>
      <w:tr>
        <w:trPr>
          <w:cantSplit w:val="0"/>
          <w:tblHeader w:val="0"/>
        </w:trPr>
        <w:tc>
          <w:tcPr>
            <w:tcMar>
              <w:top w:w="72.0" w:type="dxa"/>
              <w:left w:w="120.0" w:type="dxa"/>
              <w:bottom w:w="72.0" w:type="dxa"/>
              <w:right w:w="120.0" w:type="dxa"/>
            </w:tcMar>
          </w:tcPr>
          <w:p w:rsidR="00000000" w:rsidDel="00000000" w:rsidP="00000000" w:rsidRDefault="00000000" w:rsidRPr="00000000" w14:paraId="00000007">
            <w:pPr>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Копія:</w:t>
            </w:r>
          </w:p>
        </w:tc>
        <w:tc>
          <w:tcPr>
            <w:gridSpan w:val="2"/>
            <w:tcMar>
              <w:top w:w="72.0" w:type="dxa"/>
              <w:left w:w="120.0" w:type="dxa"/>
              <w:bottom w:w="72.0" w:type="dxa"/>
              <w:right w:w="120.0" w:type="dxa"/>
            </w:tcMar>
          </w:tcPr>
          <w:p w:rsidR="00000000" w:rsidDel="00000000" w:rsidP="00000000" w:rsidRDefault="00000000" w:rsidRPr="00000000" w14:paraId="0000000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Міністерство фінансів України</w:t>
            </w:r>
          </w:p>
          <w:p w:rsidR="00000000" w:rsidDel="00000000" w:rsidP="00000000" w:rsidRDefault="00000000" w:rsidRPr="00000000" w14:paraId="0000000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Державна митна служба України</w:t>
            </w:r>
          </w:p>
        </w:tc>
      </w:tr>
      <w:tr>
        <w:trPr>
          <w:cantSplit w:val="0"/>
          <w:tblHeader w:val="0"/>
        </w:trPr>
        <w:tc>
          <w:tcPr>
            <w:gridSpan w:val="2"/>
            <w:tcMar>
              <w:top w:w="72.0" w:type="dxa"/>
              <w:left w:w="120.0" w:type="dxa"/>
              <w:bottom w:w="72.0" w:type="dxa"/>
              <w:right w:w="120.0" w:type="dxa"/>
            </w:tcMar>
            <w:vAlign w:val="center"/>
          </w:tcPr>
          <w:p w:rsidR="00000000" w:rsidDel="00000000" w:rsidP="00000000" w:rsidRDefault="00000000" w:rsidRPr="00000000" w14:paraId="0000000B">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i w:val="1"/>
                <w:rtl w:val="0"/>
              </w:rPr>
              <w:t xml:space="preserve">Щодо перегляду дієвості заходу 2.3.1.3.1 Державної антикорупційної програми на 2023-2025 роки</w:t>
            </w:r>
            <w:r w:rsidDel="00000000" w:rsidR="00000000" w:rsidRPr="00000000">
              <w:rPr>
                <w:rtl w:val="0"/>
              </w:rPr>
            </w:r>
          </w:p>
        </w:tc>
        <w:tc>
          <w:tcPr>
            <w:tcMar>
              <w:top w:w="72.0" w:type="dxa"/>
              <w:left w:w="120.0" w:type="dxa"/>
              <w:bottom w:w="72.0" w:type="dxa"/>
              <w:right w:w="120.0" w:type="dxa"/>
            </w:tcMar>
            <w:vAlign w:val="bottom"/>
          </w:tcPr>
          <w:p w:rsidR="00000000" w:rsidDel="00000000" w:rsidP="00000000" w:rsidRDefault="00000000" w:rsidRPr="00000000" w14:paraId="0000000D">
            <w:pPr>
              <w:rPr>
                <w:rFonts w:ascii="Times New Roman" w:cs="Times New Roman" w:eastAsia="Times New Roman" w:hAnsi="Times New Roman"/>
                <w:b w:val="1"/>
                <w:i w:val="1"/>
              </w:rPr>
            </w:pPr>
            <w:r w:rsidDel="00000000" w:rsidR="00000000" w:rsidRPr="00000000">
              <w:rPr>
                <w:rtl w:val="0"/>
              </w:rPr>
            </w:r>
          </w:p>
        </w:tc>
      </w:tr>
    </w:tbl>
    <w:p w:rsidR="00000000" w:rsidDel="00000000" w:rsidP="00000000" w:rsidRDefault="00000000" w:rsidRPr="00000000" w14:paraId="0000000E">
      <w:pPr>
        <w:spacing w:after="0" w:before="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Шановні панове,</w:t>
      </w:r>
    </w:p>
    <w:p w:rsidR="00000000" w:rsidDel="00000000" w:rsidP="00000000" w:rsidRDefault="00000000" w:rsidRPr="00000000" w14:paraId="0000000F">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Факт розроблення Національним агентством з питань запобігання корупції проекту Закону України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 викликав доволі активні дискусії в тій частині громадянського суспільства, яка через існуючі платформи залучена до взаємодії з різними органами державної влади України з питань митної справи. </w:t>
      </w:r>
    </w:p>
    <w:p w:rsidR="00000000" w:rsidDel="00000000" w:rsidP="00000000" w:rsidRDefault="00000000" w:rsidRPr="00000000" w14:paraId="00000010">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Громадською радою при Міністерстві фінансів України також, на своєму черговому засіданні 30.06.2025, було розглянуто питання щодо ймовірних наслідків прийняття Верховною Радою України зазначеного законопроекту (інформаційна довідка додається). </w:t>
      </w:r>
    </w:p>
    <w:p w:rsidR="00000000" w:rsidDel="00000000" w:rsidP="00000000" w:rsidRDefault="00000000" w:rsidRPr="00000000" w14:paraId="00000011">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результатами обговорення зроблено загальні висновки, що:</w:t>
      </w:r>
    </w:p>
    <w:p w:rsidR="00000000" w:rsidDel="00000000" w:rsidP="00000000" w:rsidRDefault="00000000" w:rsidRPr="00000000" w14:paraId="00000012">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позитивного ефекту, на який розраховував законодавець, приймаючи Антикорупційну стратегію на 2021-2025 роки (зокрема, йдеться про очікуваний стратегічний результат (3) підпункту 3.3.1 стратегії), досягнути прийняттям законопроекту не вдасться, в силу помилковості певних відправних припущень з боку розробників стратегії;  </w:t>
      </w:r>
    </w:p>
    <w:p w:rsidR="00000000" w:rsidDel="00000000" w:rsidP="00000000" w:rsidRDefault="00000000" w:rsidRPr="00000000" w14:paraId="00000013">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негативний ефект, що полягає в обмеженні передбаченого ст. 38 Конституції України права громадян на участь в управлінні державними справами, буде очевидним: Громадська рада при Держмитслужбі, за незмінності назви, отримає статус та перелік повноважень відмінні від тих, що існують за поточного стану регулювання (постанова КМУ від 03.11.2010 № 996).</w:t>
      </w:r>
    </w:p>
    <w:p w:rsidR="00000000" w:rsidDel="00000000" w:rsidP="00000000" w:rsidRDefault="00000000" w:rsidRPr="00000000" w14:paraId="00000014">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з рішенням, прийнятим Громадською радою при Міністерстві фінансів України за результатами розгляду цього питання, пропонуємо:</w:t>
      </w:r>
    </w:p>
    <w:p w:rsidR="00000000" w:rsidDel="00000000" w:rsidP="00000000" w:rsidRDefault="00000000" w:rsidRPr="00000000" w14:paraId="00000015">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 урахуванням наданої інформації переглянути рівень дієвості заходу 2.3.1.3.1 у загальній системі заходів, передбачених підрозділом 2.3 Державної антикорупційної програми на 2023-2025 роки (постанова КМУ від 04.03.2023 № 220).</w:t>
      </w:r>
    </w:p>
    <w:p w:rsidR="00000000" w:rsidDel="00000000" w:rsidP="00000000" w:rsidRDefault="00000000" w:rsidRPr="00000000" w14:paraId="00000016">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 залежності від результатів перегляду:</w:t>
      </w:r>
    </w:p>
    <w:p w:rsidR="00000000" w:rsidDel="00000000" w:rsidP="00000000" w:rsidRDefault="00000000" w:rsidRPr="00000000" w14:paraId="00000017">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або відкликати розроблений законопроект як такий, що не вирішує попередньо констатованих проблем;</w:t>
      </w:r>
    </w:p>
    <w:p w:rsidR="00000000" w:rsidDel="00000000" w:rsidP="00000000" w:rsidRDefault="00000000" w:rsidRPr="00000000" w14:paraId="00000018">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або замінити в законопроекті назву створюваного органу з «Громадська рада при центральному органі виконавчої влади, що реалізує державну митну політику» на «Рада громадського контролю за діяльністю митних органів».</w:t>
      </w:r>
    </w:p>
    <w:p w:rsidR="00000000" w:rsidDel="00000000" w:rsidP="00000000" w:rsidRDefault="00000000" w:rsidRPr="00000000" w14:paraId="00000019">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Просимо повідомити про результати розгляду цього листа. В разі наявності додаткових питань готові до їх обговорення та/або надання додаткової інформації.</w:t>
      </w:r>
    </w:p>
    <w:p w:rsidR="00000000" w:rsidDel="00000000" w:rsidP="00000000" w:rsidRDefault="00000000" w:rsidRPr="00000000" w14:paraId="0000001A">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before="120" w:line="240" w:lineRule="auto"/>
        <w:ind w:left="1843" w:hanging="113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Інформаційна довідка «Щодо питання закріплення на законодавчому рівні правового статусу Громадської ради при Держмитслужбі» - на 16 арк.</w:t>
      </w:r>
    </w:p>
    <w:p w:rsidR="00000000" w:rsidDel="00000000" w:rsidP="00000000" w:rsidRDefault="00000000" w:rsidRPr="00000000" w14:paraId="0000001C">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before="12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повагою,</w:t>
      </w:r>
    </w:p>
    <w:p w:rsidR="00000000" w:rsidDel="00000000" w:rsidP="00000000" w:rsidRDefault="00000000" w:rsidRPr="00000000" w14:paraId="0000001E">
      <w:pPr>
        <w:spacing w:after="0" w:before="12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Громадської ради </w:t>
      </w:r>
    </w:p>
    <w:p w:rsidR="00000000" w:rsidDel="00000000" w:rsidP="00000000" w:rsidRDefault="00000000" w:rsidRPr="00000000" w14:paraId="0000001F">
      <w:pPr>
        <w:spacing w:after="0" w:line="240" w:lineRule="auto"/>
        <w:ind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Міністерстві фінансів України                                    </w:t>
        <w:tab/>
        <w:t xml:space="preserve">         Олег ПЛАТОНОВ</w:t>
      </w:r>
    </w:p>
    <w:p w:rsidR="00000000" w:rsidDel="00000000" w:rsidP="00000000" w:rsidRDefault="00000000" w:rsidRPr="00000000" w14:paraId="00000020">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before="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before="12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 Л.Баязітов, т. +380 67 243 63 91</w:t>
      </w:r>
    </w:p>
    <w:p w:rsidR="00000000" w:rsidDel="00000000" w:rsidP="00000000" w:rsidRDefault="00000000" w:rsidRPr="00000000" w14:paraId="00000023">
      <w:pPr>
        <w:spacing w:after="0" w:before="120" w:line="240" w:lineRule="auto"/>
        <w:jc w:val="both"/>
        <w:rPr>
          <w:rFonts w:ascii="Times New Roman" w:cs="Times New Roman" w:eastAsia="Times New Roman" w:hAnsi="Times New Roman"/>
          <w:sz w:val="24"/>
          <w:szCs w:val="24"/>
        </w:rPr>
      </w:pPr>
      <w:r w:rsidDel="00000000" w:rsidR="00000000" w:rsidRPr="00000000">
        <w:rPr>
          <w:rtl w:val="0"/>
        </w:rPr>
      </w:r>
    </w:p>
    <w:sectPr>
      <w:headerReference r:id="rId7" w:type="first"/>
      <w:footerReference r:id="rId8" w:type="default"/>
      <w:footerReference r:id="rId9" w:type="first"/>
      <w:pgSz w:h="16838" w:w="11906" w:orient="portrait"/>
      <w:pgMar w:bottom="851" w:top="709" w:left="1134" w:right="70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tabs>
        <w:tab w:val="center" w:leader="none" w:pos="4677"/>
        <w:tab w:val="right" w:leader="none" w:pos="9355"/>
      </w:tabs>
      <w:spacing w:after="0" w:line="240" w:lineRule="auto"/>
      <w:rPr/>
    </w:pPr>
    <w:r w:rsidDel="00000000" w:rsidR="00000000" w:rsidRPr="00000000">
      <w:rPr>
        <w:rFonts w:ascii="Times New Roman" w:cs="Times New Roman" w:eastAsia="Times New Roman" w:hAnsi="Times New Roman"/>
        <w:rtl w:val="0"/>
      </w:rPr>
      <w:t xml:space="preserve">Додаток №2 до Протоколу № 10 ГР при МФУ від 30.06.2025</w:t>
      <w:tab/>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tabs>
        <w:tab w:val="center" w:leader="none" w:pos="4677"/>
        <w:tab w:val="right" w:leader="none" w:pos="9355"/>
      </w:tabs>
      <w:spacing w:after="0" w:line="240" w:lineRule="auto"/>
      <w:rPr/>
    </w:pPr>
    <w:r w:rsidDel="00000000" w:rsidR="00000000" w:rsidRPr="00000000">
      <w:rPr>
        <w:rFonts w:ascii="Times New Roman" w:cs="Times New Roman" w:eastAsia="Times New Roman" w:hAnsi="Times New Roman"/>
        <w:rtl w:val="0"/>
      </w:rPr>
      <w:t xml:space="preserve">Додаток №2 до Протоколу № 10 ГР при МФУ від 30.06.2025</w:t>
      <w:tab/>
    </w: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ГРОМАДСЬКА РАДА</w:t>
      <w:br w:type="textWrapping"/>
      <w:t xml:space="preserve">при Міністерстві фінансів України</w:t>
    </w: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6">
    <w:pPr>
      <w:pBdr>
        <w:bottom w:color="1f497d" w:space="1" w:sz="24" w:val="single"/>
      </w:pBd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04071, м. Київ, вул. Межигірська 11, </w:t>
      <w:br w:type="textWrapping"/>
      <w:t xml:space="preserve">тел. (044) 201-56-30, e-mail: hromrada@minfin.gov.ua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93476"/>
    <w:pPr>
      <w:ind w:left="720"/>
      <w:contextualSpacing w:val="1"/>
    </w:pPr>
  </w:style>
  <w:style w:type="paragraph" w:styleId="Header">
    <w:name w:val="header"/>
    <w:basedOn w:val="Normal"/>
    <w:link w:val="HeaderChar"/>
    <w:uiPriority w:val="99"/>
    <w:unhideWhenUsed w:val="1"/>
    <w:rsid w:val="00597A1A"/>
    <w:pPr>
      <w:tabs>
        <w:tab w:val="center" w:pos="4677"/>
        <w:tab w:val="right" w:pos="9355"/>
      </w:tabs>
      <w:spacing w:after="0" w:line="240" w:lineRule="auto"/>
    </w:pPr>
  </w:style>
  <w:style w:type="character" w:styleId="HeaderChar" w:customStyle="1">
    <w:name w:val="Header Char"/>
    <w:basedOn w:val="DefaultParagraphFont"/>
    <w:link w:val="Header"/>
    <w:uiPriority w:val="99"/>
    <w:rsid w:val="00597A1A"/>
  </w:style>
  <w:style w:type="paragraph" w:styleId="Footer">
    <w:name w:val="footer"/>
    <w:basedOn w:val="Normal"/>
    <w:link w:val="FooterChar"/>
    <w:uiPriority w:val="99"/>
    <w:unhideWhenUsed w:val="1"/>
    <w:rsid w:val="00597A1A"/>
    <w:pPr>
      <w:tabs>
        <w:tab w:val="center" w:pos="4677"/>
        <w:tab w:val="right" w:pos="9355"/>
      </w:tabs>
      <w:spacing w:after="0" w:line="240" w:lineRule="auto"/>
    </w:pPr>
  </w:style>
  <w:style w:type="character" w:styleId="FooterChar" w:customStyle="1">
    <w:name w:val="Footer Char"/>
    <w:basedOn w:val="DefaultParagraphFont"/>
    <w:link w:val="Footer"/>
    <w:uiPriority w:val="99"/>
    <w:rsid w:val="00597A1A"/>
  </w:style>
  <w:style w:type="character" w:styleId="Strong">
    <w:name w:val="Strong"/>
    <w:basedOn w:val="DefaultParagraphFont"/>
    <w:uiPriority w:val="22"/>
    <w:qFormat w:val="1"/>
    <w:rsid w:val="00597A1A"/>
    <w:rPr>
      <w:b w:val="1"/>
      <w:bCs w:val="1"/>
    </w:rPr>
  </w:style>
  <w:style w:type="table" w:styleId="Table1">
    <w:basedOn w:val="TableNormal"/>
    <w:tblPr>
      <w:tblStyleRowBandSize w:val="1"/>
      <w:tblStyleColBandSize w:val="1"/>
      <w:tblCellMar>
        <w:top w:w="60.0" w:type="dxa"/>
        <w:left w:w="60.0" w:type="dxa"/>
        <w:bottom w:w="60.0" w:type="dxa"/>
        <w:right w:w="6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60.0" w:type="dxa"/>
        <w:left w:w="60.0" w:type="dxa"/>
        <w:bottom w:w="60.0" w:type="dxa"/>
        <w:right w:w="6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epkKK8kkN+9+809fDjzvpDU3dQ==">CgMxLjA4AHIhMVhXNXozS3ktZmd0VzVnanUtc3Zoc09vZGdPUEhJSkpx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2025-07-07T12:11:00Z</dcterms:created>
  <dc:creator>Faina Afonina</dc:creator>
</cp:coreProperties>
</file>