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сновной текст (2)"/>
        <w:shd w:val="clear" w:color="auto" w:fill="auto"/>
        <w:spacing w:after="120" w:line="240" w:lineRule="auto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ПОЯСНЮВАЛЬНА ЗАПИСКА</w:t>
      </w:r>
    </w:p>
    <w:p>
      <w:pPr>
        <w:pStyle w:val="Основной текст"/>
        <w:shd w:val="clear" w:color="auto" w:fill="auto"/>
        <w:spacing w:after="120" w:line="240" w:lineRule="auto"/>
        <w:rPr>
          <w:rFonts w:ascii="Times New Roman" w:cs="Times New Roman" w:hAnsi="Times New Roman" w:eastAsia="Times New Roman"/>
          <w:b w:val="1"/>
          <w:bCs w:val="1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</w:rPr>
        <w:t>до проекту наказу Міністерства фінансів України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</w:rPr>
        <w:t>Міністерства інфраструктури України «Про визнання такими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</w:rPr>
        <w:t>що втратили чинність</w:t>
      </w:r>
      <w:r>
        <w:rPr>
          <w:rFonts w:ascii="Times New Roman" w:hAnsi="Times New Roman"/>
          <w:b w:val="1"/>
          <w:bCs w:val="1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color w:val="000000"/>
          <w:sz w:val="28"/>
          <w:szCs w:val="28"/>
          <w:u w:color="000000"/>
          <w:rtl w:val="0"/>
        </w:rPr>
        <w:t>деяких наказів»</w:t>
      </w:r>
    </w:p>
    <w:p>
      <w:pPr>
        <w:pStyle w:val="Основной текст (2)"/>
        <w:numPr>
          <w:ilvl w:val="0"/>
          <w:numId w:val="2"/>
        </w:numPr>
        <w:shd w:val="clear" w:color="auto" w:fill="auto"/>
        <w:bidi w:val="0"/>
        <w:spacing w:before="240"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Обґрунтування необхідності прийняття акта</w:t>
      </w:r>
    </w:p>
    <w:p>
      <w:pPr>
        <w:pStyle w:val="Normal.0"/>
        <w:ind w:firstLine="720"/>
      </w:pPr>
      <w:r>
        <w:rPr>
          <w:rtl w:val="0"/>
        </w:rPr>
        <w:t>Накази Державної митної служби України</w:t>
      </w:r>
      <w:r>
        <w:rPr>
          <w:rtl w:val="0"/>
        </w:rPr>
        <w:t xml:space="preserve">, </w:t>
      </w:r>
      <w:r>
        <w:rPr>
          <w:rtl w:val="0"/>
        </w:rPr>
        <w:t>Державної служби України з нагляду за забезпеченням безпеки авіації «Про затвердження Порядку застосування окремих процедур митного контролю товарів</w:t>
      </w:r>
      <w:r>
        <w:rPr>
          <w:rtl w:val="0"/>
        </w:rPr>
        <w:t xml:space="preserve">, </w:t>
      </w:r>
      <w:r>
        <w:rPr>
          <w:rtl w:val="0"/>
        </w:rPr>
        <w:t xml:space="preserve">що ввозяться на митну територію України авіаційним транспортом за системою змішаних перевезень» від </w:t>
      </w:r>
      <w:r>
        <w:rPr>
          <w:rtl w:val="0"/>
        </w:rPr>
        <w:t xml:space="preserve">15.09.2004 </w:t>
      </w:r>
      <w:r>
        <w:rPr>
          <w:rtl w:val="0"/>
        </w:rPr>
        <w:t>р</w:t>
      </w:r>
      <w:r>
        <w:rPr>
          <w:rtl w:val="0"/>
        </w:rPr>
        <w:t xml:space="preserve">. </w:t>
      </w:r>
      <w:r>
        <w:rPr>
          <w:rtl w:val="0"/>
          <w:lang w:val="ru-RU"/>
        </w:rPr>
        <w:t>№ </w:t>
      </w:r>
      <w:r>
        <w:rPr>
          <w:rtl w:val="0"/>
        </w:rPr>
        <w:t xml:space="preserve">675/54, </w:t>
      </w:r>
      <w:r>
        <w:rPr>
          <w:rtl w:val="0"/>
        </w:rPr>
        <w:t xml:space="preserve">зареєстрований в Мінюсті </w:t>
      </w:r>
      <w:r>
        <w:rPr>
          <w:color w:val="000000"/>
          <w:u w:color="000000"/>
          <w:rtl w:val="0"/>
        </w:rPr>
        <w:t>України</w:t>
      </w:r>
      <w:r>
        <w:rPr>
          <w:rtl w:val="0"/>
        </w:rPr>
        <w:t xml:space="preserve"> 01.10.2004</w:t>
      </w:r>
      <w:r>
        <w:rPr>
          <w:rtl w:val="0"/>
          <w:lang w:val="ru-RU"/>
        </w:rPr>
        <w:t> р</w:t>
      </w:r>
      <w:r>
        <w:rPr>
          <w:rtl w:val="0"/>
        </w:rPr>
        <w:t xml:space="preserve">. </w:t>
      </w:r>
      <w:r>
        <w:rPr>
          <w:rtl w:val="0"/>
        </w:rPr>
        <w:t>за № </w:t>
      </w:r>
      <w:r>
        <w:rPr>
          <w:rtl w:val="0"/>
        </w:rPr>
        <w:t xml:space="preserve">1244/9843 </w:t>
      </w:r>
      <w:r>
        <w:rPr>
          <w:rtl w:val="0"/>
        </w:rPr>
        <w:t xml:space="preserve">та </w:t>
      </w:r>
      <w:r>
        <w:rPr>
          <w:color w:val="000000"/>
          <w:u w:color="000000"/>
          <w:rtl w:val="0"/>
        </w:rPr>
        <w:t xml:space="preserve">«Про внесення зміни до наказу Держмитслужби України та Державної служби України з нагляду за забезпеченням безпеки авіації від </w:t>
      </w:r>
      <w:r>
        <w:rPr>
          <w:color w:val="000000"/>
          <w:u w:color="000000"/>
          <w:rtl w:val="0"/>
        </w:rPr>
        <w:t xml:space="preserve">15.09.2004 </w:t>
      </w:r>
      <w:r>
        <w:rPr>
          <w:color w:val="000000"/>
          <w:u w:color="000000"/>
          <w:rtl w:val="0"/>
          <w:lang w:val="ru-RU"/>
        </w:rPr>
        <w:t>№ </w:t>
      </w:r>
      <w:r>
        <w:rPr>
          <w:color w:val="000000"/>
          <w:u w:color="000000"/>
          <w:rtl w:val="0"/>
        </w:rPr>
        <w:t>675/54</w:t>
      </w:r>
      <w:r>
        <w:rPr>
          <w:color w:val="000000"/>
          <w:u w:color="000000"/>
          <w:rtl w:val="0"/>
        </w:rPr>
        <w:t xml:space="preserve">» від </w:t>
      </w:r>
      <w:r>
        <w:rPr>
          <w:color w:val="000000"/>
          <w:u w:color="000000"/>
          <w:rtl w:val="0"/>
        </w:rPr>
        <w:t>30.03.2005</w:t>
      </w:r>
      <w:r>
        <w:rPr>
          <w:color w:val="000000"/>
          <w:u w:color="000000"/>
          <w:rtl w:val="0"/>
          <w:lang w:val="ru-RU"/>
        </w:rPr>
        <w:t> </w:t>
      </w:r>
      <w:r>
        <w:rPr>
          <w:color w:val="000000"/>
          <w:u w:color="000000"/>
          <w:rtl w:val="0"/>
        </w:rPr>
        <w:t>р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  <w:lang w:val="ru-RU"/>
        </w:rPr>
        <w:t>№ </w:t>
      </w:r>
      <w:r>
        <w:rPr>
          <w:color w:val="000000"/>
          <w:u w:color="000000"/>
          <w:rtl w:val="0"/>
        </w:rPr>
        <w:t xml:space="preserve">224/231, </w:t>
      </w:r>
      <w:r>
        <w:rPr>
          <w:color w:val="000000"/>
          <w:u w:color="000000"/>
          <w:rtl w:val="0"/>
        </w:rPr>
        <w:t xml:space="preserve">зареєстрований в </w:t>
      </w:r>
      <w:r>
        <w:rPr>
          <w:rtl w:val="0"/>
        </w:rPr>
        <w:t xml:space="preserve">Мінюсті </w:t>
      </w:r>
      <w:r>
        <w:rPr>
          <w:color w:val="000000"/>
          <w:u w:color="000000"/>
          <w:rtl w:val="0"/>
        </w:rPr>
        <w:t xml:space="preserve">України </w:t>
      </w:r>
      <w:r>
        <w:rPr>
          <w:color w:val="000000"/>
          <w:u w:color="000000"/>
          <w:rtl w:val="0"/>
        </w:rPr>
        <w:t>20.04.2005</w:t>
      </w:r>
      <w:r>
        <w:rPr>
          <w:color w:val="000000"/>
          <w:u w:color="000000"/>
          <w:rtl w:val="0"/>
          <w:lang w:val="ru-RU"/>
        </w:rPr>
        <w:t> р</w:t>
      </w:r>
      <w:r>
        <w:rPr>
          <w:color w:val="000000"/>
          <w:u w:color="000000"/>
          <w:rtl w:val="0"/>
        </w:rPr>
        <w:t xml:space="preserve">. </w:t>
      </w:r>
      <w:r>
        <w:rPr>
          <w:color w:val="000000"/>
          <w:u w:color="000000"/>
          <w:rtl w:val="0"/>
        </w:rPr>
        <w:t>за № </w:t>
      </w:r>
      <w:r>
        <w:rPr>
          <w:color w:val="000000"/>
          <w:u w:color="000000"/>
          <w:rtl w:val="0"/>
        </w:rPr>
        <w:t xml:space="preserve">421/10701 </w:t>
      </w:r>
      <w:r>
        <w:rPr>
          <w:color w:val="000000"/>
          <w:u w:color="000000"/>
          <w:rtl w:val="0"/>
        </w:rPr>
        <w:t xml:space="preserve">діяли на підставі Митного кодексу від </w:t>
      </w:r>
      <w:r>
        <w:rPr>
          <w:color w:val="000000"/>
          <w:u w:color="000000"/>
          <w:rtl w:val="0"/>
        </w:rPr>
        <w:t xml:space="preserve">11.07.2002 </w:t>
      </w:r>
      <w:r>
        <w:rPr>
          <w:color w:val="000000"/>
          <w:u w:color="000000"/>
          <w:rtl w:val="0"/>
        </w:rPr>
        <w:t>року № </w:t>
      </w:r>
      <w:r>
        <w:rPr>
          <w:color w:val="000000"/>
          <w:u w:color="000000"/>
          <w:rtl w:val="0"/>
        </w:rPr>
        <w:t xml:space="preserve">92-IV, </w:t>
      </w:r>
      <w:r>
        <w:rPr>
          <w:color w:val="000000"/>
          <w:u w:color="000000"/>
          <w:rtl w:val="0"/>
        </w:rPr>
        <w:t xml:space="preserve">яка втратив чинність у зв’язку із </w:t>
      </w:r>
      <w:r>
        <w:rPr>
          <w:rtl w:val="0"/>
        </w:rPr>
        <w:t xml:space="preserve">прийняттям у </w:t>
      </w:r>
      <w:r>
        <w:rPr>
          <w:rtl w:val="0"/>
        </w:rPr>
        <w:t xml:space="preserve">2012 </w:t>
      </w:r>
      <w:r>
        <w:rPr>
          <w:rtl w:val="0"/>
        </w:rPr>
        <w:t>році нової редакції Митного кодексу України</w:t>
      </w:r>
      <w:r>
        <w:rPr>
          <w:rtl w:val="0"/>
        </w:rPr>
        <w:t>.</w:t>
      </w:r>
    </w:p>
    <w:p>
      <w:pPr>
        <w:pStyle w:val="Normal.0"/>
        <w:ind w:firstLine="720"/>
      </w:pPr>
      <w:r>
        <w:rPr>
          <w:rtl w:val="0"/>
        </w:rPr>
        <w:t xml:space="preserve">Відповідно до частини другої статті </w:t>
      </w:r>
      <w:r>
        <w:rPr>
          <w:rtl w:val="0"/>
        </w:rPr>
        <w:t xml:space="preserve">246 </w:t>
      </w:r>
      <w:r>
        <w:rPr>
          <w:rtl w:val="0"/>
        </w:rPr>
        <w:t xml:space="preserve">Митного кодексу України від </w:t>
      </w:r>
      <w:r>
        <w:rPr>
          <w:rtl w:val="0"/>
        </w:rPr>
        <w:t xml:space="preserve">13 </w:t>
      </w:r>
      <w:r>
        <w:rPr>
          <w:rtl w:val="0"/>
        </w:rPr>
        <w:t xml:space="preserve">березня </w:t>
      </w:r>
      <w:r>
        <w:rPr>
          <w:rtl w:val="0"/>
        </w:rPr>
        <w:t xml:space="preserve">2012 </w:t>
      </w:r>
      <w:r>
        <w:rPr>
          <w:rtl w:val="0"/>
        </w:rPr>
        <w:t>року № </w:t>
      </w:r>
      <w:r>
        <w:rPr>
          <w:rtl w:val="0"/>
          <w:lang w:val="en-US"/>
        </w:rPr>
        <w:t xml:space="preserve">4495-VI </w:t>
      </w:r>
      <w:r>
        <w:rPr>
          <w:rtl w:val="0"/>
        </w:rPr>
        <w:t>прийнято</w:t>
      </w:r>
      <w:r>
        <w:rPr>
          <w:color w:val="000000"/>
          <w:u w:color="000000"/>
          <w:rtl w:val="0"/>
        </w:rPr>
        <w:t xml:space="preserve"> </w:t>
      </w:r>
      <w:r>
        <w:rPr>
          <w:rtl w:val="0"/>
        </w:rPr>
        <w:t xml:space="preserve">наказ Міністерства фінансів України «Про затвердження Порядку виконання митних формальностей при здійсненні транзитних переміщень» від </w:t>
      </w:r>
      <w:r>
        <w:rPr>
          <w:rtl w:val="0"/>
        </w:rPr>
        <w:t>09.10.2012</w:t>
      </w:r>
      <w:r>
        <w:rPr>
          <w:rtl w:val="0"/>
          <w:lang w:val="ru-RU"/>
        </w:rPr>
        <w:t> р</w:t>
      </w:r>
      <w:r>
        <w:rPr>
          <w:rtl w:val="0"/>
        </w:rPr>
        <w:t xml:space="preserve">. </w:t>
      </w:r>
      <w:r>
        <w:rPr>
          <w:rtl w:val="0"/>
          <w:lang w:val="ru-RU"/>
        </w:rPr>
        <w:t>№ </w:t>
      </w:r>
      <w:r>
        <w:rPr>
          <w:rtl w:val="0"/>
        </w:rPr>
        <w:t xml:space="preserve">1066, </w:t>
      </w:r>
      <w:r>
        <w:rPr>
          <w:rtl w:val="0"/>
        </w:rPr>
        <w:t xml:space="preserve">зареєстрований в Міністерстві юстиції України </w:t>
      </w:r>
      <w:r>
        <w:rPr>
          <w:rtl w:val="0"/>
        </w:rPr>
        <w:t>19.12.2012</w:t>
      </w:r>
      <w:r>
        <w:rPr>
          <w:rtl w:val="0"/>
          <w:lang w:val="ru-RU"/>
        </w:rPr>
        <w:t> р</w:t>
      </w:r>
      <w:r>
        <w:rPr>
          <w:rtl w:val="0"/>
        </w:rPr>
        <w:t xml:space="preserve">. </w:t>
      </w:r>
      <w:r>
        <w:rPr>
          <w:rtl w:val="0"/>
        </w:rPr>
        <w:t>за № </w:t>
      </w:r>
      <w:r>
        <w:rPr>
          <w:rtl w:val="0"/>
        </w:rPr>
        <w:t xml:space="preserve">2120/22432, </w:t>
      </w:r>
      <w:r>
        <w:rPr>
          <w:rtl w:val="0"/>
        </w:rPr>
        <w:t>яким врегульовано питання здійснення контролю за переміщенням товарів</w:t>
      </w:r>
      <w:r>
        <w:rPr>
          <w:rtl w:val="0"/>
        </w:rPr>
        <w:t xml:space="preserve">, </w:t>
      </w:r>
      <w:r>
        <w:rPr>
          <w:rtl w:val="0"/>
        </w:rPr>
        <w:t>транспортних засобів комерційного призначення</w:t>
      </w:r>
      <w:r>
        <w:rPr>
          <w:rtl w:val="0"/>
        </w:rPr>
        <w:t xml:space="preserve">, </w:t>
      </w:r>
      <w:r>
        <w:rPr>
          <w:rtl w:val="0"/>
        </w:rPr>
        <w:t xml:space="preserve">що ввозяться на митну територію України </w:t>
      </w:r>
      <w:r>
        <w:rPr>
          <w:rtl w:val="0"/>
        </w:rPr>
        <w:t>(</w:t>
      </w:r>
      <w:r>
        <w:rPr>
          <w:rtl w:val="0"/>
        </w:rPr>
        <w:t>у тому числі з метою транзиту</w:t>
      </w:r>
      <w:r>
        <w:rPr>
          <w:rtl w:val="0"/>
        </w:rPr>
        <w:t xml:space="preserve">) </w:t>
      </w:r>
      <w:r>
        <w:rPr>
          <w:rtl w:val="0"/>
        </w:rPr>
        <w:t>юридичними або фізичними особами незалежно від виду транспорту</w:t>
      </w:r>
      <w:r>
        <w:rPr>
          <w:rtl w:val="0"/>
        </w:rPr>
        <w:t>.</w:t>
      </w:r>
    </w:p>
    <w:p>
      <w:pPr>
        <w:pStyle w:val="Основной текст (2)"/>
        <w:numPr>
          <w:ilvl w:val="0"/>
          <w:numId w:val="2"/>
        </w:numPr>
        <w:shd w:val="clear" w:color="auto" w:fill="auto"/>
        <w:bidi w:val="0"/>
        <w:spacing w:before="120" w:after="120" w:line="240" w:lineRule="auto"/>
        <w:ind w:right="0"/>
        <w:jc w:val="both"/>
        <w:rPr>
          <w:rFonts w:ascii="Times New Roman" w:cs="Times New Roman" w:hAnsi="Times New Roman" w:eastAsia="Times New Roman" w:hint="default"/>
          <w:color w:val="000000"/>
          <w:sz w:val="28"/>
          <w:szCs w:val="28"/>
          <w:u w:color="000000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Мета і шляхи її досягнення</w:t>
      </w:r>
    </w:p>
    <w:p>
      <w:pPr>
        <w:pStyle w:val="Основной текст"/>
        <w:shd w:val="clear" w:color="auto" w:fill="auto"/>
        <w:spacing w:after="12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Цей проект наказу розроблено з метою приведення законодавства з питань митної справи у відповідність до вимог Митного кодексу України у частині контролю за переміщенням товарів через митний кордон України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numPr>
          <w:ilvl w:val="0"/>
          <w:numId w:val="2"/>
        </w:numPr>
        <w:shd w:val="clear" w:color="auto" w:fill="auto"/>
        <w:bidi w:val="0"/>
        <w:spacing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Правові аспекти</w:t>
      </w:r>
    </w:p>
    <w:p>
      <w:pPr>
        <w:pStyle w:val="Основной текст"/>
        <w:shd w:val="clear" w:color="auto" w:fill="auto"/>
        <w:spacing w:after="12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Правовими підставами для розроблення проекту наказу є реалізація положень Митного кодексу України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numPr>
          <w:ilvl w:val="0"/>
          <w:numId w:val="2"/>
        </w:numPr>
        <w:shd w:val="clear" w:color="auto" w:fill="auto"/>
        <w:bidi w:val="0"/>
        <w:spacing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Фінансово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економічне обґрунтування</w:t>
      </w:r>
    </w:p>
    <w:p>
      <w:pPr>
        <w:pStyle w:val="Основной текст"/>
        <w:shd w:val="clear" w:color="auto" w:fill="auto"/>
        <w:spacing w:after="12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Реалізація цього акта не потребуватиме матеріальних та інших витрат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numPr>
          <w:ilvl w:val="0"/>
          <w:numId w:val="2"/>
        </w:numPr>
        <w:shd w:val="clear" w:color="auto" w:fill="auto"/>
        <w:bidi w:val="0"/>
        <w:spacing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Позиція заінтересованих органів</w:t>
      </w:r>
    </w:p>
    <w:p>
      <w:pPr>
        <w:pStyle w:val="Основной текст"/>
        <w:shd w:val="clear" w:color="auto" w:fill="auto"/>
        <w:spacing w:after="120" w:line="240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Підлягає погодженню з Міністерством інфраструктури України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Державною фіскальною службою України та Державною регуляторною службою України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numPr>
          <w:ilvl w:val="0"/>
          <w:numId w:val="2"/>
        </w:numPr>
        <w:shd w:val="clear" w:color="auto" w:fill="auto"/>
        <w:bidi w:val="0"/>
        <w:spacing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Регіональний аспект</w:t>
      </w:r>
    </w:p>
    <w:p>
      <w:pPr>
        <w:pStyle w:val="Основной текст"/>
        <w:shd w:val="clear" w:color="auto" w:fill="auto"/>
        <w:spacing w:after="120" w:line="240" w:lineRule="auto"/>
        <w:ind w:firstLine="709"/>
        <w:jc w:val="both"/>
        <w:rPr>
          <w:rFonts w:ascii="Times New Roman" w:cs="Times New Roman" w:hAnsi="Times New Roman" w:eastAsia="Times New Roman"/>
          <w:color w:val="000000"/>
          <w:sz w:val="28"/>
          <w:szCs w:val="28"/>
          <w:u w:color="00000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Практична реалізація регуляторного акта не стосується питання розвитку адміністративно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територіальних одиниць та регіонального розвитку і не впливає на регіональний розвиток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а тому не потребує погодження з місцевими органами виконавчої влади та органами місцевого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самоврядування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shd w:val="clear" w:color="auto" w:fill="auto"/>
        <w:spacing w:after="120" w:line="240" w:lineRule="auto"/>
        <w:ind w:firstLine="69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6</w:t>
      </w:r>
      <w:r>
        <w:rPr>
          <w:rFonts w:ascii="Times New Roman" w:hAnsi="Times New Roman"/>
          <w:color w:val="000000"/>
          <w:sz w:val="28"/>
          <w:szCs w:val="28"/>
          <w:u w:color="000000"/>
          <w:vertAlign w:val="superscript"/>
          <w:rtl w:val="0"/>
        </w:rPr>
        <w:t>1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Запобігання дискримінації</w:t>
      </w:r>
    </w:p>
    <w:p>
      <w:pPr>
        <w:pStyle w:val="Основной текст"/>
        <w:shd w:val="clear" w:color="auto" w:fill="auto"/>
        <w:spacing w:after="120" w:line="240" w:lineRule="auto"/>
        <w:ind w:firstLine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Проект не містить положень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які мають ознаки дискримінації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Громадська антидискримінаційна експертиза не проводилась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numPr>
          <w:ilvl w:val="0"/>
          <w:numId w:val="3"/>
        </w:numPr>
        <w:shd w:val="clear" w:color="auto" w:fill="auto"/>
        <w:bidi w:val="0"/>
        <w:spacing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Запобігання корупції</w:t>
      </w:r>
    </w:p>
    <w:p>
      <w:pPr>
        <w:pStyle w:val="Основной текст"/>
        <w:shd w:val="clear" w:color="auto" w:fill="auto"/>
        <w:spacing w:after="120" w:line="240" w:lineRule="auto"/>
        <w:ind w:firstLine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У проекті відсутні правила і процедури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які можуть містити ризики вчинення корупційних правопорушень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numPr>
          <w:ilvl w:val="0"/>
          <w:numId w:val="3"/>
        </w:numPr>
        <w:shd w:val="clear" w:color="auto" w:fill="auto"/>
        <w:bidi w:val="0"/>
        <w:spacing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Громадське обговорення</w:t>
      </w:r>
    </w:p>
    <w:p>
      <w:pPr>
        <w:pStyle w:val="Основной текст"/>
        <w:shd w:val="clear" w:color="auto" w:fill="auto"/>
        <w:spacing w:after="120" w:line="240" w:lineRule="auto"/>
        <w:ind w:firstLine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Проект наказу буде розміщено на відомчому веб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порталі Міністерства фінансів України у розділі „Законодавство та регуляторна діяльність” та на відомчому веб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порталі Міністерства інфраструктури України у розділі „Регуляторна діяльність”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numPr>
          <w:ilvl w:val="0"/>
          <w:numId w:val="3"/>
        </w:numPr>
        <w:shd w:val="clear" w:color="auto" w:fill="auto"/>
        <w:bidi w:val="0"/>
        <w:spacing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Позиція соціальних партнерів</w:t>
      </w:r>
    </w:p>
    <w:p>
      <w:pPr>
        <w:pStyle w:val="Основной текст"/>
        <w:shd w:val="clear" w:color="auto" w:fill="auto"/>
        <w:spacing w:after="120" w:line="240" w:lineRule="auto"/>
        <w:ind w:firstLine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Проект наказу не стосується соціально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трудової сфери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numPr>
          <w:ilvl w:val="0"/>
          <w:numId w:val="3"/>
        </w:numPr>
        <w:shd w:val="clear" w:color="auto" w:fill="auto"/>
        <w:bidi w:val="0"/>
        <w:spacing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Оцінка регуляторного впливу</w:t>
      </w:r>
    </w:p>
    <w:p>
      <w:pPr>
        <w:pStyle w:val="Основной текст"/>
        <w:shd w:val="clear" w:color="auto" w:fill="auto"/>
        <w:spacing w:after="120" w:line="240" w:lineRule="auto"/>
        <w:ind w:firstLine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У зв’язку з прийняттям регуляторного акта здійснення додаткових витрат суб’єктами господарювання та громадянами не передбачається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"/>
        <w:shd w:val="clear" w:color="auto" w:fill="auto"/>
        <w:spacing w:after="120" w:line="240" w:lineRule="auto"/>
        <w:ind w:firstLine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Проект регуляторного акта відповідає таким принципам державної регуляторної політики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як передбачуваність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прозорість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,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збалансованість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shd w:val="clear" w:color="auto" w:fill="auto"/>
        <w:spacing w:after="120" w:line="240" w:lineRule="auto"/>
        <w:ind w:firstLine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10</w:t>
      </w:r>
      <w:r>
        <w:rPr>
          <w:rFonts w:ascii="Times New Roman" w:hAnsi="Times New Roman"/>
          <w:color w:val="000000"/>
          <w:sz w:val="28"/>
          <w:szCs w:val="28"/>
          <w:u w:color="000000"/>
          <w:vertAlign w:val="superscript"/>
          <w:rtl w:val="0"/>
        </w:rPr>
        <w:t>1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 xml:space="preserve">. 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Вплив реалізації акта на ринок праці</w:t>
      </w:r>
    </w:p>
    <w:p>
      <w:pPr>
        <w:pStyle w:val="Основной текст"/>
        <w:shd w:val="clear" w:color="auto" w:fill="auto"/>
        <w:spacing w:after="120" w:line="240" w:lineRule="auto"/>
        <w:ind w:firstLine="700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Реалізація акта не вплине на збільшення ринку праці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</w:p>
    <w:p>
      <w:pPr>
        <w:pStyle w:val="Основной текст (2)"/>
        <w:numPr>
          <w:ilvl w:val="0"/>
          <w:numId w:val="3"/>
        </w:numPr>
        <w:shd w:val="clear" w:color="auto" w:fill="auto"/>
        <w:bidi w:val="0"/>
        <w:spacing w:after="120" w:line="240" w:lineRule="auto"/>
        <w:ind w:right="0"/>
        <w:jc w:val="both"/>
        <w:rPr>
          <w:rFonts w:ascii="Times New Roman" w:cs="Times New Roman" w:hAnsi="Times New Roman" w:eastAsia="Times New Roman" w:hint="default"/>
          <w:sz w:val="28"/>
          <w:szCs w:val="28"/>
          <w:rtl w:val="0"/>
        </w:rPr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Прогноз результатів</w:t>
      </w:r>
    </w:p>
    <w:p>
      <w:pPr>
        <w:pStyle w:val="Основной текст"/>
        <w:shd w:val="clear" w:color="auto" w:fill="auto"/>
        <w:spacing w:after="120" w:line="240" w:lineRule="auto"/>
        <w:ind w:firstLine="700"/>
        <w:jc w:val="both"/>
      </w:pP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  <w:lang w:val="ru-RU"/>
        </w:rPr>
        <w:t>Зазначений проект спрямований на приведення нормативно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-</w:t>
      </w:r>
      <w:r>
        <w:rPr>
          <w:rFonts w:ascii="Times New Roman" w:hAnsi="Times New Roman" w:hint="default"/>
          <w:color w:val="000000"/>
          <w:sz w:val="28"/>
          <w:szCs w:val="28"/>
          <w:u w:color="000000"/>
          <w:rtl w:val="0"/>
        </w:rPr>
        <w:t>правових актів у відповідність до вимог чинного законодавства України</w:t>
      </w:r>
      <w:r>
        <w:rPr>
          <w:rFonts w:ascii="Times New Roman" w:hAnsi="Times New Roman"/>
          <w:color w:val="000000"/>
          <w:sz w:val="28"/>
          <w:szCs w:val="28"/>
          <w:u w:color="000000"/>
          <w:rtl w:val="0"/>
        </w:rPr>
        <w:t>.</w:t>
      </w: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850" w:right="850" w:bottom="850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Імпортований стиль 1"/>
  </w:abstractNum>
  <w:abstractNum w:abstractNumId="1">
    <w:multiLevelType w:val="hybridMultilevel"/>
    <w:styleLink w:val="Імпортований стиль 1"/>
    <w:lvl w:ilvl="0">
      <w:start w:val="1"/>
      <w:numFmt w:val="decimal"/>
      <w:suff w:val="nothing"/>
      <w:lvlText w:val="%1."/>
      <w:lvlJc w:val="left"/>
      <w:pPr>
        <w:ind w:left="119" w:firstLine="5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839" w:firstLine="5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559" w:firstLine="5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279" w:firstLine="5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2999" w:firstLine="5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3719" w:firstLine="5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439" w:firstLine="5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5159" w:firstLine="5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5879" w:firstLine="59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1041"/>
          </w:tabs>
          <w:ind w:left="119" w:firstLine="5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1041"/>
          </w:tabs>
          <w:ind w:left="839" w:firstLine="5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1041"/>
          </w:tabs>
          <w:ind w:left="1559" w:firstLine="5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1041"/>
          </w:tabs>
          <w:ind w:left="2279" w:firstLine="5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1041"/>
          </w:tabs>
          <w:ind w:left="2999" w:firstLine="5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1041"/>
          </w:tabs>
          <w:ind w:left="3719" w:firstLine="5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1041"/>
          </w:tabs>
          <w:ind w:left="4439" w:firstLine="5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1041"/>
          </w:tabs>
          <w:ind w:left="5159" w:firstLine="5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1041"/>
          </w:tabs>
          <w:ind w:left="5879" w:firstLine="581"/>
        </w:pP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(2)">
    <w:name w:val="Основной текст (2)"/>
    <w:next w:val="Основной текст (2)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0" w:line="20" w:lineRule="atLeast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7"/>
      <w:kern w:val="0"/>
      <w:position w:val="0"/>
      <w:sz w:val="23"/>
      <w:szCs w:val="23"/>
      <w:u w:val="none" w:color="000000"/>
      <w:vertAlign w:val="baseline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0"/>
      <w:shd w:val="clear" w:color="auto" w:fill="ffffff"/>
      <w:suppressAutoHyphens w:val="0"/>
      <w:bidi w:val="0"/>
      <w:spacing w:before="0" w:after="240" w:line="302" w:lineRule="exact"/>
      <w:ind w:left="0" w:right="0" w:firstLine="0"/>
      <w:jc w:val="center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3"/>
      <w:kern w:val="0"/>
      <w:position w:val="0"/>
      <w:sz w:val="22"/>
      <w:szCs w:val="22"/>
      <w:u w:val="none" w:color="000000"/>
      <w:vertAlign w:val="baseline"/>
    </w:rPr>
  </w:style>
  <w:style w:type="numbering" w:styleId="Імпортований стиль 1">
    <w:name w:val="Імпортований стиль 1"/>
    <w:pPr>
      <w:numPr>
        <w:numId w:val="1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