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91" w:rsidRPr="00AD6627" w:rsidRDefault="00B6116E" w:rsidP="00B6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27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</w:t>
      </w:r>
    </w:p>
    <w:p w:rsidR="007D3DF5" w:rsidRPr="00AD6627" w:rsidRDefault="00B6116E" w:rsidP="00052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27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D6627">
        <w:rPr>
          <w:rFonts w:ascii="Times New Roman" w:hAnsi="Times New Roman" w:cs="Times New Roman"/>
          <w:b/>
          <w:sz w:val="28"/>
          <w:szCs w:val="28"/>
        </w:rPr>
        <w:t>про</w:t>
      </w:r>
      <w:r w:rsidR="00914B9B">
        <w:rPr>
          <w:rFonts w:ascii="Times New Roman" w:hAnsi="Times New Roman" w:cs="Times New Roman"/>
          <w:b/>
          <w:sz w:val="28"/>
          <w:szCs w:val="28"/>
        </w:rPr>
        <w:t>є</w:t>
      </w:r>
      <w:r w:rsidRPr="00AD6627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AD6627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«</w:t>
      </w:r>
      <w:r w:rsidR="007D3DF5" w:rsidRPr="00AD6627">
        <w:rPr>
          <w:rFonts w:ascii="Times New Roman" w:hAnsi="Times New Roman" w:cs="Times New Roman"/>
          <w:b/>
          <w:sz w:val="28"/>
          <w:szCs w:val="28"/>
        </w:rPr>
        <w:t xml:space="preserve">Про затвердження Змін до деяких </w:t>
      </w:r>
    </w:p>
    <w:p w:rsidR="000366FD" w:rsidRDefault="00673287" w:rsidP="00052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87">
        <w:rPr>
          <w:rFonts w:ascii="Times New Roman" w:hAnsi="Times New Roman" w:cs="Times New Roman"/>
          <w:b/>
          <w:sz w:val="28"/>
          <w:szCs w:val="28"/>
        </w:rPr>
        <w:t>нормативно-правових актів Міністерства фінансів України з бухгалтерського обліку</w:t>
      </w:r>
      <w:r w:rsidR="00720513" w:rsidRPr="00AD6627">
        <w:rPr>
          <w:rFonts w:ascii="Times New Roman" w:hAnsi="Times New Roman" w:cs="Times New Roman"/>
          <w:b/>
          <w:sz w:val="28"/>
          <w:szCs w:val="28"/>
        </w:rPr>
        <w:t>»</w:t>
      </w:r>
    </w:p>
    <w:p w:rsidR="00CE49A8" w:rsidRPr="00AD6627" w:rsidRDefault="00CE49A8" w:rsidP="00052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856" w:type="dxa"/>
        <w:tblLook w:val="04A0" w:firstRow="1" w:lastRow="0" w:firstColumn="1" w:lastColumn="0" w:noHBand="0" w:noVBand="1"/>
      </w:tblPr>
      <w:tblGrid>
        <w:gridCol w:w="7939"/>
        <w:gridCol w:w="7087"/>
      </w:tblGrid>
      <w:tr w:rsidR="005525BD" w:rsidRPr="009E63DB" w:rsidTr="007E1ED5">
        <w:trPr>
          <w:trHeight w:val="225"/>
        </w:trPr>
        <w:tc>
          <w:tcPr>
            <w:tcW w:w="7939" w:type="dxa"/>
          </w:tcPr>
          <w:p w:rsidR="005525BD" w:rsidRPr="009E63DB" w:rsidRDefault="005525BD" w:rsidP="00B6116E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 xml:space="preserve">Зміст положення </w:t>
            </w:r>
            <w:proofErr w:type="spellStart"/>
            <w:r w:rsidRPr="009E63DB">
              <w:rPr>
                <w:rFonts w:ascii="Times New Roman" w:hAnsi="Times New Roman" w:cs="Times New Roman"/>
              </w:rPr>
              <w:t>акта</w:t>
            </w:r>
            <w:proofErr w:type="spellEnd"/>
            <w:r w:rsidRPr="009E63DB">
              <w:rPr>
                <w:rFonts w:ascii="Times New Roman" w:hAnsi="Times New Roman" w:cs="Times New Roman"/>
              </w:rPr>
              <w:t xml:space="preserve"> законодавства</w:t>
            </w:r>
          </w:p>
        </w:tc>
        <w:tc>
          <w:tcPr>
            <w:tcW w:w="7087" w:type="dxa"/>
          </w:tcPr>
          <w:p w:rsidR="005525BD" w:rsidRPr="009E63DB" w:rsidRDefault="005525BD" w:rsidP="00914B9B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 xml:space="preserve">Зміст відповідного положення </w:t>
            </w:r>
            <w:proofErr w:type="spellStart"/>
            <w:r w:rsidRPr="009E63DB">
              <w:rPr>
                <w:rFonts w:ascii="Times New Roman" w:hAnsi="Times New Roman" w:cs="Times New Roman"/>
              </w:rPr>
              <w:t>про</w:t>
            </w:r>
            <w:r w:rsidR="00914B9B" w:rsidRPr="009E63DB">
              <w:rPr>
                <w:rFonts w:ascii="Times New Roman" w:hAnsi="Times New Roman" w:cs="Times New Roman"/>
              </w:rPr>
              <w:t>є</w:t>
            </w:r>
            <w:r w:rsidRPr="009E63DB">
              <w:rPr>
                <w:rFonts w:ascii="Times New Roman" w:hAnsi="Times New Roman" w:cs="Times New Roman"/>
              </w:rPr>
              <w:t>кту</w:t>
            </w:r>
            <w:proofErr w:type="spellEnd"/>
            <w:r w:rsidRPr="009E6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3DB">
              <w:rPr>
                <w:rFonts w:ascii="Times New Roman" w:hAnsi="Times New Roman" w:cs="Times New Roman"/>
              </w:rPr>
              <w:t>акта</w:t>
            </w:r>
            <w:proofErr w:type="spellEnd"/>
          </w:p>
        </w:tc>
      </w:tr>
      <w:tr w:rsidR="00F23CE4" w:rsidRPr="009E63DB" w:rsidTr="007E1ED5">
        <w:trPr>
          <w:trHeight w:val="590"/>
        </w:trPr>
        <w:tc>
          <w:tcPr>
            <w:tcW w:w="15026" w:type="dxa"/>
            <w:gridSpan w:val="2"/>
          </w:tcPr>
          <w:p w:rsidR="003D5B8C" w:rsidRPr="009E63DB" w:rsidRDefault="003D5B8C" w:rsidP="003D5B8C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 xml:space="preserve">Інструкція про застосування Плану рахунків бухгалтерського обліку активів, капіталу, зобов’язань </w:t>
            </w:r>
          </w:p>
          <w:p w:rsidR="003D5B8C" w:rsidRPr="009E63DB" w:rsidRDefault="003D5B8C" w:rsidP="003D5B8C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і господарських операцій підприємств і організацій</w:t>
            </w:r>
          </w:p>
          <w:p w:rsidR="00F23CE4" w:rsidRPr="009E63DB" w:rsidRDefault="003D5B8C" w:rsidP="003D5B8C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(наказ Міністерства фінансів України від 30.11.1999 № 291)</w:t>
            </w:r>
          </w:p>
        </w:tc>
      </w:tr>
      <w:tr w:rsidR="00F23CE4" w:rsidRPr="009E63DB" w:rsidTr="00AA3BBA">
        <w:trPr>
          <w:trHeight w:val="1485"/>
        </w:trPr>
        <w:tc>
          <w:tcPr>
            <w:tcW w:w="7939" w:type="dxa"/>
          </w:tcPr>
          <w:p w:rsidR="00F23CE4" w:rsidRPr="009E63DB" w:rsidRDefault="003D5B8C" w:rsidP="003D5B8C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Рахунок 12 «Нематеріальні активи»</w:t>
            </w:r>
          </w:p>
          <w:p w:rsidR="003D5B8C" w:rsidRPr="009E63DB" w:rsidRDefault="003D5B8C" w:rsidP="003D5B8C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…</w:t>
            </w:r>
          </w:p>
          <w:p w:rsidR="003D5B8C" w:rsidRPr="009E63DB" w:rsidRDefault="003D5B8C" w:rsidP="003D5B8C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 субрахунку 123 «Права на комерційні позначення» ведеться облік наявності прав на комерційні позначення (права на торговельні марки </w:t>
            </w:r>
            <w:r w:rsidRPr="009E63DB">
              <w:rPr>
                <w:rFonts w:ascii="Times New Roman" w:eastAsia="Times New Roman" w:hAnsi="Times New Roman" w:cs="Times New Roman"/>
                <w:b/>
                <w:strike/>
                <w:spacing w:val="-4"/>
                <w:lang w:eastAsia="ru-RU"/>
              </w:rPr>
              <w:t>(знаки для товарів і послуг)</w:t>
            </w: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комерційні (фірмові) найменування тощо).</w:t>
            </w:r>
          </w:p>
          <w:p w:rsidR="003D5B8C" w:rsidRPr="009E63DB" w:rsidRDefault="003D5B8C" w:rsidP="003D5B8C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…</w:t>
            </w:r>
          </w:p>
        </w:tc>
        <w:tc>
          <w:tcPr>
            <w:tcW w:w="7087" w:type="dxa"/>
          </w:tcPr>
          <w:p w:rsidR="003D5B8C" w:rsidRPr="009E63DB" w:rsidRDefault="003D5B8C" w:rsidP="003D5B8C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Рахунок 12 «Нематеріальні активи»</w:t>
            </w:r>
          </w:p>
          <w:p w:rsidR="003D5B8C" w:rsidRPr="009E63DB" w:rsidRDefault="003D5B8C" w:rsidP="003D5B8C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…</w:t>
            </w:r>
          </w:p>
          <w:p w:rsidR="003D5B8C" w:rsidRPr="009E63DB" w:rsidRDefault="003D5B8C" w:rsidP="003D5B8C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 субрахунку 123 «Права на комерційні позначення» ведеться облік наявності прав на комерційні позначення (права на торговельні марки, комерційні (фірмові) найменування тощо).</w:t>
            </w:r>
          </w:p>
          <w:p w:rsidR="003D5B8C" w:rsidRPr="009E63DB" w:rsidRDefault="003D5B8C" w:rsidP="00AA3BB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…</w:t>
            </w:r>
          </w:p>
        </w:tc>
      </w:tr>
      <w:tr w:rsidR="003D5B8C" w:rsidRPr="009E63DB" w:rsidTr="003D5B8C">
        <w:trPr>
          <w:trHeight w:val="120"/>
        </w:trPr>
        <w:tc>
          <w:tcPr>
            <w:tcW w:w="7939" w:type="dxa"/>
          </w:tcPr>
          <w:p w:rsidR="003D5B8C" w:rsidRPr="009E63DB" w:rsidRDefault="003D5B8C" w:rsidP="003D5B8C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  <w:bCs/>
              </w:rPr>
              <w:t>Рахунок 30 «Готівка»</w:t>
            </w:r>
            <w:bookmarkStart w:id="0" w:name="821099"/>
            <w:bookmarkStart w:id="1" w:name="1409"/>
            <w:bookmarkEnd w:id="0"/>
            <w:bookmarkEnd w:id="1"/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1410"/>
            <w:bookmarkEnd w:id="2"/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</w:rPr>
              <w:t>Рахунок 30 «Готівка» має такі субрахунки:</w:t>
            </w:r>
            <w:bookmarkStart w:id="3" w:name="1411"/>
            <w:bookmarkEnd w:id="3"/>
          </w:p>
          <w:p w:rsidR="003D5B8C" w:rsidRPr="009E63DB" w:rsidRDefault="006575A1" w:rsidP="003D5B8C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bookmarkStart w:id="4" w:name="821098"/>
            <w:bookmarkStart w:id="5" w:name="1413"/>
            <w:bookmarkEnd w:id="4"/>
            <w:bookmarkEnd w:id="5"/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  <w:b/>
              </w:rPr>
              <w:t>Відсутні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</w:rPr>
            </w:pP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9E63DB">
              <w:rPr>
                <w:rFonts w:ascii="Times New Roman" w:hAnsi="Times New Roman" w:cs="Times New Roman"/>
                <w:b/>
              </w:rPr>
              <w:t>Відсутній</w:t>
            </w:r>
          </w:p>
        </w:tc>
        <w:tc>
          <w:tcPr>
            <w:tcW w:w="7087" w:type="dxa"/>
          </w:tcPr>
          <w:p w:rsidR="003D5B8C" w:rsidRPr="009E63DB" w:rsidRDefault="003D5B8C" w:rsidP="003D5B8C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  <w:bCs/>
              </w:rPr>
              <w:t>Рахунок 30 «Готівка»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</w:rPr>
              <w:t>Рахунок 30 «Готівка» має такі субрахунки: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</w:rPr>
              <w:t>301 «Готівка в національній валюті»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302 «Готівка в іноземній валюті»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  <w:b/>
                <w:bCs/>
              </w:rPr>
              <w:t xml:space="preserve">308 «Готівка в національній валюті </w:t>
            </w:r>
            <w:r w:rsidR="00D43D95" w:rsidRPr="00D43D95">
              <w:rPr>
                <w:rFonts w:ascii="Times New Roman" w:hAnsi="Times New Roman" w:cs="Times New Roman"/>
                <w:b/>
                <w:bCs/>
              </w:rPr>
              <w:t>за операціями, проведеними  із застосуванням РРО</w:t>
            </w:r>
            <w:r w:rsidRPr="009E63D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  <w:b/>
                <w:bCs/>
              </w:rPr>
              <w:t xml:space="preserve">309 «Готівка в іноземній валюті </w:t>
            </w:r>
            <w:r w:rsidR="00D43D95">
              <w:rPr>
                <w:rFonts w:ascii="Times New Roman" w:hAnsi="Times New Roman" w:cs="Times New Roman"/>
                <w:b/>
                <w:bCs/>
              </w:rPr>
              <w:t>за операціями, проведеними  із застосуванням РРО</w:t>
            </w:r>
            <w:r w:rsidRPr="009E63DB">
              <w:rPr>
                <w:rFonts w:ascii="Times New Roman" w:hAnsi="Times New Roman" w:cs="Times New Roman"/>
                <w:b/>
                <w:bCs/>
              </w:rPr>
              <w:t>»</w:t>
            </w:r>
            <w:r w:rsidRPr="009E63DB">
              <w:rPr>
                <w:rFonts w:ascii="Times New Roman" w:hAnsi="Times New Roman" w:cs="Times New Roman"/>
              </w:rPr>
              <w:t xml:space="preserve"> </w:t>
            </w:r>
          </w:p>
          <w:p w:rsidR="003D5B8C" w:rsidRPr="009E63DB" w:rsidRDefault="003D5B8C" w:rsidP="003D5B8C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AD52A9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9E63DB">
              <w:rPr>
                <w:rFonts w:ascii="Times New Roman" w:hAnsi="Times New Roman" w:cs="Times New Roman"/>
                <w:b/>
              </w:rPr>
              <w:t xml:space="preserve">Підприємства, які здійснюють готівкові операції із застосуванням реєстраторів розрахункових операцій (РРО) </w:t>
            </w:r>
            <w:r w:rsidR="002C4A3A">
              <w:rPr>
                <w:rFonts w:ascii="Times New Roman" w:hAnsi="Times New Roman" w:cs="Times New Roman"/>
                <w:b/>
              </w:rPr>
              <w:t>використовують</w:t>
            </w:r>
            <w:r w:rsidR="00AD52A9">
              <w:rPr>
                <w:rFonts w:ascii="Times New Roman" w:hAnsi="Times New Roman" w:cs="Times New Roman"/>
                <w:b/>
              </w:rPr>
              <w:t xml:space="preserve"> </w:t>
            </w:r>
            <w:r w:rsidRPr="009E63DB">
              <w:rPr>
                <w:rFonts w:ascii="Times New Roman" w:hAnsi="Times New Roman" w:cs="Times New Roman"/>
                <w:b/>
              </w:rPr>
              <w:t>субрахунки 308 «</w:t>
            </w:r>
            <w:r w:rsidR="00D43D95" w:rsidRPr="009E63DB">
              <w:rPr>
                <w:rFonts w:ascii="Times New Roman" w:hAnsi="Times New Roman" w:cs="Times New Roman"/>
                <w:b/>
                <w:bCs/>
              </w:rPr>
              <w:t xml:space="preserve">Готівка в національній валюті </w:t>
            </w:r>
            <w:r w:rsidR="00D43D95" w:rsidRPr="00D43D95">
              <w:rPr>
                <w:rFonts w:ascii="Times New Roman" w:hAnsi="Times New Roman" w:cs="Times New Roman"/>
                <w:b/>
                <w:bCs/>
              </w:rPr>
              <w:t>за операціями, проведеними  із застосуванням РРО</w:t>
            </w:r>
            <w:r w:rsidRPr="009E63DB">
              <w:rPr>
                <w:rFonts w:ascii="Times New Roman" w:hAnsi="Times New Roman" w:cs="Times New Roman"/>
                <w:b/>
              </w:rPr>
              <w:t>» та 309 «</w:t>
            </w:r>
            <w:r w:rsidR="00D43D95" w:rsidRPr="009E63DB">
              <w:rPr>
                <w:rFonts w:ascii="Times New Roman" w:hAnsi="Times New Roman" w:cs="Times New Roman"/>
                <w:b/>
                <w:bCs/>
              </w:rPr>
              <w:t xml:space="preserve">Готівка в іноземній валюті </w:t>
            </w:r>
            <w:r w:rsidR="00D43D95">
              <w:rPr>
                <w:rFonts w:ascii="Times New Roman" w:hAnsi="Times New Roman" w:cs="Times New Roman"/>
                <w:b/>
                <w:bCs/>
              </w:rPr>
              <w:t>за операціями, проведеними  із застос</w:t>
            </w:r>
            <w:bookmarkStart w:id="6" w:name="_GoBack"/>
            <w:bookmarkEnd w:id="6"/>
            <w:r w:rsidR="00D43D95">
              <w:rPr>
                <w:rFonts w:ascii="Times New Roman" w:hAnsi="Times New Roman" w:cs="Times New Roman"/>
                <w:b/>
                <w:bCs/>
              </w:rPr>
              <w:t>уванням РРО</w:t>
            </w:r>
            <w:r w:rsidRPr="009E63DB">
              <w:rPr>
                <w:rFonts w:ascii="Times New Roman" w:hAnsi="Times New Roman" w:cs="Times New Roman"/>
                <w:b/>
              </w:rPr>
              <w:t>».</w:t>
            </w:r>
          </w:p>
        </w:tc>
      </w:tr>
      <w:tr w:rsidR="003D5B8C" w:rsidRPr="009E63DB" w:rsidTr="003D5B8C">
        <w:trPr>
          <w:trHeight w:val="129"/>
        </w:trPr>
        <w:tc>
          <w:tcPr>
            <w:tcW w:w="7939" w:type="dxa"/>
          </w:tcPr>
          <w:p w:rsidR="003D5B8C" w:rsidRPr="009E63DB" w:rsidRDefault="003D5B8C" w:rsidP="003D5B8C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 xml:space="preserve">Рахунок 37 «Розрахунки з різними дебіторами» 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 xml:space="preserve">Рахунок 37 «Розрахунки з різними дебіторами» має такі субрахунки: 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6575A1" w:rsidRPr="009E63DB" w:rsidRDefault="006575A1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 xml:space="preserve">376 «Розрахунки за позиками </w:t>
            </w:r>
            <w:r w:rsidRPr="009E63DB">
              <w:rPr>
                <w:rFonts w:ascii="Times New Roman" w:hAnsi="Times New Roman" w:cs="Times New Roman"/>
                <w:b/>
              </w:rPr>
              <w:t>членам кредитних спілок</w:t>
            </w:r>
            <w:r w:rsidRPr="009E63DB">
              <w:rPr>
                <w:rFonts w:ascii="Times New Roman" w:hAnsi="Times New Roman" w:cs="Times New Roman"/>
              </w:rPr>
              <w:t>»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lastRenderedPageBreak/>
              <w:t xml:space="preserve">На субрахунку 376 «Розрахунки за позиками </w:t>
            </w:r>
            <w:r w:rsidRPr="009E63DB">
              <w:rPr>
                <w:rFonts w:ascii="Times New Roman" w:hAnsi="Times New Roman" w:cs="Times New Roman"/>
                <w:b/>
              </w:rPr>
              <w:t>членам кредитних спілок</w:t>
            </w:r>
            <w:r w:rsidRPr="009E63DB">
              <w:rPr>
                <w:rFonts w:ascii="Times New Roman" w:hAnsi="Times New Roman" w:cs="Times New Roman"/>
              </w:rPr>
              <w:t>» ведеться облік розрахунків за позиками членам кредитних спілок у кредитних спілках.</w:t>
            </w:r>
          </w:p>
        </w:tc>
        <w:tc>
          <w:tcPr>
            <w:tcW w:w="7087" w:type="dxa"/>
          </w:tcPr>
          <w:p w:rsidR="003D5B8C" w:rsidRPr="009E63DB" w:rsidRDefault="003D5B8C" w:rsidP="003D5B8C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lastRenderedPageBreak/>
              <w:t xml:space="preserve">Рахунок 37 «Розрахунки з різними дебіторами» 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 xml:space="preserve">Рахунок 37 «Розрахунки з різними дебіторами» має такі субрахунки: 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 xml:space="preserve">376 «Розрахунки за позиками </w:t>
            </w:r>
            <w:r w:rsidRPr="009E63DB">
              <w:rPr>
                <w:rFonts w:ascii="Times New Roman" w:hAnsi="Times New Roman" w:cs="Times New Roman"/>
                <w:b/>
              </w:rPr>
              <w:t>та кредитами</w:t>
            </w:r>
            <w:r w:rsidRPr="009E63DB">
              <w:rPr>
                <w:rFonts w:ascii="Times New Roman" w:hAnsi="Times New Roman" w:cs="Times New Roman"/>
              </w:rPr>
              <w:t>»</w:t>
            </w:r>
          </w:p>
          <w:p w:rsidR="003D5B8C" w:rsidRPr="009E63DB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3D5B8C" w:rsidRDefault="003D5B8C" w:rsidP="003D5B8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lastRenderedPageBreak/>
              <w:t xml:space="preserve">На субрахунку 376 «Розрахунки за позиками </w:t>
            </w:r>
            <w:r w:rsidRPr="009E63DB">
              <w:rPr>
                <w:rFonts w:ascii="Times New Roman" w:hAnsi="Times New Roman" w:cs="Times New Roman"/>
                <w:b/>
              </w:rPr>
              <w:t>та кредитами</w:t>
            </w:r>
            <w:r w:rsidRPr="009E63DB">
              <w:rPr>
                <w:rFonts w:ascii="Times New Roman" w:hAnsi="Times New Roman" w:cs="Times New Roman"/>
              </w:rPr>
              <w:t xml:space="preserve">» ведеться облік розрахунків за позиками членам кредитних спілок у кредитних спілках </w:t>
            </w:r>
            <w:r w:rsidRPr="009E63DB">
              <w:rPr>
                <w:rFonts w:ascii="Times New Roman" w:hAnsi="Times New Roman" w:cs="Times New Roman"/>
                <w:b/>
              </w:rPr>
              <w:t>та наданими кредитами корист</w:t>
            </w:r>
            <w:r w:rsidR="000268A6">
              <w:rPr>
                <w:rFonts w:ascii="Times New Roman" w:hAnsi="Times New Roman" w:cs="Times New Roman"/>
                <w:b/>
              </w:rPr>
              <w:t>увачам платіжних послуг надавача</w:t>
            </w:r>
            <w:r w:rsidRPr="009E63DB">
              <w:rPr>
                <w:rFonts w:ascii="Times New Roman" w:hAnsi="Times New Roman" w:cs="Times New Roman"/>
                <w:b/>
              </w:rPr>
              <w:t>м</w:t>
            </w:r>
            <w:r w:rsidR="000268A6">
              <w:rPr>
                <w:rFonts w:ascii="Times New Roman" w:hAnsi="Times New Roman" w:cs="Times New Roman"/>
                <w:b/>
              </w:rPr>
              <w:t>и</w:t>
            </w:r>
            <w:r w:rsidRPr="009E63DB">
              <w:rPr>
                <w:rFonts w:ascii="Times New Roman" w:hAnsi="Times New Roman" w:cs="Times New Roman"/>
                <w:b/>
              </w:rPr>
              <w:t xml:space="preserve"> фінансових послуг (крім банків)</w:t>
            </w:r>
            <w:r w:rsidRPr="009E63DB">
              <w:rPr>
                <w:rFonts w:ascii="Times New Roman" w:hAnsi="Times New Roman" w:cs="Times New Roman"/>
              </w:rPr>
              <w:t>.</w:t>
            </w:r>
          </w:p>
          <w:p w:rsidR="00AA3BBA" w:rsidRPr="009E63DB" w:rsidRDefault="00AA3BBA" w:rsidP="003D5B8C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75A1" w:rsidRPr="009E63DB" w:rsidTr="003D5B8C">
        <w:trPr>
          <w:trHeight w:val="135"/>
        </w:trPr>
        <w:tc>
          <w:tcPr>
            <w:tcW w:w="7939" w:type="dxa"/>
          </w:tcPr>
          <w:p w:rsidR="006575A1" w:rsidRPr="009E63DB" w:rsidRDefault="006575A1" w:rsidP="006575A1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lastRenderedPageBreak/>
              <w:t>Рахунок 68 «Розрахунки за іншими операціями»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Рахунок 68 «Розрахунки за іншими операціями» має такі субрахунки: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9E63DB">
              <w:rPr>
                <w:rFonts w:ascii="Times New Roman" w:hAnsi="Times New Roman" w:cs="Times New Roman"/>
                <w:b/>
              </w:rPr>
              <w:t>Відсутній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9E63DB">
              <w:rPr>
                <w:rFonts w:ascii="Times New Roman" w:hAnsi="Times New Roman" w:cs="Times New Roman"/>
                <w:b/>
              </w:rPr>
              <w:t>Відсутній</w:t>
            </w:r>
          </w:p>
        </w:tc>
        <w:tc>
          <w:tcPr>
            <w:tcW w:w="7087" w:type="dxa"/>
          </w:tcPr>
          <w:p w:rsidR="006575A1" w:rsidRPr="009E63DB" w:rsidRDefault="006575A1" w:rsidP="006575A1">
            <w:pPr>
              <w:jc w:val="center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Рахунок 68 «Розрахунки за іншими операціями»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Рахунок 68 «Розрахунки за іншими операціями» має такі субрахунки: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9E63DB">
              <w:rPr>
                <w:rFonts w:ascii="Times New Roman" w:hAnsi="Times New Roman" w:cs="Times New Roman"/>
                <w:b/>
              </w:rPr>
              <w:t>686 «Розрахунки за операціями з переказу»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9E63DB">
              <w:rPr>
                <w:rFonts w:ascii="Times New Roman" w:hAnsi="Times New Roman" w:cs="Times New Roman"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9E63DB">
              <w:rPr>
                <w:rFonts w:ascii="Times New Roman" w:hAnsi="Times New Roman" w:cs="Times New Roman"/>
                <w:b/>
              </w:rPr>
              <w:t>На субрахунку</w:t>
            </w:r>
            <w:r w:rsidRPr="009E63DB">
              <w:rPr>
                <w:rFonts w:ascii="Times New Roman" w:hAnsi="Times New Roman" w:cs="Times New Roman"/>
              </w:rPr>
              <w:t xml:space="preserve"> </w:t>
            </w:r>
            <w:r w:rsidRPr="009E63DB">
              <w:rPr>
                <w:rFonts w:ascii="Times New Roman" w:hAnsi="Times New Roman" w:cs="Times New Roman"/>
                <w:b/>
              </w:rPr>
              <w:t>686 «Розрахунки за операціями з переказу» ведеться облік розрахунків за операціями надання платіжних послуг надавачами фінансових платіжних послуг.</w:t>
            </w:r>
          </w:p>
        </w:tc>
      </w:tr>
      <w:tr w:rsidR="006575A1" w:rsidRPr="009E63DB" w:rsidTr="003D5B8C">
        <w:trPr>
          <w:trHeight w:val="135"/>
        </w:trPr>
        <w:tc>
          <w:tcPr>
            <w:tcW w:w="7939" w:type="dxa"/>
          </w:tcPr>
          <w:p w:rsidR="006575A1" w:rsidRPr="001327F1" w:rsidRDefault="006575A1" w:rsidP="006575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27F1">
              <w:rPr>
                <w:rFonts w:ascii="Times New Roman" w:hAnsi="Times New Roman" w:cs="Times New Roman"/>
                <w:bCs/>
              </w:rPr>
              <w:t>Рахунок 70 «Доходи від реалізації»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Рахунок 70 «Доходи від реалізації» має такі субрахунки: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  <w:b/>
                <w:bCs/>
              </w:rPr>
              <w:t>Відсутні</w:t>
            </w:r>
          </w:p>
          <w:p w:rsidR="006575A1" w:rsidRPr="009E63DB" w:rsidRDefault="006575A1" w:rsidP="006575A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…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/>
                <w:bCs/>
              </w:rPr>
              <w:t>Відсутній</w:t>
            </w:r>
          </w:p>
        </w:tc>
        <w:tc>
          <w:tcPr>
            <w:tcW w:w="7087" w:type="dxa"/>
          </w:tcPr>
          <w:p w:rsidR="006575A1" w:rsidRPr="001327F1" w:rsidRDefault="006575A1" w:rsidP="006575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27F1">
              <w:rPr>
                <w:rFonts w:ascii="Times New Roman" w:hAnsi="Times New Roman" w:cs="Times New Roman"/>
                <w:bCs/>
              </w:rPr>
              <w:t>Рахунок 70 «Доходи від реалізації»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…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Рахунок 70 «Доходи від реалізації» має такі субрахунки: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…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/>
                <w:bCs/>
              </w:rPr>
              <w:t xml:space="preserve">706 «Дохід процентний від фінансових послуг» 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/>
                <w:bCs/>
              </w:rPr>
              <w:t>707 «Дохід комісійний від фінансових платіжних</w:t>
            </w:r>
            <w:r w:rsidRPr="009E63DB">
              <w:rPr>
                <w:rFonts w:ascii="Times New Roman" w:hAnsi="Times New Roman" w:cs="Times New Roman"/>
                <w:bCs/>
              </w:rPr>
              <w:t xml:space="preserve"> </w:t>
            </w:r>
            <w:r w:rsidRPr="009E63DB">
              <w:rPr>
                <w:rFonts w:ascii="Times New Roman" w:hAnsi="Times New Roman" w:cs="Times New Roman"/>
                <w:b/>
                <w:bCs/>
              </w:rPr>
              <w:t>послуг»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…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/>
              </w:rPr>
            </w:pPr>
            <w:r w:rsidRPr="009E63DB">
              <w:rPr>
                <w:rFonts w:ascii="Times New Roman" w:hAnsi="Times New Roman" w:cs="Times New Roman"/>
                <w:b/>
              </w:rPr>
              <w:t>На субрахунках 706 «Дохід процентний від фінансових послуг» та 707 «Дохід комісійний від фінансових платіжних послуг» надавачі фінансових платіжних послуг, для яких надання таких послуги є основним видом діяльності, узагальнюють інформацію про проценті та комісійні доходи відповідно.</w:t>
            </w:r>
          </w:p>
        </w:tc>
      </w:tr>
      <w:tr w:rsidR="007D3DF5" w:rsidRPr="009E63DB" w:rsidTr="007E1ED5">
        <w:trPr>
          <w:trHeight w:val="544"/>
        </w:trPr>
        <w:tc>
          <w:tcPr>
            <w:tcW w:w="15026" w:type="dxa"/>
            <w:gridSpan w:val="2"/>
          </w:tcPr>
          <w:p w:rsidR="006575A1" w:rsidRPr="009E63DB" w:rsidRDefault="006575A1" w:rsidP="006575A1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Порядок застосування типових форм первинного обліку об’єктів права інтелектуальної власності у складі нематеріальних активів</w:t>
            </w:r>
          </w:p>
          <w:p w:rsidR="007D3DF5" w:rsidRPr="009E63DB" w:rsidRDefault="006575A1" w:rsidP="006575A1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E63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(наказ Міністерства фінансів України від 22.11.2004 № 732)</w:t>
            </w:r>
          </w:p>
        </w:tc>
      </w:tr>
      <w:tr w:rsidR="006575A1" w:rsidRPr="009E63DB" w:rsidTr="007E1ED5">
        <w:trPr>
          <w:trHeight w:val="694"/>
        </w:trPr>
        <w:tc>
          <w:tcPr>
            <w:tcW w:w="7939" w:type="dxa"/>
          </w:tcPr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Пункт 4.4</w:t>
            </w:r>
          </w:p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 xml:space="preserve">4.4. При інвентаризації об’єктів права інтелектуальної власності до інвентаризаційного опису вписуються такі дані: назва, характеристика, первісна вартість, сума зносу, дата придбання, </w:t>
            </w:r>
            <w:r w:rsidRPr="009E63DB">
              <w:rPr>
                <w:rFonts w:ascii="Times New Roman" w:hAnsi="Times New Roman" w:cs="Times New Roman"/>
                <w:b/>
                <w:bCs/>
              </w:rPr>
              <w:t>термін</w:t>
            </w:r>
            <w:r w:rsidRPr="009E63DB">
              <w:rPr>
                <w:rFonts w:ascii="Times New Roman" w:hAnsi="Times New Roman" w:cs="Times New Roman"/>
                <w:bCs/>
              </w:rPr>
              <w:t xml:space="preserve"> корисного використання. При цьому перевіряється обґрунтованість сум.</w:t>
            </w:r>
          </w:p>
        </w:tc>
        <w:tc>
          <w:tcPr>
            <w:tcW w:w="7087" w:type="dxa"/>
          </w:tcPr>
          <w:p w:rsidR="006575A1" w:rsidRPr="009E63DB" w:rsidRDefault="006575A1" w:rsidP="006575A1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>Пункт 4.4</w:t>
            </w:r>
          </w:p>
          <w:p w:rsidR="006575A1" w:rsidRPr="009E63DB" w:rsidRDefault="006575A1" w:rsidP="006575A1">
            <w:pPr>
              <w:ind w:firstLine="34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3DB">
              <w:rPr>
                <w:rFonts w:ascii="Times New Roman" w:hAnsi="Times New Roman" w:cs="Times New Roman"/>
                <w:bCs/>
              </w:rPr>
              <w:t xml:space="preserve">4.4. При інвентаризації об’єктів права інтелектуальної власності до інвентаризаційного опису вписуються такі дані: назва, характеристика, первісна вартість, сума зносу, дата придбання, </w:t>
            </w:r>
            <w:r w:rsidRPr="009E63DB">
              <w:rPr>
                <w:rFonts w:ascii="Times New Roman" w:hAnsi="Times New Roman" w:cs="Times New Roman"/>
                <w:b/>
                <w:bCs/>
              </w:rPr>
              <w:t>строк</w:t>
            </w:r>
            <w:r w:rsidRPr="009E63DB">
              <w:rPr>
                <w:rFonts w:ascii="Times New Roman" w:hAnsi="Times New Roman" w:cs="Times New Roman"/>
                <w:bCs/>
              </w:rPr>
              <w:t xml:space="preserve"> корисного використання. При цьому перевіряється обґрунтованість сум.</w:t>
            </w:r>
          </w:p>
        </w:tc>
      </w:tr>
    </w:tbl>
    <w:p w:rsidR="00D40FE3" w:rsidRDefault="00D40FE3" w:rsidP="00187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16E" w:rsidRPr="00627CFD" w:rsidRDefault="00D40FE3" w:rsidP="00D4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sectPr w:rsidR="00B6116E" w:rsidRPr="00627CFD" w:rsidSect="005F219D">
      <w:headerReference w:type="default" r:id="rId8"/>
      <w:pgSz w:w="16838" w:h="11906" w:orient="landscape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E0" w:rsidRDefault="00D930E0" w:rsidP="00EC0F28">
      <w:pPr>
        <w:spacing w:after="0" w:line="240" w:lineRule="auto"/>
      </w:pPr>
      <w:r>
        <w:separator/>
      </w:r>
    </w:p>
  </w:endnote>
  <w:endnote w:type="continuationSeparator" w:id="0">
    <w:p w:rsidR="00D930E0" w:rsidRDefault="00D930E0" w:rsidP="00EC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E0" w:rsidRDefault="00D930E0" w:rsidP="00EC0F28">
      <w:pPr>
        <w:spacing w:after="0" w:line="240" w:lineRule="auto"/>
      </w:pPr>
      <w:r>
        <w:separator/>
      </w:r>
    </w:p>
  </w:footnote>
  <w:footnote w:type="continuationSeparator" w:id="0">
    <w:p w:rsidR="00D930E0" w:rsidRDefault="00D930E0" w:rsidP="00EC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982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65BA1" w:rsidRPr="00CE49A8" w:rsidRDefault="00165BA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CE49A8">
          <w:rPr>
            <w:rFonts w:ascii="Times New Roman" w:hAnsi="Times New Roman" w:cs="Times New Roman"/>
            <w:sz w:val="24"/>
          </w:rPr>
          <w:fldChar w:fldCharType="begin"/>
        </w:r>
        <w:r w:rsidRPr="00CE49A8">
          <w:rPr>
            <w:rFonts w:ascii="Times New Roman" w:hAnsi="Times New Roman" w:cs="Times New Roman"/>
            <w:sz w:val="24"/>
          </w:rPr>
          <w:instrText>PAGE   \* MERGEFORMAT</w:instrText>
        </w:r>
        <w:r w:rsidRPr="00CE49A8">
          <w:rPr>
            <w:rFonts w:ascii="Times New Roman" w:hAnsi="Times New Roman" w:cs="Times New Roman"/>
            <w:sz w:val="24"/>
          </w:rPr>
          <w:fldChar w:fldCharType="separate"/>
        </w:r>
        <w:r w:rsidR="00AD52A9">
          <w:rPr>
            <w:rFonts w:ascii="Times New Roman" w:hAnsi="Times New Roman" w:cs="Times New Roman"/>
            <w:noProof/>
            <w:sz w:val="24"/>
          </w:rPr>
          <w:t>2</w:t>
        </w:r>
        <w:r w:rsidRPr="00CE49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65BA1" w:rsidRDefault="00165B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0CD"/>
    <w:multiLevelType w:val="hybridMultilevel"/>
    <w:tmpl w:val="D3A4C3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738DB"/>
    <w:multiLevelType w:val="hybridMultilevel"/>
    <w:tmpl w:val="BED69C3E"/>
    <w:lvl w:ilvl="0" w:tplc="EB38423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82D1159"/>
    <w:multiLevelType w:val="hybridMultilevel"/>
    <w:tmpl w:val="D3A4C3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ED"/>
    <w:rsid w:val="00003884"/>
    <w:rsid w:val="00004AA5"/>
    <w:rsid w:val="00005DAC"/>
    <w:rsid w:val="00007AEB"/>
    <w:rsid w:val="000137E6"/>
    <w:rsid w:val="00015AD4"/>
    <w:rsid w:val="00016484"/>
    <w:rsid w:val="000233C8"/>
    <w:rsid w:val="00025B10"/>
    <w:rsid w:val="000268A6"/>
    <w:rsid w:val="000366FD"/>
    <w:rsid w:val="0004247C"/>
    <w:rsid w:val="00045BCD"/>
    <w:rsid w:val="00046424"/>
    <w:rsid w:val="00052A38"/>
    <w:rsid w:val="0005428B"/>
    <w:rsid w:val="000607D1"/>
    <w:rsid w:val="00060E45"/>
    <w:rsid w:val="00061CFC"/>
    <w:rsid w:val="00065F1D"/>
    <w:rsid w:val="000802BC"/>
    <w:rsid w:val="000802F2"/>
    <w:rsid w:val="00086BD7"/>
    <w:rsid w:val="00087FD6"/>
    <w:rsid w:val="00092DFD"/>
    <w:rsid w:val="00093F9D"/>
    <w:rsid w:val="00095ECB"/>
    <w:rsid w:val="00097D7B"/>
    <w:rsid w:val="00097EB8"/>
    <w:rsid w:val="000A1DDB"/>
    <w:rsid w:val="000A368B"/>
    <w:rsid w:val="000A5A55"/>
    <w:rsid w:val="000B044B"/>
    <w:rsid w:val="000B1B76"/>
    <w:rsid w:val="000B53B6"/>
    <w:rsid w:val="000B6A65"/>
    <w:rsid w:val="000B73B6"/>
    <w:rsid w:val="000B7A09"/>
    <w:rsid w:val="000C407A"/>
    <w:rsid w:val="000C5A74"/>
    <w:rsid w:val="000C5D3E"/>
    <w:rsid w:val="000D3936"/>
    <w:rsid w:val="000D77ED"/>
    <w:rsid w:val="000D7835"/>
    <w:rsid w:val="000E1891"/>
    <w:rsid w:val="000E4319"/>
    <w:rsid w:val="000E5516"/>
    <w:rsid w:val="000E7595"/>
    <w:rsid w:val="000F17C3"/>
    <w:rsid w:val="000F2E0F"/>
    <w:rsid w:val="0010408F"/>
    <w:rsid w:val="001054D5"/>
    <w:rsid w:val="001061AB"/>
    <w:rsid w:val="00107B6A"/>
    <w:rsid w:val="001128B9"/>
    <w:rsid w:val="001214B4"/>
    <w:rsid w:val="00121809"/>
    <w:rsid w:val="001225FB"/>
    <w:rsid w:val="001227E5"/>
    <w:rsid w:val="0012455F"/>
    <w:rsid w:val="00127D2D"/>
    <w:rsid w:val="00131214"/>
    <w:rsid w:val="001327F1"/>
    <w:rsid w:val="001328D0"/>
    <w:rsid w:val="0013350F"/>
    <w:rsid w:val="0013396B"/>
    <w:rsid w:val="00135500"/>
    <w:rsid w:val="001445ED"/>
    <w:rsid w:val="00145069"/>
    <w:rsid w:val="00147D5F"/>
    <w:rsid w:val="00150D59"/>
    <w:rsid w:val="0015148D"/>
    <w:rsid w:val="00160EA5"/>
    <w:rsid w:val="00162EAE"/>
    <w:rsid w:val="00165BA1"/>
    <w:rsid w:val="001740CB"/>
    <w:rsid w:val="00176B5F"/>
    <w:rsid w:val="001775D4"/>
    <w:rsid w:val="00177D4D"/>
    <w:rsid w:val="00182025"/>
    <w:rsid w:val="00182522"/>
    <w:rsid w:val="00183DBB"/>
    <w:rsid w:val="0018418A"/>
    <w:rsid w:val="001879DF"/>
    <w:rsid w:val="0019070C"/>
    <w:rsid w:val="001A0CAA"/>
    <w:rsid w:val="001A15E1"/>
    <w:rsid w:val="001A1EA8"/>
    <w:rsid w:val="001A317B"/>
    <w:rsid w:val="001B45A5"/>
    <w:rsid w:val="001B687B"/>
    <w:rsid w:val="001B7D8C"/>
    <w:rsid w:val="001C3751"/>
    <w:rsid w:val="001C7BD6"/>
    <w:rsid w:val="001C7D9C"/>
    <w:rsid w:val="001D3E89"/>
    <w:rsid w:val="001E6FA0"/>
    <w:rsid w:val="001E7263"/>
    <w:rsid w:val="00207C4A"/>
    <w:rsid w:val="00210B79"/>
    <w:rsid w:val="0021214B"/>
    <w:rsid w:val="0021527C"/>
    <w:rsid w:val="00217762"/>
    <w:rsid w:val="00221108"/>
    <w:rsid w:val="00222414"/>
    <w:rsid w:val="00223881"/>
    <w:rsid w:val="00224513"/>
    <w:rsid w:val="00227C16"/>
    <w:rsid w:val="00232F45"/>
    <w:rsid w:val="00233BC7"/>
    <w:rsid w:val="002349D0"/>
    <w:rsid w:val="0023598E"/>
    <w:rsid w:val="00236658"/>
    <w:rsid w:val="00237649"/>
    <w:rsid w:val="00241B83"/>
    <w:rsid w:val="0024440B"/>
    <w:rsid w:val="00251A12"/>
    <w:rsid w:val="002626BF"/>
    <w:rsid w:val="00266B37"/>
    <w:rsid w:val="00270050"/>
    <w:rsid w:val="00272FB3"/>
    <w:rsid w:val="00273B1D"/>
    <w:rsid w:val="0028271E"/>
    <w:rsid w:val="0028328A"/>
    <w:rsid w:val="00284376"/>
    <w:rsid w:val="002870EE"/>
    <w:rsid w:val="00292EC5"/>
    <w:rsid w:val="00296DCF"/>
    <w:rsid w:val="002A17FF"/>
    <w:rsid w:val="002A1C26"/>
    <w:rsid w:val="002A2D2C"/>
    <w:rsid w:val="002A3B1A"/>
    <w:rsid w:val="002A3C8C"/>
    <w:rsid w:val="002A6309"/>
    <w:rsid w:val="002A66DA"/>
    <w:rsid w:val="002A6D39"/>
    <w:rsid w:val="002A6E79"/>
    <w:rsid w:val="002B003E"/>
    <w:rsid w:val="002B034E"/>
    <w:rsid w:val="002B1B83"/>
    <w:rsid w:val="002C1CE4"/>
    <w:rsid w:val="002C3303"/>
    <w:rsid w:val="002C3DD0"/>
    <w:rsid w:val="002C435B"/>
    <w:rsid w:val="002C4A3A"/>
    <w:rsid w:val="002D49BB"/>
    <w:rsid w:val="002D5581"/>
    <w:rsid w:val="002D66F9"/>
    <w:rsid w:val="002D737A"/>
    <w:rsid w:val="002D7405"/>
    <w:rsid w:val="002E721E"/>
    <w:rsid w:val="002F0202"/>
    <w:rsid w:val="002F2EBD"/>
    <w:rsid w:val="002F6D40"/>
    <w:rsid w:val="00300C8F"/>
    <w:rsid w:val="00302AE4"/>
    <w:rsid w:val="003066FB"/>
    <w:rsid w:val="0030784E"/>
    <w:rsid w:val="003116E1"/>
    <w:rsid w:val="00316726"/>
    <w:rsid w:val="00320862"/>
    <w:rsid w:val="00323570"/>
    <w:rsid w:val="003331C5"/>
    <w:rsid w:val="00333CAD"/>
    <w:rsid w:val="0033413F"/>
    <w:rsid w:val="00337D70"/>
    <w:rsid w:val="00342B00"/>
    <w:rsid w:val="003522C1"/>
    <w:rsid w:val="00355DED"/>
    <w:rsid w:val="00360F85"/>
    <w:rsid w:val="00364183"/>
    <w:rsid w:val="0036525E"/>
    <w:rsid w:val="00366780"/>
    <w:rsid w:val="00370C52"/>
    <w:rsid w:val="00371AE9"/>
    <w:rsid w:val="0037374F"/>
    <w:rsid w:val="003739CA"/>
    <w:rsid w:val="003749F8"/>
    <w:rsid w:val="00380D8A"/>
    <w:rsid w:val="00381C55"/>
    <w:rsid w:val="0038452B"/>
    <w:rsid w:val="003864B9"/>
    <w:rsid w:val="003866F5"/>
    <w:rsid w:val="00393CBD"/>
    <w:rsid w:val="003A5B8F"/>
    <w:rsid w:val="003A7004"/>
    <w:rsid w:val="003B20AD"/>
    <w:rsid w:val="003B698D"/>
    <w:rsid w:val="003C5841"/>
    <w:rsid w:val="003C7B40"/>
    <w:rsid w:val="003C7D90"/>
    <w:rsid w:val="003D1C01"/>
    <w:rsid w:val="003D5B8C"/>
    <w:rsid w:val="003D6FA9"/>
    <w:rsid w:val="003D7962"/>
    <w:rsid w:val="003E3F55"/>
    <w:rsid w:val="003F3667"/>
    <w:rsid w:val="003F6449"/>
    <w:rsid w:val="003F7B43"/>
    <w:rsid w:val="0040234F"/>
    <w:rsid w:val="00403847"/>
    <w:rsid w:val="00407F0A"/>
    <w:rsid w:val="004127AE"/>
    <w:rsid w:val="00414CA3"/>
    <w:rsid w:val="00416ADE"/>
    <w:rsid w:val="00423FD4"/>
    <w:rsid w:val="0042740E"/>
    <w:rsid w:val="004358BA"/>
    <w:rsid w:val="004366F8"/>
    <w:rsid w:val="0044063E"/>
    <w:rsid w:val="00442356"/>
    <w:rsid w:val="00443845"/>
    <w:rsid w:val="00444646"/>
    <w:rsid w:val="0044530D"/>
    <w:rsid w:val="00446641"/>
    <w:rsid w:val="004474EE"/>
    <w:rsid w:val="00450A0B"/>
    <w:rsid w:val="00455319"/>
    <w:rsid w:val="00462C18"/>
    <w:rsid w:val="00473D92"/>
    <w:rsid w:val="004753AF"/>
    <w:rsid w:val="00475549"/>
    <w:rsid w:val="00476659"/>
    <w:rsid w:val="00481AEF"/>
    <w:rsid w:val="004820C6"/>
    <w:rsid w:val="00482747"/>
    <w:rsid w:val="00485853"/>
    <w:rsid w:val="00493EDC"/>
    <w:rsid w:val="004B1066"/>
    <w:rsid w:val="004B6752"/>
    <w:rsid w:val="004B7AD3"/>
    <w:rsid w:val="004C3293"/>
    <w:rsid w:val="004C7F73"/>
    <w:rsid w:val="004D57CE"/>
    <w:rsid w:val="004D609E"/>
    <w:rsid w:val="004E0864"/>
    <w:rsid w:val="004E1CBF"/>
    <w:rsid w:val="004E3F02"/>
    <w:rsid w:val="004E7CAC"/>
    <w:rsid w:val="004F229E"/>
    <w:rsid w:val="004F4D1E"/>
    <w:rsid w:val="004F7067"/>
    <w:rsid w:val="00500326"/>
    <w:rsid w:val="0050133A"/>
    <w:rsid w:val="00502FD2"/>
    <w:rsid w:val="00517573"/>
    <w:rsid w:val="00520939"/>
    <w:rsid w:val="005210F7"/>
    <w:rsid w:val="00521105"/>
    <w:rsid w:val="0052242D"/>
    <w:rsid w:val="00522EEC"/>
    <w:rsid w:val="005276BD"/>
    <w:rsid w:val="00530F60"/>
    <w:rsid w:val="0053137B"/>
    <w:rsid w:val="005316B5"/>
    <w:rsid w:val="00532549"/>
    <w:rsid w:val="0053676C"/>
    <w:rsid w:val="00545B20"/>
    <w:rsid w:val="00547356"/>
    <w:rsid w:val="00550D91"/>
    <w:rsid w:val="005525BD"/>
    <w:rsid w:val="005542F6"/>
    <w:rsid w:val="00554ACF"/>
    <w:rsid w:val="00560E53"/>
    <w:rsid w:val="00562376"/>
    <w:rsid w:val="005623E7"/>
    <w:rsid w:val="00562E5D"/>
    <w:rsid w:val="00566610"/>
    <w:rsid w:val="0056677E"/>
    <w:rsid w:val="00572848"/>
    <w:rsid w:val="00573A74"/>
    <w:rsid w:val="00573DBE"/>
    <w:rsid w:val="00573EE4"/>
    <w:rsid w:val="005756A0"/>
    <w:rsid w:val="00577A26"/>
    <w:rsid w:val="00580E0F"/>
    <w:rsid w:val="00582AFD"/>
    <w:rsid w:val="005876A6"/>
    <w:rsid w:val="00595618"/>
    <w:rsid w:val="005959F5"/>
    <w:rsid w:val="00597CCD"/>
    <w:rsid w:val="005A0A9D"/>
    <w:rsid w:val="005A121B"/>
    <w:rsid w:val="005A1D81"/>
    <w:rsid w:val="005A26B4"/>
    <w:rsid w:val="005B0A7A"/>
    <w:rsid w:val="005B2B74"/>
    <w:rsid w:val="005B3F95"/>
    <w:rsid w:val="005B4F59"/>
    <w:rsid w:val="005B75E3"/>
    <w:rsid w:val="005C0DD0"/>
    <w:rsid w:val="005C14A2"/>
    <w:rsid w:val="005C7E3D"/>
    <w:rsid w:val="005D0260"/>
    <w:rsid w:val="005D2995"/>
    <w:rsid w:val="005D3E83"/>
    <w:rsid w:val="005D6E67"/>
    <w:rsid w:val="005D7094"/>
    <w:rsid w:val="005E11C0"/>
    <w:rsid w:val="005E6A30"/>
    <w:rsid w:val="005E6BFA"/>
    <w:rsid w:val="005F219D"/>
    <w:rsid w:val="005F2BED"/>
    <w:rsid w:val="005F60A9"/>
    <w:rsid w:val="005F70DB"/>
    <w:rsid w:val="006003B4"/>
    <w:rsid w:val="00600632"/>
    <w:rsid w:val="006008C6"/>
    <w:rsid w:val="00602CE7"/>
    <w:rsid w:val="006034B7"/>
    <w:rsid w:val="006035A9"/>
    <w:rsid w:val="006035BB"/>
    <w:rsid w:val="00611B03"/>
    <w:rsid w:val="00614D57"/>
    <w:rsid w:val="00627CFD"/>
    <w:rsid w:val="00631510"/>
    <w:rsid w:val="00634A01"/>
    <w:rsid w:val="00636440"/>
    <w:rsid w:val="0064042B"/>
    <w:rsid w:val="00640437"/>
    <w:rsid w:val="006421B8"/>
    <w:rsid w:val="00643006"/>
    <w:rsid w:val="00647753"/>
    <w:rsid w:val="00647ACE"/>
    <w:rsid w:val="00651124"/>
    <w:rsid w:val="00657496"/>
    <w:rsid w:val="006575A1"/>
    <w:rsid w:val="00664D86"/>
    <w:rsid w:val="00667963"/>
    <w:rsid w:val="0067279C"/>
    <w:rsid w:val="00673287"/>
    <w:rsid w:val="00674389"/>
    <w:rsid w:val="00674BE0"/>
    <w:rsid w:val="00683B6D"/>
    <w:rsid w:val="006841E7"/>
    <w:rsid w:val="006A224C"/>
    <w:rsid w:val="006A2AEA"/>
    <w:rsid w:val="006A2C43"/>
    <w:rsid w:val="006A3ABE"/>
    <w:rsid w:val="006A3B37"/>
    <w:rsid w:val="006A3FD0"/>
    <w:rsid w:val="006B02B2"/>
    <w:rsid w:val="006B15EB"/>
    <w:rsid w:val="006B6C6C"/>
    <w:rsid w:val="006C31C4"/>
    <w:rsid w:val="006C4517"/>
    <w:rsid w:val="006C7201"/>
    <w:rsid w:val="006D53B0"/>
    <w:rsid w:val="006E0982"/>
    <w:rsid w:val="006E3B5F"/>
    <w:rsid w:val="006E4B39"/>
    <w:rsid w:val="006E7F9A"/>
    <w:rsid w:val="006F2AF7"/>
    <w:rsid w:val="007025C6"/>
    <w:rsid w:val="00703BB4"/>
    <w:rsid w:val="00705C7F"/>
    <w:rsid w:val="0070613D"/>
    <w:rsid w:val="0071109B"/>
    <w:rsid w:val="00712C78"/>
    <w:rsid w:val="00713E53"/>
    <w:rsid w:val="00715FF4"/>
    <w:rsid w:val="00720513"/>
    <w:rsid w:val="00720B72"/>
    <w:rsid w:val="007323A2"/>
    <w:rsid w:val="00732B08"/>
    <w:rsid w:val="007358C3"/>
    <w:rsid w:val="00737440"/>
    <w:rsid w:val="00745538"/>
    <w:rsid w:val="007457A3"/>
    <w:rsid w:val="00745F9B"/>
    <w:rsid w:val="007479FA"/>
    <w:rsid w:val="007510AF"/>
    <w:rsid w:val="00756E5A"/>
    <w:rsid w:val="00767D1C"/>
    <w:rsid w:val="007715AB"/>
    <w:rsid w:val="00773A7C"/>
    <w:rsid w:val="00775EFA"/>
    <w:rsid w:val="00787209"/>
    <w:rsid w:val="007909AE"/>
    <w:rsid w:val="00790F4C"/>
    <w:rsid w:val="007920CC"/>
    <w:rsid w:val="007934C8"/>
    <w:rsid w:val="007A5512"/>
    <w:rsid w:val="007A560F"/>
    <w:rsid w:val="007A6066"/>
    <w:rsid w:val="007B1717"/>
    <w:rsid w:val="007B1731"/>
    <w:rsid w:val="007B4C19"/>
    <w:rsid w:val="007B4C47"/>
    <w:rsid w:val="007C338F"/>
    <w:rsid w:val="007C691F"/>
    <w:rsid w:val="007D01EA"/>
    <w:rsid w:val="007D2134"/>
    <w:rsid w:val="007D3065"/>
    <w:rsid w:val="007D3DF5"/>
    <w:rsid w:val="007E1ED5"/>
    <w:rsid w:val="007E3417"/>
    <w:rsid w:val="007E6637"/>
    <w:rsid w:val="007E731C"/>
    <w:rsid w:val="007F3D19"/>
    <w:rsid w:val="007F474F"/>
    <w:rsid w:val="007F6397"/>
    <w:rsid w:val="007F67E2"/>
    <w:rsid w:val="007F74F2"/>
    <w:rsid w:val="00800308"/>
    <w:rsid w:val="00801928"/>
    <w:rsid w:val="0080199A"/>
    <w:rsid w:val="00801A32"/>
    <w:rsid w:val="00802DB1"/>
    <w:rsid w:val="0080411C"/>
    <w:rsid w:val="00804C7A"/>
    <w:rsid w:val="00805AB7"/>
    <w:rsid w:val="00807FE2"/>
    <w:rsid w:val="00811B70"/>
    <w:rsid w:val="008126F6"/>
    <w:rsid w:val="00820FD4"/>
    <w:rsid w:val="0082129E"/>
    <w:rsid w:val="00822D80"/>
    <w:rsid w:val="008254B2"/>
    <w:rsid w:val="008258F3"/>
    <w:rsid w:val="00826ED5"/>
    <w:rsid w:val="00843E51"/>
    <w:rsid w:val="00846462"/>
    <w:rsid w:val="00850390"/>
    <w:rsid w:val="00851137"/>
    <w:rsid w:val="008520D8"/>
    <w:rsid w:val="00852DD1"/>
    <w:rsid w:val="00854151"/>
    <w:rsid w:val="00857E21"/>
    <w:rsid w:val="00857E45"/>
    <w:rsid w:val="00860CC1"/>
    <w:rsid w:val="008619B8"/>
    <w:rsid w:val="00864664"/>
    <w:rsid w:val="00864ECF"/>
    <w:rsid w:val="00876CB4"/>
    <w:rsid w:val="00876DFC"/>
    <w:rsid w:val="008820B3"/>
    <w:rsid w:val="0088248F"/>
    <w:rsid w:val="00883282"/>
    <w:rsid w:val="00886027"/>
    <w:rsid w:val="00887CCB"/>
    <w:rsid w:val="00890CEE"/>
    <w:rsid w:val="00890E54"/>
    <w:rsid w:val="0089236F"/>
    <w:rsid w:val="00894BC0"/>
    <w:rsid w:val="008954C8"/>
    <w:rsid w:val="008A54E7"/>
    <w:rsid w:val="008B086A"/>
    <w:rsid w:val="008B2F0D"/>
    <w:rsid w:val="008B7C61"/>
    <w:rsid w:val="008C1ACB"/>
    <w:rsid w:val="008C1BBA"/>
    <w:rsid w:val="008C2D4D"/>
    <w:rsid w:val="008C7D6C"/>
    <w:rsid w:val="008D1309"/>
    <w:rsid w:val="008D1530"/>
    <w:rsid w:val="008D22EA"/>
    <w:rsid w:val="008D5F18"/>
    <w:rsid w:val="008D6976"/>
    <w:rsid w:val="008D7A83"/>
    <w:rsid w:val="008E0AA9"/>
    <w:rsid w:val="008E1AB6"/>
    <w:rsid w:val="008E1D9C"/>
    <w:rsid w:val="008E530A"/>
    <w:rsid w:val="008E55E6"/>
    <w:rsid w:val="008E74F5"/>
    <w:rsid w:val="008F00B3"/>
    <w:rsid w:val="008F167C"/>
    <w:rsid w:val="008F56F9"/>
    <w:rsid w:val="008F68B2"/>
    <w:rsid w:val="0090109B"/>
    <w:rsid w:val="00902564"/>
    <w:rsid w:val="00902BF4"/>
    <w:rsid w:val="00911230"/>
    <w:rsid w:val="00911A9A"/>
    <w:rsid w:val="00914B9B"/>
    <w:rsid w:val="0091707B"/>
    <w:rsid w:val="00920988"/>
    <w:rsid w:val="00926DE4"/>
    <w:rsid w:val="00927D84"/>
    <w:rsid w:val="0093330B"/>
    <w:rsid w:val="00933DD5"/>
    <w:rsid w:val="00936607"/>
    <w:rsid w:val="009369B5"/>
    <w:rsid w:val="009417E7"/>
    <w:rsid w:val="00943FED"/>
    <w:rsid w:val="00944ABD"/>
    <w:rsid w:val="0095038D"/>
    <w:rsid w:val="009508B8"/>
    <w:rsid w:val="009531A9"/>
    <w:rsid w:val="00955EEE"/>
    <w:rsid w:val="009611B5"/>
    <w:rsid w:val="00963AE4"/>
    <w:rsid w:val="00965E4C"/>
    <w:rsid w:val="00971EDD"/>
    <w:rsid w:val="00976074"/>
    <w:rsid w:val="0097790B"/>
    <w:rsid w:val="00977EA7"/>
    <w:rsid w:val="009816D6"/>
    <w:rsid w:val="00990B52"/>
    <w:rsid w:val="00991DC6"/>
    <w:rsid w:val="009968FE"/>
    <w:rsid w:val="009A0455"/>
    <w:rsid w:val="009A453C"/>
    <w:rsid w:val="009A6F2A"/>
    <w:rsid w:val="009B0CBC"/>
    <w:rsid w:val="009B0EA1"/>
    <w:rsid w:val="009B2F6D"/>
    <w:rsid w:val="009B3C1D"/>
    <w:rsid w:val="009B7660"/>
    <w:rsid w:val="009C0177"/>
    <w:rsid w:val="009C3AB0"/>
    <w:rsid w:val="009C45DB"/>
    <w:rsid w:val="009C5361"/>
    <w:rsid w:val="009D52BA"/>
    <w:rsid w:val="009D6C58"/>
    <w:rsid w:val="009E422B"/>
    <w:rsid w:val="009E52FA"/>
    <w:rsid w:val="009E63DB"/>
    <w:rsid w:val="009E6480"/>
    <w:rsid w:val="009F1F2B"/>
    <w:rsid w:val="00A00F5E"/>
    <w:rsid w:val="00A033B8"/>
    <w:rsid w:val="00A149C8"/>
    <w:rsid w:val="00A20726"/>
    <w:rsid w:val="00A21EFE"/>
    <w:rsid w:val="00A23A0D"/>
    <w:rsid w:val="00A25E69"/>
    <w:rsid w:val="00A3105B"/>
    <w:rsid w:val="00A31AC3"/>
    <w:rsid w:val="00A3518E"/>
    <w:rsid w:val="00A35316"/>
    <w:rsid w:val="00A35E29"/>
    <w:rsid w:val="00A4023A"/>
    <w:rsid w:val="00A41EB7"/>
    <w:rsid w:val="00A42B2F"/>
    <w:rsid w:val="00A553DE"/>
    <w:rsid w:val="00A55845"/>
    <w:rsid w:val="00A566F9"/>
    <w:rsid w:val="00A601D8"/>
    <w:rsid w:val="00A60EF5"/>
    <w:rsid w:val="00A65E42"/>
    <w:rsid w:val="00A70AEE"/>
    <w:rsid w:val="00A71EA1"/>
    <w:rsid w:val="00A7379D"/>
    <w:rsid w:val="00A776B4"/>
    <w:rsid w:val="00A77726"/>
    <w:rsid w:val="00A83827"/>
    <w:rsid w:val="00A9263E"/>
    <w:rsid w:val="00A9413D"/>
    <w:rsid w:val="00A95098"/>
    <w:rsid w:val="00AA2513"/>
    <w:rsid w:val="00AA29E7"/>
    <w:rsid w:val="00AA3BBA"/>
    <w:rsid w:val="00AA4B08"/>
    <w:rsid w:val="00AA5B38"/>
    <w:rsid w:val="00AA6442"/>
    <w:rsid w:val="00AB1C97"/>
    <w:rsid w:val="00AB218D"/>
    <w:rsid w:val="00AB587F"/>
    <w:rsid w:val="00AB6C58"/>
    <w:rsid w:val="00AC2878"/>
    <w:rsid w:val="00AC55D2"/>
    <w:rsid w:val="00AC7F33"/>
    <w:rsid w:val="00AD02A9"/>
    <w:rsid w:val="00AD04B6"/>
    <w:rsid w:val="00AD52A9"/>
    <w:rsid w:val="00AD6627"/>
    <w:rsid w:val="00AD7E1C"/>
    <w:rsid w:val="00AE2A98"/>
    <w:rsid w:val="00AF0834"/>
    <w:rsid w:val="00AF43B4"/>
    <w:rsid w:val="00AF6368"/>
    <w:rsid w:val="00AF6F58"/>
    <w:rsid w:val="00B00D76"/>
    <w:rsid w:val="00B01668"/>
    <w:rsid w:val="00B06B42"/>
    <w:rsid w:val="00B07572"/>
    <w:rsid w:val="00B107F3"/>
    <w:rsid w:val="00B10D22"/>
    <w:rsid w:val="00B2348D"/>
    <w:rsid w:val="00B26437"/>
    <w:rsid w:val="00B31A7E"/>
    <w:rsid w:val="00B44B2B"/>
    <w:rsid w:val="00B54347"/>
    <w:rsid w:val="00B548EE"/>
    <w:rsid w:val="00B603BD"/>
    <w:rsid w:val="00B609DD"/>
    <w:rsid w:val="00B609F2"/>
    <w:rsid w:val="00B6116E"/>
    <w:rsid w:val="00B63246"/>
    <w:rsid w:val="00B70C98"/>
    <w:rsid w:val="00B74691"/>
    <w:rsid w:val="00B768C2"/>
    <w:rsid w:val="00B77C7C"/>
    <w:rsid w:val="00B8376F"/>
    <w:rsid w:val="00B8393E"/>
    <w:rsid w:val="00B8435F"/>
    <w:rsid w:val="00B86DBB"/>
    <w:rsid w:val="00B96E60"/>
    <w:rsid w:val="00BA00E3"/>
    <w:rsid w:val="00BA191F"/>
    <w:rsid w:val="00BA318E"/>
    <w:rsid w:val="00BA34B3"/>
    <w:rsid w:val="00BA491E"/>
    <w:rsid w:val="00BB0F94"/>
    <w:rsid w:val="00BB3A04"/>
    <w:rsid w:val="00BC2BE0"/>
    <w:rsid w:val="00BC7FBE"/>
    <w:rsid w:val="00BD1A88"/>
    <w:rsid w:val="00BD3781"/>
    <w:rsid w:val="00BD40B3"/>
    <w:rsid w:val="00BD47F7"/>
    <w:rsid w:val="00BD48A2"/>
    <w:rsid w:val="00BD4ADE"/>
    <w:rsid w:val="00BE03D5"/>
    <w:rsid w:val="00BE4738"/>
    <w:rsid w:val="00BE7E1D"/>
    <w:rsid w:val="00BF2295"/>
    <w:rsid w:val="00BF265C"/>
    <w:rsid w:val="00BF4803"/>
    <w:rsid w:val="00BF4C1A"/>
    <w:rsid w:val="00BF5C1C"/>
    <w:rsid w:val="00C07CBD"/>
    <w:rsid w:val="00C20CB1"/>
    <w:rsid w:val="00C2204C"/>
    <w:rsid w:val="00C305F5"/>
    <w:rsid w:val="00C33497"/>
    <w:rsid w:val="00C34DDD"/>
    <w:rsid w:val="00C35A27"/>
    <w:rsid w:val="00C37AF5"/>
    <w:rsid w:val="00C44BF0"/>
    <w:rsid w:val="00C44D42"/>
    <w:rsid w:val="00C54ACD"/>
    <w:rsid w:val="00C56258"/>
    <w:rsid w:val="00C56708"/>
    <w:rsid w:val="00C61C1D"/>
    <w:rsid w:val="00C64C29"/>
    <w:rsid w:val="00C67335"/>
    <w:rsid w:val="00C758D5"/>
    <w:rsid w:val="00C7770D"/>
    <w:rsid w:val="00C82D23"/>
    <w:rsid w:val="00C82DCD"/>
    <w:rsid w:val="00C9073C"/>
    <w:rsid w:val="00C93035"/>
    <w:rsid w:val="00C94E8A"/>
    <w:rsid w:val="00C9724D"/>
    <w:rsid w:val="00CA3209"/>
    <w:rsid w:val="00CA4724"/>
    <w:rsid w:val="00CA7D92"/>
    <w:rsid w:val="00CB47D0"/>
    <w:rsid w:val="00CB7C94"/>
    <w:rsid w:val="00CC307E"/>
    <w:rsid w:val="00CC4315"/>
    <w:rsid w:val="00CC5887"/>
    <w:rsid w:val="00CC7191"/>
    <w:rsid w:val="00CE13F2"/>
    <w:rsid w:val="00CE49A8"/>
    <w:rsid w:val="00CF07F0"/>
    <w:rsid w:val="00CF34F5"/>
    <w:rsid w:val="00CF59D2"/>
    <w:rsid w:val="00CF5D87"/>
    <w:rsid w:val="00D0114B"/>
    <w:rsid w:val="00D03933"/>
    <w:rsid w:val="00D04093"/>
    <w:rsid w:val="00D04858"/>
    <w:rsid w:val="00D06ADD"/>
    <w:rsid w:val="00D076B1"/>
    <w:rsid w:val="00D13CD0"/>
    <w:rsid w:val="00D148FE"/>
    <w:rsid w:val="00D159D5"/>
    <w:rsid w:val="00D20B8B"/>
    <w:rsid w:val="00D234CC"/>
    <w:rsid w:val="00D25708"/>
    <w:rsid w:val="00D31D4F"/>
    <w:rsid w:val="00D327E1"/>
    <w:rsid w:val="00D34E75"/>
    <w:rsid w:val="00D35A8E"/>
    <w:rsid w:val="00D40FE3"/>
    <w:rsid w:val="00D43AF6"/>
    <w:rsid w:val="00D43D90"/>
    <w:rsid w:val="00D43D95"/>
    <w:rsid w:val="00D43E4A"/>
    <w:rsid w:val="00D44D37"/>
    <w:rsid w:val="00D47879"/>
    <w:rsid w:val="00D5350D"/>
    <w:rsid w:val="00D66145"/>
    <w:rsid w:val="00D716AF"/>
    <w:rsid w:val="00D73147"/>
    <w:rsid w:val="00D748A9"/>
    <w:rsid w:val="00D76D14"/>
    <w:rsid w:val="00D81A3F"/>
    <w:rsid w:val="00D83287"/>
    <w:rsid w:val="00D87F96"/>
    <w:rsid w:val="00D90011"/>
    <w:rsid w:val="00D912C7"/>
    <w:rsid w:val="00D91BAB"/>
    <w:rsid w:val="00D930E0"/>
    <w:rsid w:val="00D94774"/>
    <w:rsid w:val="00DA11AE"/>
    <w:rsid w:val="00DA23D9"/>
    <w:rsid w:val="00DA35F2"/>
    <w:rsid w:val="00DA54C7"/>
    <w:rsid w:val="00DA691A"/>
    <w:rsid w:val="00DB49AB"/>
    <w:rsid w:val="00DB5212"/>
    <w:rsid w:val="00DC125C"/>
    <w:rsid w:val="00DC1260"/>
    <w:rsid w:val="00DC2457"/>
    <w:rsid w:val="00DC38F1"/>
    <w:rsid w:val="00DC4F55"/>
    <w:rsid w:val="00DC6AEA"/>
    <w:rsid w:val="00DD2EC8"/>
    <w:rsid w:val="00DD34C6"/>
    <w:rsid w:val="00DD4E73"/>
    <w:rsid w:val="00DD529D"/>
    <w:rsid w:val="00DD5DA0"/>
    <w:rsid w:val="00DD78F6"/>
    <w:rsid w:val="00DE00CF"/>
    <w:rsid w:val="00DF3FC1"/>
    <w:rsid w:val="00DF40D2"/>
    <w:rsid w:val="00E0210F"/>
    <w:rsid w:val="00E039A0"/>
    <w:rsid w:val="00E05BFF"/>
    <w:rsid w:val="00E0725A"/>
    <w:rsid w:val="00E07710"/>
    <w:rsid w:val="00E1130E"/>
    <w:rsid w:val="00E1379D"/>
    <w:rsid w:val="00E14034"/>
    <w:rsid w:val="00E22EEF"/>
    <w:rsid w:val="00E23401"/>
    <w:rsid w:val="00E2644D"/>
    <w:rsid w:val="00E3173F"/>
    <w:rsid w:val="00E343FC"/>
    <w:rsid w:val="00E34D3C"/>
    <w:rsid w:val="00E34D60"/>
    <w:rsid w:val="00E35088"/>
    <w:rsid w:val="00E35CD0"/>
    <w:rsid w:val="00E60392"/>
    <w:rsid w:val="00E615D9"/>
    <w:rsid w:val="00E660EE"/>
    <w:rsid w:val="00E70513"/>
    <w:rsid w:val="00E75E80"/>
    <w:rsid w:val="00E76468"/>
    <w:rsid w:val="00E82C21"/>
    <w:rsid w:val="00E840D2"/>
    <w:rsid w:val="00E96288"/>
    <w:rsid w:val="00EA6467"/>
    <w:rsid w:val="00EB0FC3"/>
    <w:rsid w:val="00EB4C27"/>
    <w:rsid w:val="00EC0F28"/>
    <w:rsid w:val="00EC68DB"/>
    <w:rsid w:val="00EC6F55"/>
    <w:rsid w:val="00EC70B4"/>
    <w:rsid w:val="00EC7E11"/>
    <w:rsid w:val="00ED1198"/>
    <w:rsid w:val="00ED15E9"/>
    <w:rsid w:val="00ED40E1"/>
    <w:rsid w:val="00ED4666"/>
    <w:rsid w:val="00ED6E75"/>
    <w:rsid w:val="00EE16EB"/>
    <w:rsid w:val="00EE4B5E"/>
    <w:rsid w:val="00EE5F3F"/>
    <w:rsid w:val="00EE718C"/>
    <w:rsid w:val="00EF15B2"/>
    <w:rsid w:val="00EF592B"/>
    <w:rsid w:val="00EF654C"/>
    <w:rsid w:val="00EF75E2"/>
    <w:rsid w:val="00F01756"/>
    <w:rsid w:val="00F037F7"/>
    <w:rsid w:val="00F06C9F"/>
    <w:rsid w:val="00F07DAF"/>
    <w:rsid w:val="00F07F45"/>
    <w:rsid w:val="00F127B2"/>
    <w:rsid w:val="00F1296E"/>
    <w:rsid w:val="00F149B4"/>
    <w:rsid w:val="00F16407"/>
    <w:rsid w:val="00F16998"/>
    <w:rsid w:val="00F17D57"/>
    <w:rsid w:val="00F2107D"/>
    <w:rsid w:val="00F23CE4"/>
    <w:rsid w:val="00F27C36"/>
    <w:rsid w:val="00F30AEA"/>
    <w:rsid w:val="00F32FF9"/>
    <w:rsid w:val="00F33FC5"/>
    <w:rsid w:val="00F34FFF"/>
    <w:rsid w:val="00F35DDE"/>
    <w:rsid w:val="00F3618F"/>
    <w:rsid w:val="00F376F0"/>
    <w:rsid w:val="00F37A0F"/>
    <w:rsid w:val="00F4531F"/>
    <w:rsid w:val="00F45BF5"/>
    <w:rsid w:val="00F51113"/>
    <w:rsid w:val="00F53862"/>
    <w:rsid w:val="00F54516"/>
    <w:rsid w:val="00F636CD"/>
    <w:rsid w:val="00F6474A"/>
    <w:rsid w:val="00F7468A"/>
    <w:rsid w:val="00F75C67"/>
    <w:rsid w:val="00F8207A"/>
    <w:rsid w:val="00F840C1"/>
    <w:rsid w:val="00F85CDC"/>
    <w:rsid w:val="00F863B5"/>
    <w:rsid w:val="00F87CC2"/>
    <w:rsid w:val="00FA1188"/>
    <w:rsid w:val="00FA523B"/>
    <w:rsid w:val="00FA5FCA"/>
    <w:rsid w:val="00FB2D29"/>
    <w:rsid w:val="00FB400D"/>
    <w:rsid w:val="00FB7ACA"/>
    <w:rsid w:val="00FC0B04"/>
    <w:rsid w:val="00FC16E1"/>
    <w:rsid w:val="00FC20AA"/>
    <w:rsid w:val="00FC36DB"/>
    <w:rsid w:val="00FD0ABC"/>
    <w:rsid w:val="00FD0EBD"/>
    <w:rsid w:val="00FD2880"/>
    <w:rsid w:val="00FD294A"/>
    <w:rsid w:val="00FD6184"/>
    <w:rsid w:val="00FE0A1B"/>
    <w:rsid w:val="00FE5DFC"/>
    <w:rsid w:val="00FE6366"/>
    <w:rsid w:val="00FF0A98"/>
    <w:rsid w:val="00FF1263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0345"/>
  <w15:chartTrackingRefBased/>
  <w15:docId w15:val="{C26200A0-D044-4FD5-B52C-81B6275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7"/>
  </w:style>
  <w:style w:type="paragraph" w:styleId="1">
    <w:name w:val="heading 1"/>
    <w:basedOn w:val="a"/>
    <w:next w:val="a"/>
    <w:link w:val="10"/>
    <w:uiPriority w:val="9"/>
    <w:qFormat/>
    <w:rsid w:val="00552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4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6A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A3FD0"/>
  </w:style>
  <w:style w:type="paragraph" w:customStyle="1" w:styleId="rvps2">
    <w:name w:val="rvps2"/>
    <w:basedOn w:val="a"/>
    <w:rsid w:val="006A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A3FD0"/>
  </w:style>
  <w:style w:type="paragraph" w:styleId="a4">
    <w:name w:val="Balloon Text"/>
    <w:basedOn w:val="a"/>
    <w:link w:val="a5"/>
    <w:uiPriority w:val="99"/>
    <w:semiHidden/>
    <w:unhideWhenUsed/>
    <w:rsid w:val="00D7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6A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8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IASBTableTNR">
    <w:name w:val="IASB Table TNR"/>
    <w:basedOn w:val="a"/>
    <w:qFormat/>
    <w:rsid w:val="00446641"/>
    <w:pPr>
      <w:spacing w:before="120" w:after="0" w:line="240" w:lineRule="auto"/>
    </w:pPr>
    <w:rPr>
      <w:rFonts w:ascii="Times New Roman" w:eastAsia="Times New Roman" w:hAnsi="Times New Roman" w:cs="Times New Roman"/>
      <w:sz w:val="19"/>
      <w:szCs w:val="20"/>
      <w:lang w:val="en-GB" w:eastAsia="en-GB"/>
    </w:rPr>
  </w:style>
  <w:style w:type="paragraph" w:customStyle="1" w:styleId="IASBNormalL1">
    <w:name w:val="IASB Normal L1"/>
    <w:basedOn w:val="a"/>
    <w:rsid w:val="00446641"/>
    <w:pPr>
      <w:spacing w:before="100" w:after="0" w:line="240" w:lineRule="auto"/>
      <w:ind w:left="782" w:hanging="782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ASBNormalL2">
    <w:name w:val="IASB Normal L2"/>
    <w:basedOn w:val="IASBNormalL1"/>
    <w:rsid w:val="00446641"/>
    <w:pPr>
      <w:ind w:left="1564"/>
    </w:pPr>
  </w:style>
  <w:style w:type="paragraph" w:styleId="a7">
    <w:name w:val="List Paragraph"/>
    <w:basedOn w:val="a"/>
    <w:uiPriority w:val="34"/>
    <w:qFormat/>
    <w:rsid w:val="004466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0F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C0F28"/>
  </w:style>
  <w:style w:type="paragraph" w:styleId="aa">
    <w:name w:val="footer"/>
    <w:basedOn w:val="a"/>
    <w:link w:val="ab"/>
    <w:uiPriority w:val="99"/>
    <w:unhideWhenUsed/>
    <w:rsid w:val="00EC0F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C0F28"/>
  </w:style>
  <w:style w:type="character" w:customStyle="1" w:styleId="20">
    <w:name w:val="Заголовок 2 Знак"/>
    <w:basedOn w:val="a0"/>
    <w:link w:val="2"/>
    <w:uiPriority w:val="9"/>
    <w:semiHidden/>
    <w:rsid w:val="00664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4D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Hyperlink"/>
    <w:uiPriority w:val="99"/>
    <w:semiHidden/>
    <w:unhideWhenUsed/>
    <w:rsid w:val="005D6E67"/>
    <w:rPr>
      <w:color w:val="0000FF"/>
      <w:u w:val="single"/>
    </w:rPr>
  </w:style>
  <w:style w:type="paragraph" w:styleId="ad">
    <w:name w:val="Revision"/>
    <w:hidden/>
    <w:uiPriority w:val="99"/>
    <w:semiHidden/>
    <w:rsid w:val="00AF6F58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F127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27B2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F127B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27B2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F127B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2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vps12">
    <w:name w:val="rvps12"/>
    <w:basedOn w:val="a"/>
    <w:rsid w:val="0089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C980-A0B6-4484-9A6F-5665CDB5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Юрій Ігорович</dc:creator>
  <cp:keywords/>
  <dc:description/>
  <cp:lastModifiedBy>Шевчук Юрій Ігорович</cp:lastModifiedBy>
  <cp:revision>2</cp:revision>
  <cp:lastPrinted>2020-09-17T14:58:00Z</cp:lastPrinted>
  <dcterms:created xsi:type="dcterms:W3CDTF">2023-10-26T13:55:00Z</dcterms:created>
  <dcterms:modified xsi:type="dcterms:W3CDTF">2023-10-26T13:55:00Z</dcterms:modified>
</cp:coreProperties>
</file>