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91A7A" w:rsidRPr="00891A7A" w:rsidTr="00001C41">
        <w:tc>
          <w:tcPr>
            <w:tcW w:w="4814" w:type="dxa"/>
          </w:tcPr>
          <w:p w:rsidR="00001C41" w:rsidRPr="00891A7A" w:rsidRDefault="00001C41" w:rsidP="00001C41">
            <w:pPr>
              <w:jc w:val="both"/>
              <w:rPr>
                <w:rStyle w:val="rvts9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4815" w:type="dxa"/>
          </w:tcPr>
          <w:p w:rsidR="000374CB" w:rsidRPr="00891A7A" w:rsidRDefault="00001C41" w:rsidP="00BF6E9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ЗАТВЕРДЖЕНО</w:t>
            </w:r>
            <w:r w:rsidRPr="00891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Наказ Міністерства фінансів України 01 листопада 2017 р. № 898</w:t>
            </w:r>
          </w:p>
          <w:p w:rsidR="00001C41" w:rsidRPr="00891A7A" w:rsidRDefault="004179BC" w:rsidP="00BF6E9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374CB" w:rsidRPr="00891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редакції </w:t>
            </w:r>
            <w:r w:rsidR="00001C41" w:rsidRPr="00891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наказ</w:t>
            </w:r>
            <w:r w:rsidR="000374CB" w:rsidRPr="00891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001C41" w:rsidRPr="00891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Міністерства фінансів України</w:t>
            </w:r>
          </w:p>
          <w:p w:rsidR="00001C41" w:rsidRPr="00891A7A" w:rsidRDefault="00001C41" w:rsidP="004179B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179BC" w:rsidRPr="00891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</w:t>
            </w:r>
            <w:r w:rsidRPr="00891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179BC" w:rsidRPr="00891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 </w:t>
            </w:r>
            <w:r w:rsidRPr="00891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р</w:t>
            </w:r>
            <w:r w:rsidR="004179BC" w:rsidRPr="00891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оку</w:t>
            </w:r>
            <w:r w:rsidRPr="00891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4179BC" w:rsidRPr="00891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____)</w:t>
            </w:r>
          </w:p>
        </w:tc>
      </w:tr>
    </w:tbl>
    <w:p w:rsidR="00001C41" w:rsidRPr="00891A7A" w:rsidRDefault="00001C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1A7A" w:rsidRPr="00891A7A" w:rsidRDefault="00891A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1A7A" w:rsidRPr="00891A7A" w:rsidRDefault="00891A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1A7A" w:rsidRPr="00891A7A" w:rsidRDefault="00891A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1A7A" w:rsidRPr="00891A7A" w:rsidRDefault="00891A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1A7A" w:rsidRPr="00891A7A" w:rsidRDefault="00891A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1A7A" w:rsidRPr="00891A7A" w:rsidRDefault="00891A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C41" w:rsidRPr="00891A7A" w:rsidRDefault="00001C41" w:rsidP="004179BC">
      <w:pPr>
        <w:spacing w:after="120"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1A7A">
        <w:rPr>
          <w:rFonts w:ascii="Times New Roman" w:hAnsi="Times New Roman"/>
          <w:b/>
          <w:color w:val="000000" w:themeColor="text1"/>
          <w:sz w:val="28"/>
          <w:szCs w:val="28"/>
        </w:rPr>
        <w:t>Порядок обліку та перерахування до державного бюджету митних та інших платежів, які вносяться до/або під час митного оформлення</w:t>
      </w:r>
    </w:p>
    <w:p w:rsidR="00001C41" w:rsidRPr="00891A7A" w:rsidRDefault="00001C41" w:rsidP="004179BC">
      <w:pPr>
        <w:spacing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І. Загальні положення</w:t>
      </w:r>
    </w:p>
    <w:p w:rsidR="00001C41" w:rsidRPr="00891A7A" w:rsidRDefault="00001C41" w:rsidP="004179BC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1. Цей Порядок визначає процедури обліку та перерахування до  державного бюджету митних та інших платежів, які вносяться до/або під час митного оформлення.</w:t>
      </w:r>
    </w:p>
    <w:p w:rsidR="00001C41" w:rsidRPr="00891A7A" w:rsidRDefault="00001C41" w:rsidP="004179BC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2. У цьому Порядку терміни вживаються в таких значеннях:</w:t>
      </w:r>
    </w:p>
    <w:p w:rsidR="00001C41" w:rsidRPr="00891A7A" w:rsidRDefault="00001C41" w:rsidP="004179BC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авансові платежі (передоплата) </w:t>
      </w:r>
      <w:r w:rsidR="000374CB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грошові кошти, внесені платником податків у валюті України за власним бажанням на рахунки, визначені відповідно до цього Порядку, як попереднє грошове забезпечення сплати майбутніх митних та інших платежів;</w:t>
      </w:r>
    </w:p>
    <w:p w:rsidR="00001C41" w:rsidRPr="00891A7A" w:rsidRDefault="00001C41" w:rsidP="004179BC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грошова застава </w:t>
      </w:r>
      <w:r w:rsidR="000374CB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кошти декларантів, уповноважених ними осіб, перевізників або гарантів, громадян, які </w:t>
      </w:r>
      <w:proofErr w:type="spellStart"/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внесено</w:t>
      </w:r>
      <w:proofErr w:type="spellEnd"/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ними для забезпечення виконання взятих на себе зобов'язань перед органами доходів і зборів і сума яких еквівалентна сумі передбачених законодавством митних та інших платежів, що сплачуються при митному оформленні товарів у вільний обіг на території 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України або при вивезенні товарів за межі території України в митному режимі експорту;</w:t>
      </w:r>
    </w:p>
    <w:p w:rsidR="00001C41" w:rsidRPr="00891A7A" w:rsidRDefault="00001C41" w:rsidP="004179B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інші платежі:</w:t>
      </w:r>
    </w:p>
    <w:p w:rsidR="00001C41" w:rsidRPr="00891A7A" w:rsidRDefault="00001C41" w:rsidP="004179B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єдиний збір, який справляється </w:t>
      </w:r>
      <w:r w:rsidR="004179BC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пунктах пропуску (пунктах контролю) через державний кордон України;</w:t>
      </w:r>
    </w:p>
    <w:p w:rsidR="00001C41" w:rsidRPr="00891A7A" w:rsidRDefault="00001C41" w:rsidP="004179B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плата за виконання митних формальностей органами доходів і зборів поза місцем розташування органів доходів і зборів або поза робочим часом, установленим для них; </w:t>
      </w:r>
    </w:p>
    <w:p w:rsidR="00001C41" w:rsidRPr="00891A7A" w:rsidRDefault="000374CB" w:rsidP="004179BC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інші платежі, що сплачуються не з сум авансових платежів (передоплати): 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кошти, одержані від реалізації майна, яке швидко псується або має обмежений строк зберігання та щодо якого не винесено рішення суду про конфіскацію;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кошти, одержані від реалізації майна, за яким власник або уповноважена ним особа не звернулися до закінчення строків зберігання; кошти, одержані від реалізації майна, конфіскованого за рішенням суду (у розмірі митних платежів, врахованих у вартості такого майна); кошти, одержані від реалізації майна, поміщеного </w:t>
      </w:r>
      <w:r w:rsidR="004179BC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відмови на користь держави; кошти, одержані від реалізації майна, яке було виявлен</w:t>
      </w:r>
      <w:r w:rsidR="003D4F0D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(знайден</w:t>
      </w:r>
      <w:r w:rsidR="003D4F0D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) під час здійснення митного контролю в зонах митного контролю та/або у транспортних засобах, що перетинають митний кордон України, і власник якого невідомий;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інші кошти, що справляються органами доходів і зборів під час реалізації державної митної справи відповідно до закону;</w:t>
      </w:r>
    </w:p>
    <w:p w:rsidR="00001C41" w:rsidRPr="00891A7A" w:rsidRDefault="00001C41" w:rsidP="004179BC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облікова картка платника – електронна форма обліку авансових платежів (передоплати), митних та інших платежів, що ведеться за кожним платником та відображає операції з надходження та повернення коштів авансових платежів (передоплати) за відповідними документами, блокування, резервування, повернення, перерахування митних та інших платежів до державного бюджету </w:t>
      </w:r>
      <w:r w:rsidR="004179BC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розрізі видів платежів;</w:t>
      </w:r>
    </w:p>
    <w:p w:rsidR="00001C41" w:rsidRPr="00891A7A" w:rsidRDefault="00001C41" w:rsidP="004179BC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уповноважений банк </w:t>
      </w:r>
      <w:r w:rsidR="004179BC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банк, уповноважений на здійснення розрахунків з державним бюджетом за митними </w:t>
      </w:r>
      <w:r w:rsidR="005B4A47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іншими </w:t>
      </w:r>
      <w:proofErr w:type="spellStart"/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платежами</w:t>
      </w:r>
      <w:proofErr w:type="spellEnd"/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, визначений на конкурсній основі в установленому порядку.</w:t>
      </w:r>
    </w:p>
    <w:p w:rsidR="00001C41" w:rsidRPr="00891A7A" w:rsidRDefault="00001C41" w:rsidP="004179BC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Інші терміни вживаються у значеннях, наведених у Митному кодексі України.</w:t>
      </w:r>
    </w:p>
    <w:p w:rsidR="00001C41" w:rsidRPr="00891A7A" w:rsidRDefault="00001C41" w:rsidP="004179BC">
      <w:pPr>
        <w:spacing w:after="12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Відкриття депозитних рахунків для зарахування авансових платежів (передоплати) в Державній казначейській службі України</w:t>
      </w:r>
    </w:p>
    <w:p w:rsidR="00001C41" w:rsidRPr="00891A7A" w:rsidRDefault="006679CA" w:rsidP="004179BC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Для зарахування авансових платежів (передоплати), що вносяться підприємствами до/або під час митного оформлення, на балансі Казначейств</w:t>
      </w:r>
      <w:r w:rsidR="004179BC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на ім</w:t>
      </w:r>
      <w:r w:rsidR="004179BC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4179BC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Держмитслужби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встановленому порядку відкривається депозитний рахунок (далі – єдиний рахунок).</w:t>
      </w:r>
    </w:p>
    <w:p w:rsidR="00001C41" w:rsidRPr="00891A7A" w:rsidRDefault="006679CA" w:rsidP="004179BC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ім’я кожної митниці Держмитслужби на балансі Казначейства </w:t>
      </w:r>
      <w:r w:rsidR="004179BC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встановленому порядку відкриваються депозитні рахунки для: </w:t>
      </w:r>
    </w:p>
    <w:p w:rsidR="00001C41" w:rsidRPr="00891A7A" w:rsidRDefault="00001C41" w:rsidP="004179BC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зарахування авансових платежів (передоплати), що вносяться громадянами до/або під час митного оформлення, а також коштів, які сплачуються за порушення вимог митних режимів транзиту та тимчасов</w:t>
      </w:r>
      <w:r w:rsidR="006679CA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ввезення щодо товарів, які оформлювались </w:t>
      </w:r>
      <w:r w:rsidR="004179BC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використанням книжок МДП та </w:t>
      </w:r>
      <w:r w:rsidR="00DB40B5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книжок (</w:t>
      </w:r>
      <w:proofErr w:type="spellStart"/>
      <w:r w:rsidR="00DB40B5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карнетів</w:t>
      </w:r>
      <w:proofErr w:type="spellEnd"/>
      <w:r w:rsidR="00DB40B5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B40B5" w:rsidRPr="00891A7A">
        <w:rPr>
          <w:color w:val="000000" w:themeColor="text1"/>
          <w:shd w:val="clear" w:color="auto" w:fill="FFFFFF"/>
        </w:rPr>
        <w:t xml:space="preserve"> </w:t>
      </w:r>
      <w:r w:rsidR="00DB40B5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А.Т.А.,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тощо (далі – депозитний рахунок для виконання митних формальностей); </w:t>
      </w:r>
    </w:p>
    <w:p w:rsidR="00001C41" w:rsidRPr="00891A7A" w:rsidRDefault="00001C41" w:rsidP="004179BC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зарахування інших платежів, які сплачуються не з сум авансових платежів (передоплати);</w:t>
      </w:r>
    </w:p>
    <w:p w:rsidR="00001C41" w:rsidRPr="00891A7A" w:rsidRDefault="00001C41" w:rsidP="004179BC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обліку та повернення залишків авансових платежів (передоплати), які бул</w:t>
      </w:r>
      <w:r w:rsidR="004179BC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внесен</w:t>
      </w:r>
      <w:r w:rsidR="004179BC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підприємствами до 18 квітня 2019 року на депозитні рахунки 3734, відкриті </w:t>
      </w:r>
      <w:r w:rsidR="004F0A5A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Головному управлінні </w:t>
      </w:r>
      <w:r w:rsidR="003D4F0D" w:rsidRPr="00891A7A">
        <w:rPr>
          <w:rFonts w:ascii="Times New Roman" w:hAnsi="Times New Roman"/>
          <w:color w:val="000000" w:themeColor="text1"/>
          <w:sz w:val="28"/>
          <w:szCs w:val="28"/>
        </w:rPr>
        <w:t xml:space="preserve">Державної казначейської служби України у м. Києві (далі – Головне управління Казначейства у м. Києві) 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679CA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ім’я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митниць ДФС.</w:t>
      </w:r>
    </w:p>
    <w:p w:rsidR="00001C41" w:rsidRDefault="005B4A47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Кошти, що обліковуються на єдиному рахунку та депозитних рахунках митниць Держмитслужби, не належать митним органам.</w:t>
      </w:r>
    </w:p>
    <w:p w:rsidR="00891A7A" w:rsidRPr="00891A7A" w:rsidRDefault="00891A7A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0A5A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III. Сплата та облік авансових платежів (передоплати) 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відповідних депозитних рахунках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1. Сплата підприємствами та громадянами коштів у національній валюті, призначених для забезпечення справляння митних та інших платежів, а також внесення грошової застави здійснюються у вигляді авансових платежів (передоплати) до/або під час митного оформлення відповідно на єдиний рахунок та депозитний рахунок для виконання митних формальностей відповідної митниці Держмитслужби.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Кошти, одержані від реалізації майна, яке швидко псується або має обмежений строк зберігання та щодо якого не винесено рішення суду про конфіскацію; кошти, одержані від реалізації майна, за яким власник або уповноважена ним особа не звернулися до закінчення строків зберігання; кошти, одержані від реалізації майна, конфіскованого за рішенням суду (у розмірі митних платежів, врахованих у вартості такого майна); кошти, одержані від реалізації майна, поміщеного </w:t>
      </w:r>
      <w:r w:rsidR="004F0A5A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відмови на користь держави; кошти, одержані від реалізації майна, яке було виявлен</w:t>
      </w:r>
      <w:r w:rsidR="003D4F0D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(знайден</w:t>
      </w:r>
      <w:r w:rsidR="003D4F0D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) під час здійснення митного контролю в зонах митного контролю та/або у транспортних засобах, що перетинають митний кордон України, і власник якого невідомий, а також інші кошти, що справляються органами доходів і зборів під час реалізації державної митної справи відповідно до законодавства, перераховуються відповідними особами на депозитний рахунок для зарахування інших платежів, які сплачуються не з сум авансових платежів (передоплати) відповідної митниці Держмитслужби.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4F0A5A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 час сплати 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авансових платежів (передоплати) поле «Призначення платежу» розрахункового документа заповнюється відповідно до Порядку заповнення документів на переказ у разі сплати (стягнення) податків, зборів, митних платежів, єдиного внеску, здійснення бюджетного відшкодування податку на додану вартість, повернення помилково або надміру зарахованих 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коштів, затвердженого наказом Міністерства фінансів України від 24 липня </w:t>
      </w:r>
      <w:r w:rsidR="004F0A5A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2015 року № 666, зареєстрованого в Міністерстві юстиції України 12 серпня </w:t>
      </w:r>
      <w:r w:rsidR="004F0A5A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2015 року </w:t>
      </w:r>
      <w:r w:rsidR="004F0A5A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№ 974/27419.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Сплата коштів, призначених для забезпечення справляння митних та інших платежів, в іноземній валюті (у випадках, визначених законодавством), готівкою в національній валюті, внесення грошової застави громадянами, сплата коштів </w:t>
      </w:r>
      <w:r w:rsidR="004F0A5A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пункті пропуску через державний кордон готівкою за допомогою програмно-технічного комплексу самообслуговування уповноваженого банку та/або з використанням електронного платіжного засобу через платіжний термінал уповноваженого банку, який знаходиться у посадової особи митниці Держмитслужби, здійснюються на відповідний банківський балансовий рахунок </w:t>
      </w:r>
      <w:r w:rsidR="005B4A47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Розподільчі р</w:t>
      </w:r>
      <w:r w:rsidR="005B4A47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ахунки суб</w:t>
      </w:r>
      <w:r w:rsidR="004F0A5A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5B4A47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єктів господарювання»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, відкритий на ім</w:t>
      </w:r>
      <w:r w:rsidR="004F0A5A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митниці Держмитслужби в уповноваженому банку (далі </w:t>
      </w:r>
      <w:r w:rsidR="004F0A5A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банківський рахунок) відповідно до плану рахунків бухгалтерського обліку банків України, затвердженого Правлінням Національного банку України.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У разі внесення грошової застави нерезидентами в пункті пропуску через державний кордон в іноземній валюті з використанням електронного платіжного засобу кошти зараховуються на банківський рахунок в національній валюті.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Сплата коштів </w:t>
      </w:r>
      <w:r w:rsidR="004F0A5A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національній валюті готівкою дозволяється лише: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пункті пропуску через державний кордон </w:t>
      </w:r>
      <w:r w:rsidR="004F0A5A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відсутності відділення банку;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у разі митного оформлення товарів, які переміщуються громадянами в залізничному сполученні.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Надання інформації митницям Держмитслужби про рух коштів на банківських рахунках регулюється відповідним договором між Держмитслужбою та уповноваженим банком.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4. Облік коштів авансових платежів (передоплати), що вносять</w:t>
      </w:r>
      <w:r w:rsidR="0014699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підприємства</w:t>
      </w:r>
      <w:r w:rsidR="0014699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3E4870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громадян</w:t>
      </w:r>
      <w:r w:rsidR="0014699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до/або під час митного оформлення (крім грошової застави), повернення їх та перерахування митних та інших платежів до 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бюджету здійсню</w:t>
      </w:r>
      <w:r w:rsidR="004F0A5A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ться автоматизовано </w:t>
      </w:r>
      <w:r w:rsidR="003E4870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допомогою засобів 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програмно-інформаційного комплексу </w:t>
      </w:r>
      <w:r w:rsidR="00D9011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Автоматизованої системи митного оформлення 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Держмитслужби</w:t>
      </w:r>
      <w:r w:rsidR="00D9011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C2F9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далі </w:t>
      </w:r>
      <w:r w:rsidR="00D9011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– АСМО)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Ведення обліку руху коштів грошової застави громадян та інших платежів, які сплачуються не з сум авансових платежів (передоплати), здійсню</w:t>
      </w:r>
      <w:r w:rsidR="004F0A5A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є 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структурни</w:t>
      </w:r>
      <w:r w:rsidR="004F0A5A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підрозділ, що виконує функції з облікової політики на основі положень (стандартів) бухгалтерського обліку митниці Держмитслужби за допомогою засобів АСМО та інших програмних засобів автоматизованого обліку.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5. З метою обліку сум авансових платежів (передоплати), нарахованих та перерахованих митних та інших платежів до бюджету для кожного платника створюється облікова картка платника: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особам, які здійснюють операції з товарами та взяті на облік відповідно до </w:t>
      </w:r>
      <w:r w:rsidR="00DB40B5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Порядку обліку осіб, які здійснюють операції з товарами, затвердженого наказом Міністерства фінансів України від 15 червня 2015 року № 552, зареєстрованого в Міністерстві юстиції України 08 липня 2015 року</w:t>
      </w:r>
      <w:r w:rsidR="0014699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DB40B5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807/27252 (далі – Порядок обліку осіб)</w:t>
      </w:r>
      <w:r w:rsidR="0014699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B40B5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011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4699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автоматизовано 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з даних реєстру таких осіб, які містяться в програмно-інформаційному комплексі Єдиної автоматизованої інформаційної системи;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особам, які не взяті на облік відповідно до Порядку обліку осіб</w:t>
      </w:r>
      <w:r w:rsidR="0014699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011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посадовими особами підрозділу митного оформлення митниці Держмитслужби безпосередньо під час митного оформлення відповідно до відомостей особи з документів, поданих до митного оформлення (якщо така облікова картка платника відсутня).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Усі облікові операції в обліковій картці платника відображаються у гривнях з двома десятковими знаками відповідно до платіжних доручень та документів, що генерується в АСМО, представлених у формі електронних даних, що включають відповідні реквізити операцій з коштами платника (нарахування, 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донарахування, резервування, блокування, повернення, перерахування митних та інших платежів до державного бюджету за кожним видом платежу)</w:t>
      </w:r>
      <w:r w:rsidR="0014699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 час або після завершення митного оформлення.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Облік сум авансових платежів (передоплати), нарахованих і сплачених сум митних та інших платежів до бюджету</w:t>
      </w:r>
      <w:r w:rsidR="0014699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відображається в обліковій картці платника </w:t>
      </w:r>
      <w:r w:rsidR="0014699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кожн</w:t>
      </w:r>
      <w:r w:rsidR="0014699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операці</w:t>
      </w:r>
      <w:r w:rsidR="0014699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єю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99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хронологічному порядку. При цьому кожна операція фіксується в окремому рядку із зазначенням реквізитів операції  та дати її проведення.</w:t>
      </w:r>
    </w:p>
    <w:p w:rsidR="00001C41" w:rsidRPr="00891A7A" w:rsidRDefault="000C2F98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АСМО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забезпечує автоматичне відображення руху коштів в обліковій картці платника.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В обліковій картці платника на дату проведення кожної операції підбиваються підсумки за всіма її графами.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Обов’язковими реквізитами облікової картки платника є: 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1) найменування платника податків</w:t>
      </w:r>
      <w:r w:rsidR="0014699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/ ПІБ громадянина;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2) код за ЄДРПОУ – юридичної особи або реєстраційний номер облікової картки платника податків – фізичної особи</w:t>
      </w:r>
      <w:r w:rsidR="0014699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або серія (за наявності) та номер паспорта (для фізичних осіб, які через свої релігійні переконання відмовля</w:t>
      </w:r>
      <w:r w:rsidR="0014699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паспорті); 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3) відмітка про взяття на облік платника, який здійснює операції з товарами (крім громадян).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Облікова картка платника також містить дані щодо: 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1) дати здійснення (формування) операції;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2) суми залишку коштів авансових платежів (передоплати) на початок періоду;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3) суми надходження авансових платежів (передоплати);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суми повернутих авансових платежів (передоплати);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5) суми нарахованих митних та інших платежів, що підлягають перерахуванню до бюджету за рахунок коштів авансових платежів (передоплати);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6) суми нарахованих митних та інших платежів, що додатково сплачуються після закінчення митного оформлення за рахунок коштів авансових платежів (передоплати);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7) резервування коштів, грошової застави, документів про  повернення коштів та інших випадк</w:t>
      </w:r>
      <w:r w:rsidR="0014699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ів, передбачених законодавством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відомостей про блокування коштів відповідно до документів, що перебувають у роботі; 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9) суми залишку коштів авансових платежів (передоплати) на кінець періоду.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Залишок коштів авансових платежів (передоплати) відображає суму залишку коштів, які можуть бути використані для інших операцій.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D9011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Казначейство в порядку та за форматами, що визначаються протоколом обміну інформацією між Держмитслужбою та Казначейством</w:t>
      </w:r>
      <w:r w:rsidR="0014699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формує та передає до Держмитслужби</w:t>
      </w:r>
      <w:r w:rsidR="003D4F0D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інформацію про рух коштів на єдиному рахунку та депозитних рахунках митниць Держмитслужби</w:t>
      </w:r>
      <w:r w:rsidR="003D4F0D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4F0D" w:rsidRPr="00891A7A" w:rsidRDefault="003D4F0D" w:rsidP="00E533B0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Держмитслужба забезпечує прийняття/передавання інформації про рух коштів на депозитних рахунках митниць Держмитслужби між Казначейством та  митницями Держмитслужби.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IV. Здійснення розрахунків з державним бюджетом за митними та іншими </w:t>
      </w:r>
      <w:proofErr w:type="spellStart"/>
      <w:r w:rsidRPr="00891A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платежами</w:t>
      </w:r>
      <w:proofErr w:type="spellEnd"/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Кошти, що надійшли на єдиний рахунок та депозитні рахунки митниць Держмитслужби (крім депозитних рахунків для обліку та повернення залишків авансових платежів (передоплати), які були внесені підприємствами до 18 квітня 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2019 року на депозитні рахунки 3734, відкриті у Головному управлінні Казначейства у м. Києві на </w:t>
      </w:r>
      <w:r w:rsidR="006679CA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ім’я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митниць ДФС) згідно з цим Порядком, перераховуються виключно для здійснення таких операцій: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зарахування до державного бюджету;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повернення підприємствам та громадянам авансових платежів (передоплати);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повернення коштів, одержаних від реалізації майна, власникам цього майна або уповноваженим ними особам у визначених законодавством випадках;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перерахування на депозитний рахунок іншої митниці Держмитслужби або на інший депозитний рахунок митниці Держмитслужби.</w:t>
      </w:r>
    </w:p>
    <w:p w:rsidR="00001C41" w:rsidRPr="00891A7A" w:rsidRDefault="00E53212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Залишки коштів з депозитного рахунку митниці Держмитслужби для обліку та повернення залишків авансових платежів (передоплати), які були внесені підприємствами до 18 квітня 2019 року на депозитні рахунки 3734, відкриті у Головному управлінні Казначейств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а у м. Києві на ім</w:t>
      </w:r>
      <w:r w:rsidR="009F227E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я митниць ДФС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, перераховуються виключно для здійснення таких операцій: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повернення підприємствам авансових платежів (передоплати);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перерахування до державного бюджету відповідно до частини шостої </w:t>
      </w:r>
      <w:r w:rsidR="009F227E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статті 299 Митного кодексу України.</w:t>
      </w:r>
    </w:p>
    <w:p w:rsidR="00001C41" w:rsidRPr="00891A7A" w:rsidRDefault="00E53212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. Кошти, що надійшли на банківські рахунки митниць Держмитслужби згідно з цим Порядком, перераховуються виключно для здійснення таких операцій: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зарахування до державного бюджету;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повернення громадянам та підприємствам у встановлених законодавством випадках;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повернення громадянам грошової застави у разі виконання зобов'язання, забезпеченого грошовою заставою (дозволяється також шляхом договірного списання уповноваженим банком);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перерахування на банківський рахунок іншої митниці Держмитслужби.</w:t>
      </w:r>
    </w:p>
    <w:p w:rsidR="000C2F98" w:rsidRPr="00891A7A" w:rsidRDefault="00E53212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Перерахування коштів, що обліковуються на єдиному рахунку та депозитних рахунках </w:t>
      </w:r>
      <w:r w:rsidR="000C2F9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виконання митних формальностей 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митниць Держмитслужби,</w:t>
      </w:r>
      <w:r w:rsidR="000C2F9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здійснюється на підставі реєстрів належних до перерахування сум митних та інших платежів, сформованих АСМО.</w:t>
      </w:r>
    </w:p>
    <w:p w:rsidR="00001C41" w:rsidRPr="00891A7A" w:rsidRDefault="000C2F98" w:rsidP="004179BC">
      <w:pPr>
        <w:pStyle w:val="a4"/>
        <w:spacing w:after="12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Перерахування коштів, що обліковуються на депозитних рахунках для зарахування інших платежів, які сплачуються не з сум авансових платежів (передоплати), на депозитних рахунках для обліку та повернення залишків авансових платежів (передоплати), які були внесені підприємствами до 18 квітня 2019 року на депозитні рахунки 3734, відкриті у Головному управлінні Казначейства у м. Києві на ім’я митниць ДФС, 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здійснюється на підставі реєстрів</w:t>
      </w:r>
      <w:r w:rsidR="005B2BF2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належних до перерахування сум митних та інших платежів,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BF2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сформованих АСМО, 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або платіжних доручень,</w:t>
      </w:r>
      <w:r w:rsidR="005B2BF2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сформованих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07BF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допомогою інших програмних засобів 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автоматизованого обліку</w:t>
      </w:r>
      <w:r w:rsidR="00BC5644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переданих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BF2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через систему дистанційного обслуговування «Клієнт казначейства – Казначейство».</w:t>
      </w:r>
    </w:p>
    <w:p w:rsidR="00997AA9" w:rsidRPr="00891A7A" w:rsidRDefault="00997AA9" w:rsidP="00997AA9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На реєстри та платіжні доручення накладаються кваліфіковані електронні підписи уповноважених осіб Держмитслужби або митниці Держмитслужби та кваліфікована електронна печатка Держмитслужби або митниці Держмитслужби із застосуванням захищених носіїв особистих ключів.</w:t>
      </w:r>
    </w:p>
    <w:p w:rsidR="005B2BF2" w:rsidRPr="00891A7A" w:rsidRDefault="005B2BF2" w:rsidP="005B2BF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Перерахування коштів, що обліковуються на банківських рахунках митниць Держмитслужби, здійснюється на підставі платіжних доручень, сформованих програмними засобами автоматизованого обліку. </w:t>
      </w:r>
    </w:p>
    <w:p w:rsidR="00001C41" w:rsidRPr="00891A7A" w:rsidRDefault="00E53212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Повернення підприємствам та громадянам коштів авансових платежів (передоплати) </w:t>
      </w:r>
      <w:r w:rsidR="007177E9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та/або надміру сплачених сум митних платежів 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здійснюється відповідно до Порядку повернення авансових платежів (передоплати) та помилково та/або надміру сплачених сум митних платежів, затвердженого наказом Міністерства фінансів України від 18 липня 2017 року № 643, зареєстрованого в Міністерстві юстиції України 09 серпня 2017 року за №</w:t>
      </w:r>
      <w:r w:rsidR="007177E9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976/30844.</w:t>
      </w:r>
    </w:p>
    <w:p w:rsidR="00001C41" w:rsidRPr="00891A7A" w:rsidRDefault="00E533B0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. Кошти, що підлягають зарахуванню до державного бюджету як митні та інші платежі, не пізніше наступного робочого дня після дати завершення митного оформлення товарів перераховуються Держмитслужбою та митницями Держмитслужби з єдиного рахунку, депозитних рахунків митниць Держмитслужби та банківських рахунків у розрізі митниць Держмитслужби та кодів класифікації доходів бюджету.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Казначейство здійснює операції із зарахування митних та інших платежів до державного бюджету на підставі реєстрів митниць Держмитслужби та Держмитслужби, надісланих в електронному вигляді, протягом операційного дня у день отримання таких реєстрів.</w:t>
      </w:r>
    </w:p>
    <w:p w:rsidR="00E533B0" w:rsidRPr="00891A7A" w:rsidRDefault="00E533B0" w:rsidP="00E533B0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7. Держмитслужба забезпечує прийняття/передавання реєстрів між митницями Держмитслужби та Казначейством.</w:t>
      </w:r>
    </w:p>
    <w:p w:rsidR="00E533B0" w:rsidRPr="00891A7A" w:rsidRDefault="00E533B0" w:rsidP="00E533B0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Періодичність прийняття/передавання, структура та формат реєстрів належних до перерахування сум митних й інших платежів та повернення коштів авансових платежів (передоплати) та/або надміру сплачених сум митних платежів визначаються Держмитслужбою та Казначейством в окремому протоколі обміну інформацією.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8. Підставою для завершення митного оформлення товарів та транспортних засобів комерційного призначення у пунктах пропуску через державний кордон до фактичного зарахування коштів платника на банківський рахунок митниці Держмитслужби може бути: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оригінал квитанції уповноваженого банку </w:t>
      </w:r>
      <w:r w:rsidR="009F227E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разі сплати готівкою через касу банку;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другий примірник квитанції </w:t>
      </w:r>
      <w:r w:rsidR="009F227E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разі сплати готівкою або з використанням електронного платіжного засобу через платіжний пристрій уповноваженого банку.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Договори, укладені Держмитслужбою у встановленому порядку з уповноваженим банком, повинні передбачати, зокрема, щоденне надання цим 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банком інформації митницям Держмитслужби та зведеної інформації Держмитслужбі про рух коштів на банківських рахунках.</w:t>
      </w:r>
    </w:p>
    <w:p w:rsidR="00DC737F" w:rsidRPr="00891A7A" w:rsidRDefault="00DC737F" w:rsidP="00835B96">
      <w:pPr>
        <w:pStyle w:val="a4"/>
        <w:spacing w:after="120" w:line="36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1A7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891A7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Обмін інформацією між Держмитслужбою та Казначейством у процесі казначейського обслуговування державного бюджету за доходами, </w:t>
      </w:r>
      <w:r w:rsidRPr="00891A7A">
        <w:rPr>
          <w:rFonts w:ascii="Times New Roman" w:hAnsi="Times New Roman"/>
          <w:b/>
          <w:color w:val="000000" w:themeColor="text1"/>
          <w:sz w:val="28"/>
          <w:szCs w:val="28"/>
        </w:rPr>
        <w:br/>
        <w:t>що контролюються митними органами</w:t>
      </w:r>
    </w:p>
    <w:p w:rsidR="00DC737F" w:rsidRPr="00891A7A" w:rsidRDefault="00DC737F" w:rsidP="00835B96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/>
          <w:color w:val="000000" w:themeColor="text1"/>
          <w:sz w:val="28"/>
          <w:szCs w:val="28"/>
        </w:rPr>
        <w:t>1.  Після прийняття закону про Державний бюджет України на відповідний рік, а також у разі внесення змін до законодавства, згідно з якими змінюється перелік видів надходжень державного та місцевих бюджетів та/або порядок їх зарахування до відповідних бюджетів, у Казначействі відкриваються  рахунки для зарахування надходжень бюджетів (далі – рахунки за надходженнями).</w:t>
      </w:r>
    </w:p>
    <w:p w:rsidR="00DC737F" w:rsidRPr="00891A7A" w:rsidRDefault="00DC737F" w:rsidP="00835B96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/>
          <w:color w:val="000000" w:themeColor="text1"/>
          <w:sz w:val="28"/>
          <w:szCs w:val="28"/>
        </w:rPr>
        <w:t>Інформація про реквізити відкритих  рахунків за надходженнями, операції на яких здійснюватимуться не раніше 10 робочих днів від дати їх відкриття, надається в електронному вигляді Казначейством – Держмитслужбі згідно з протоколом обміну інформацією між Держмитслужбою та Казначейством.</w:t>
      </w:r>
    </w:p>
    <w:p w:rsidR="00DC737F" w:rsidRPr="00891A7A" w:rsidRDefault="00DC737F" w:rsidP="00835B96">
      <w:pPr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/>
          <w:color w:val="000000" w:themeColor="text1"/>
          <w:sz w:val="28"/>
          <w:szCs w:val="28"/>
        </w:rPr>
        <w:t>Зазначена інформація надається за рахунками, які відкриті для зарахування надходжень державного та місцевих бюджетів, контроль за справлянням яких покладено на Держмитслужбу згідно з постановою Кабінету Міністрів України від 16 лютого 2011 року № 106 «Деякі питання ведення обліку податків, зборів, платежів та інших доходів бюджету».</w:t>
      </w:r>
    </w:p>
    <w:p w:rsidR="00DC737F" w:rsidRPr="00891A7A" w:rsidRDefault="00DC737F" w:rsidP="00835B96">
      <w:pPr>
        <w:pStyle w:val="a4"/>
        <w:spacing w:after="120" w:line="360" w:lineRule="auto"/>
        <w:ind w:left="0" w:firstLine="54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/>
          <w:color w:val="000000" w:themeColor="text1"/>
          <w:sz w:val="28"/>
          <w:szCs w:val="28"/>
        </w:rPr>
        <w:t xml:space="preserve">Інформація про відповідність символу звітності коду класифікації доходів бюджету подається Казначейством до Держмитслужби протягом </w:t>
      </w:r>
      <w:r w:rsidR="00915A0A" w:rsidRPr="00891A7A">
        <w:rPr>
          <w:rFonts w:ascii="Times New Roman" w:hAnsi="Times New Roman"/>
          <w:color w:val="000000" w:themeColor="text1"/>
          <w:sz w:val="28"/>
          <w:szCs w:val="28"/>
        </w:rPr>
        <w:t>трьох</w:t>
      </w:r>
      <w:r w:rsidRPr="00891A7A">
        <w:rPr>
          <w:rFonts w:ascii="Times New Roman" w:hAnsi="Times New Roman"/>
          <w:color w:val="000000" w:themeColor="text1"/>
          <w:sz w:val="28"/>
          <w:szCs w:val="28"/>
        </w:rPr>
        <w:t xml:space="preserve"> робочих днів із дня відкриття  рахунків за надходженнями.</w:t>
      </w:r>
    </w:p>
    <w:p w:rsidR="00DC737F" w:rsidRPr="00891A7A" w:rsidRDefault="00DC737F" w:rsidP="00835B96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/>
          <w:color w:val="000000" w:themeColor="text1"/>
          <w:sz w:val="28"/>
          <w:szCs w:val="28"/>
        </w:rPr>
        <w:t xml:space="preserve">Інформація про перенесення залишків коштів на нові рахунки з обліку надходжень бюджетів подається Казначейством до Держмитслужби протягом </w:t>
      </w:r>
      <w:r w:rsidRPr="00891A7A">
        <w:rPr>
          <w:rFonts w:ascii="Times New Roman" w:hAnsi="Times New Roman"/>
          <w:color w:val="000000" w:themeColor="text1"/>
          <w:sz w:val="28"/>
          <w:szCs w:val="28"/>
        </w:rPr>
        <w:br/>
      </w:r>
      <w:r w:rsidR="00915A0A" w:rsidRPr="00891A7A">
        <w:rPr>
          <w:rFonts w:ascii="Times New Roman" w:hAnsi="Times New Roman"/>
          <w:color w:val="000000" w:themeColor="text1"/>
          <w:sz w:val="28"/>
          <w:szCs w:val="28"/>
        </w:rPr>
        <w:t>п’яти</w:t>
      </w:r>
      <w:r w:rsidRPr="00891A7A">
        <w:rPr>
          <w:rFonts w:ascii="Times New Roman" w:hAnsi="Times New Roman"/>
          <w:color w:val="000000" w:themeColor="text1"/>
          <w:sz w:val="28"/>
          <w:szCs w:val="28"/>
        </w:rPr>
        <w:t xml:space="preserve"> робочих днів із дня відкриття  рахунків за надходженнями.</w:t>
      </w:r>
    </w:p>
    <w:p w:rsidR="00DC737F" w:rsidRPr="00891A7A" w:rsidRDefault="00DC737F" w:rsidP="00835B96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/>
          <w:color w:val="000000" w:themeColor="text1"/>
          <w:sz w:val="28"/>
          <w:szCs w:val="28"/>
        </w:rPr>
        <w:t>2. Казначейство у порядку та за форматами, що визначаються протоколом обміну інформацією між Держмитслужбою та Казначейством, формує та передає до Держмитслужби до 11</w:t>
      </w:r>
      <w:r w:rsidR="00915A0A" w:rsidRPr="00891A7A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891A7A">
        <w:rPr>
          <w:rFonts w:ascii="Times New Roman" w:hAnsi="Times New Roman"/>
          <w:color w:val="000000" w:themeColor="text1"/>
          <w:sz w:val="28"/>
          <w:szCs w:val="28"/>
        </w:rPr>
        <w:t>00 у день, що настає за звітним:</w:t>
      </w:r>
    </w:p>
    <w:p w:rsidR="00DC737F" w:rsidRPr="00891A7A" w:rsidRDefault="00DC737F" w:rsidP="00835B96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/>
          <w:color w:val="000000" w:themeColor="text1"/>
          <w:sz w:val="28"/>
          <w:szCs w:val="28"/>
        </w:rPr>
        <w:lastRenderedPageBreak/>
        <w:t>звіт про виконання державного бюджету за доходами та іншими надходженнями;</w:t>
      </w:r>
    </w:p>
    <w:p w:rsidR="00DC737F" w:rsidRPr="00891A7A" w:rsidRDefault="00DC737F" w:rsidP="00835B96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/>
          <w:color w:val="000000" w:themeColor="text1"/>
          <w:sz w:val="28"/>
          <w:szCs w:val="28"/>
        </w:rPr>
        <w:t>виписки з рахунків за надходженнями до державного бюджету митних та інших платежів у вигляді електронного реєстру розрахункових документів.</w:t>
      </w:r>
    </w:p>
    <w:p w:rsidR="00DC737F" w:rsidRPr="00891A7A" w:rsidRDefault="00DC737F" w:rsidP="00835B96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/>
          <w:color w:val="000000" w:themeColor="text1"/>
          <w:sz w:val="28"/>
          <w:szCs w:val="28"/>
        </w:rPr>
        <w:t>3. Держмитслужба забезпечує прийняття/передавання зазначеної інформації між Казначейством та відповідними митницями Держмитслужби.</w:t>
      </w:r>
    </w:p>
    <w:p w:rsidR="00DC737F" w:rsidRPr="00891A7A" w:rsidRDefault="00DC737F" w:rsidP="00835B96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/>
          <w:color w:val="000000" w:themeColor="text1"/>
          <w:sz w:val="28"/>
          <w:szCs w:val="28"/>
        </w:rPr>
        <w:t>4. У разі виникнення змін у складі та/або розташуванні митниць Держмитслужби, Держмитслужба протягом двох тижнів із дня виникнення зазначених змін подає відповідну інформацію до Казначейства.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</w:t>
      </w:r>
      <w:r w:rsidR="00E533B0" w:rsidRPr="00891A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891A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Інформування платників податків про рух коштів авансових платежів (передоплати) та інші електронні сервіси</w:t>
      </w:r>
    </w:p>
    <w:p w:rsidR="00001C41" w:rsidRPr="00891A7A" w:rsidRDefault="00FC77B8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Інформування осіб, які здійснюють операції з товарами та взяті на облік відповідно до Порядку обліку осіб, здійснюється </w:t>
      </w:r>
      <w:r w:rsidR="003E4870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за допомогою засобів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інформаційно-телекомунікаційного сервісу для платників митних платеж</w:t>
      </w:r>
      <w:r w:rsidR="003E4870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ів, розміщеного на окремому </w:t>
      </w:r>
      <w:proofErr w:type="spellStart"/>
      <w:r w:rsidR="003E4870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веб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ресурсі</w:t>
      </w:r>
      <w:proofErr w:type="spellEnd"/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Держмитслужби в мережі Інтернет (далі – ІТС Держмитслужби)</w:t>
      </w:r>
      <w:r w:rsidR="002507BF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шляхом надання доступу </w:t>
      </w:r>
      <w:r w:rsidR="002507BF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режимі перегляду відповідної облікової картки платника.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ІТС Держмитслужби забезпечує захист даних від несанкціонованого доступу.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У разі необхідності отримання інформації про використання коштів, унесених як авансові платежі (передоплата ), платник податків надсилає</w:t>
      </w:r>
      <w:r w:rsidR="00211F2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вимог</w:t>
      </w:r>
      <w:r w:rsidR="00211F2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, в якій зазначається період</w:t>
      </w:r>
      <w:r w:rsidR="00211F2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який формується інформація:</w:t>
      </w:r>
    </w:p>
    <w:p w:rsidR="00001C41" w:rsidRPr="00737E4D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електронній формі, </w:t>
      </w:r>
      <w:bookmarkStart w:id="0" w:name="_GoBack"/>
      <w:bookmarkEnd w:id="0"/>
      <w:r w:rsidRPr="00FC72C3">
        <w:rPr>
          <w:rFonts w:ascii="Times New Roman" w:hAnsi="Times New Roman" w:cs="Times New Roman"/>
          <w:color w:val="000000" w:themeColor="text1"/>
          <w:sz w:val="28"/>
          <w:szCs w:val="28"/>
        </w:rPr>
        <w:t>з використанням ІТС Держмитслужби;</w:t>
      </w:r>
    </w:p>
    <w:p w:rsidR="00001C41" w:rsidRPr="004C01EE" w:rsidRDefault="00211F28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паперовому вигляді довільної форми.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Інформація про використання коштів відповідно до частини 7 статті 299 Митного кодексу України надається платнику податків Держмитслужбою або митницею Держмитслужби: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режимі он лайн в електронній формі за допомогою АСМО, яка перетворюється у </w:t>
      </w:r>
      <w:proofErr w:type="spellStart"/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вiзуальну</w:t>
      </w:r>
      <w:proofErr w:type="spellEnd"/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форму, придатну для сприйняття її змісту людиною, у </w:t>
      </w:r>
      <w:proofErr w:type="spellStart"/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форматi</w:t>
      </w:r>
      <w:proofErr w:type="spellEnd"/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що унеможливлює </w:t>
      </w:r>
      <w:r w:rsidR="00211F2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надалі 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внесення змін до неї, засвідчується кваліфікованим електронним підписом посадової особи митного органу з можливістю збереження </w:t>
      </w:r>
      <w:proofErr w:type="spellStart"/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файл</w:t>
      </w:r>
      <w:r w:rsidR="00211F2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використанням ІТС</w:t>
      </w:r>
      <w:r w:rsidR="00AE659D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Держмитслужби</w:t>
      </w:r>
      <w:r w:rsidR="00FC77B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в паперовому вигляді, не пізніше 30 днів з дня отримання вимоги платника податків Держмитслужбою або митницею Держмитслужби.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2. У разі незгоди платника податків з інформацією про використання кошт</w:t>
      </w:r>
      <w:r w:rsidR="00FC77B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ів здійснюється спільна звірка.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 такої звірки оформлюються акто</w:t>
      </w:r>
      <w:r w:rsidR="00211F2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формою згідно з </w:t>
      </w:r>
      <w:r w:rsidR="00211F2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додатком до цього Порядку. 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Платник податків заповнює частину даних, </w:t>
      </w:r>
      <w:r w:rsidR="00457D7D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передбачен</w:t>
      </w:r>
      <w:r w:rsidR="00211F2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зазначеній формі, та надсилає акт до Держмитслужби або митниці Держмитслужби: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в електронній формі через ІТС Держмитслужби з наклад</w:t>
      </w:r>
      <w:r w:rsidR="00211F2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нням кваліфікованого електронного підпису уповноваженої особи платника;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в паперовому вигляді через поштове відправлення, підписане уповноваженою особою платника</w:t>
      </w:r>
      <w:r w:rsidR="00FC77B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Держмитслужба або митниця Держмитслужби аналізує інформацію, зазначену в акті, т</w:t>
      </w:r>
      <w:r w:rsidR="00211F2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вносить відповідні відомості 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облікової картки платника та після підписання уповноваженою особою Держмитслужби або митниці Держмитслужби направляє </w:t>
      </w:r>
      <w:r w:rsidR="00FC77B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платнику.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У разі якщо акт надійшов в електронній  формі, після його опрацювання він направляється платнику з наклад</w:t>
      </w:r>
      <w:r w:rsidR="00211F2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нням кваліфікованого електронного підпису 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уповноважених осіб Держмитслужби або митниці Держмитслужби через ІТС Держмитслужби.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Документом, що підтверджує використання коштів, унесених платником авансових платежів (передоплати)</w:t>
      </w:r>
      <w:r w:rsidR="00211F2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є: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інформація про використання коштів;</w:t>
      </w:r>
    </w:p>
    <w:p w:rsidR="00001C41" w:rsidRPr="00891A7A" w:rsidRDefault="00001C41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акт спільної звірки (у разі незгоди з інформацією про використання коштів).</w:t>
      </w:r>
    </w:p>
    <w:p w:rsidR="00001C41" w:rsidRPr="00891A7A" w:rsidRDefault="00FC77B8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3. І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 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Держмитслужби 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дозволяє підприєм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твам та громадянам сформувати для Д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ержмитслужби або митниці Держми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лужби відомості, на підставі яких створюється облікова картка платника. Такі відомості передаються Держмитслужб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і або митниці Держми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лужби з використанням ІТС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Держмитслужби, з накладенням кваліфіко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ваного електронного підпису, зворотнім проведенням </w:t>
      </w:r>
      <w:proofErr w:type="spellStart"/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форматно</w:t>
      </w:r>
      <w:proofErr w:type="spellEnd"/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-логічного контролю, після чого АСМО 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автоматично створ</w:t>
      </w:r>
      <w:r w:rsidR="00211F28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ює облікову картку платника та 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>з використанням ІТС</w:t>
      </w:r>
      <w:r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Держмитслужби</w:t>
      </w:r>
      <w:r w:rsidR="00001C41" w:rsidRPr="0089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інформує підприємство або громадянина.</w:t>
      </w:r>
    </w:p>
    <w:p w:rsidR="00BE645A" w:rsidRPr="00891A7A" w:rsidRDefault="00BE645A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645A" w:rsidRPr="00891A7A" w:rsidRDefault="00BE645A" w:rsidP="00BE645A">
      <w:pPr>
        <w:pStyle w:val="aa"/>
        <w:spacing w:before="0" w:beforeAutospacing="0" w:after="120" w:afterAutospacing="0"/>
        <w:ind w:firstLine="284"/>
        <w:contextualSpacing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891A7A">
        <w:rPr>
          <w:b/>
          <w:bCs/>
          <w:color w:val="000000" w:themeColor="text1"/>
          <w:sz w:val="28"/>
          <w:szCs w:val="28"/>
          <w:lang w:val="uk-UA"/>
        </w:rPr>
        <w:t>Директор Департаменту</w:t>
      </w:r>
    </w:p>
    <w:p w:rsidR="00BE645A" w:rsidRPr="00891A7A" w:rsidRDefault="00BE645A" w:rsidP="00BE645A">
      <w:pPr>
        <w:pStyle w:val="aa"/>
        <w:spacing w:before="0" w:beforeAutospacing="0" w:after="120" w:afterAutospacing="0"/>
        <w:ind w:firstLine="284"/>
        <w:contextualSpacing/>
        <w:jc w:val="both"/>
        <w:rPr>
          <w:color w:val="000000" w:themeColor="text1"/>
          <w:sz w:val="28"/>
          <w:szCs w:val="28"/>
        </w:rPr>
      </w:pPr>
      <w:r w:rsidRPr="00891A7A">
        <w:rPr>
          <w:b/>
          <w:bCs/>
          <w:color w:val="000000" w:themeColor="text1"/>
          <w:sz w:val="28"/>
          <w:szCs w:val="28"/>
          <w:lang w:val="uk-UA"/>
        </w:rPr>
        <w:t>митної політики                                                      Олександр МОСКАЛЕНКО</w:t>
      </w:r>
    </w:p>
    <w:p w:rsidR="00BE645A" w:rsidRPr="00891A7A" w:rsidRDefault="00BE645A" w:rsidP="004179BC">
      <w:pPr>
        <w:pStyle w:val="a4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57D7D" w:rsidRPr="00891A7A" w:rsidRDefault="00457D7D" w:rsidP="00FC77B8">
      <w:pPr>
        <w:pStyle w:val="a4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57D7D" w:rsidRPr="00891A7A" w:rsidSect="00BF6E96">
          <w:headerReference w:type="default" r:id="rId7"/>
          <w:pgSz w:w="11906" w:h="16838"/>
          <w:pgMar w:top="993" w:right="566" w:bottom="1276" w:left="1701" w:header="708" w:footer="708" w:gutter="0"/>
          <w:cols w:space="708"/>
          <w:titlePg/>
          <w:docGrid w:linePitch="360"/>
        </w:sectPr>
      </w:pPr>
    </w:p>
    <w:p w:rsidR="00457D7D" w:rsidRPr="00891A7A" w:rsidRDefault="00457D7D" w:rsidP="00457D7D">
      <w:pPr>
        <w:spacing w:after="0" w:line="240" w:lineRule="auto"/>
        <w:ind w:firstLine="102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1A7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Додаток </w:t>
      </w:r>
    </w:p>
    <w:p w:rsidR="00211F28" w:rsidRPr="00891A7A" w:rsidRDefault="00FA0693" w:rsidP="00457D7D">
      <w:pPr>
        <w:spacing w:after="0" w:line="240" w:lineRule="auto"/>
        <w:ind w:left="102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1A7A">
        <w:rPr>
          <w:rFonts w:ascii="Times New Roman" w:hAnsi="Times New Roman"/>
          <w:color w:val="000000" w:themeColor="text1"/>
          <w:sz w:val="24"/>
          <w:szCs w:val="24"/>
        </w:rPr>
        <w:t xml:space="preserve">до </w:t>
      </w:r>
      <w:r w:rsidR="00457D7D" w:rsidRPr="00891A7A">
        <w:rPr>
          <w:rFonts w:ascii="Times New Roman" w:hAnsi="Times New Roman"/>
          <w:color w:val="000000" w:themeColor="text1"/>
          <w:sz w:val="24"/>
          <w:szCs w:val="24"/>
        </w:rPr>
        <w:t xml:space="preserve">Порядку обліку та перерахування до державного бюджету митних та інших платежів, </w:t>
      </w:r>
      <w:r w:rsidR="00457D7D" w:rsidRPr="00891A7A">
        <w:rPr>
          <w:rFonts w:ascii="Times New Roman" w:hAnsi="Times New Roman" w:cstheme="minorHAnsi"/>
          <w:color w:val="000000" w:themeColor="text1"/>
          <w:spacing w:val="-4"/>
          <w:sz w:val="24"/>
          <w:szCs w:val="24"/>
        </w:rPr>
        <w:t>які вносяться до/або під час митного оформлення</w:t>
      </w:r>
    </w:p>
    <w:p w:rsidR="00457D7D" w:rsidRPr="00891A7A" w:rsidRDefault="00211F28" w:rsidP="00457D7D">
      <w:pPr>
        <w:spacing w:after="0" w:line="240" w:lineRule="auto"/>
        <w:ind w:left="1020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/>
          <w:color w:val="000000" w:themeColor="text1"/>
          <w:sz w:val="24"/>
          <w:szCs w:val="24"/>
        </w:rPr>
        <w:t xml:space="preserve">(пункт 2 розділу </w:t>
      </w:r>
      <w:r w:rsidRPr="00891A7A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  <w:r w:rsidRPr="00891A7A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457D7D" w:rsidRPr="00891A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57D7D" w:rsidRPr="00891A7A" w:rsidRDefault="00457D7D" w:rsidP="00457D7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1A7A">
        <w:rPr>
          <w:rFonts w:ascii="Times New Roman" w:hAnsi="Times New Roman"/>
          <w:b/>
          <w:color w:val="000000" w:themeColor="text1"/>
          <w:sz w:val="28"/>
          <w:szCs w:val="28"/>
        </w:rPr>
        <w:t>Акт спільної звірки</w:t>
      </w:r>
    </w:p>
    <w:p w:rsidR="00457D7D" w:rsidRPr="00891A7A" w:rsidRDefault="00457D7D" w:rsidP="00457D7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1A7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 рух коштів на депозитному рахунку </w:t>
      </w:r>
    </w:p>
    <w:p w:rsidR="00457D7D" w:rsidRPr="00891A7A" w:rsidRDefault="00457D7D" w:rsidP="00457D7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91A7A">
        <w:rPr>
          <w:rFonts w:ascii="Times New Roman" w:hAnsi="Times New Roman"/>
          <w:color w:val="000000" w:themeColor="text1"/>
          <w:sz w:val="28"/>
          <w:szCs w:val="28"/>
        </w:rPr>
        <w:t>станом на ____________</w:t>
      </w:r>
    </w:p>
    <w:p w:rsidR="00457D7D" w:rsidRPr="00891A7A" w:rsidRDefault="00457D7D" w:rsidP="00457D7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  <w:lang w:val="ru-RU"/>
        </w:rPr>
      </w:pPr>
    </w:p>
    <w:p w:rsidR="00457D7D" w:rsidRPr="00891A7A" w:rsidRDefault="00457D7D" w:rsidP="00FA0693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1A7A">
        <w:rPr>
          <w:rFonts w:ascii="Times New Roman" w:hAnsi="Times New Roman"/>
          <w:color w:val="000000" w:themeColor="text1"/>
          <w:sz w:val="24"/>
          <w:szCs w:val="24"/>
        </w:rPr>
        <w:t>Найменування платника – юридичної особи або П.І.Б. платника – фізичної  особи ___</w:t>
      </w:r>
      <w:r w:rsidR="002A75EE" w:rsidRPr="00891A7A">
        <w:rPr>
          <w:rFonts w:ascii="Times New Roman" w:hAnsi="Times New Roman"/>
          <w:color w:val="000000" w:themeColor="text1"/>
          <w:sz w:val="24"/>
          <w:szCs w:val="24"/>
        </w:rPr>
        <w:t>_________________</w:t>
      </w:r>
      <w:r w:rsidRPr="00891A7A">
        <w:rPr>
          <w:rFonts w:ascii="Times New Roman" w:hAnsi="Times New Roman"/>
          <w:color w:val="000000" w:themeColor="text1"/>
          <w:sz w:val="24"/>
          <w:szCs w:val="24"/>
        </w:rPr>
        <w:t>_______________</w:t>
      </w:r>
      <w:r w:rsidR="00FA0693" w:rsidRPr="00891A7A">
        <w:rPr>
          <w:rFonts w:ascii="Times New Roman" w:hAnsi="Times New Roman"/>
          <w:color w:val="000000" w:themeColor="text1"/>
          <w:sz w:val="24"/>
          <w:szCs w:val="24"/>
          <w:lang w:val="ru-RU"/>
        </w:rPr>
        <w:t>____</w:t>
      </w:r>
      <w:r w:rsidRPr="00891A7A">
        <w:rPr>
          <w:rFonts w:ascii="Times New Roman" w:hAnsi="Times New Roman"/>
          <w:color w:val="000000" w:themeColor="text1"/>
          <w:sz w:val="24"/>
          <w:szCs w:val="24"/>
        </w:rPr>
        <w:t xml:space="preserve">____________ </w:t>
      </w:r>
    </w:p>
    <w:p w:rsidR="00457D7D" w:rsidRPr="00891A7A" w:rsidRDefault="00457D7D" w:rsidP="00FA0693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1A7A">
        <w:rPr>
          <w:rFonts w:ascii="Times New Roman" w:hAnsi="Times New Roman"/>
          <w:color w:val="000000" w:themeColor="text1"/>
          <w:sz w:val="24"/>
          <w:szCs w:val="24"/>
        </w:rPr>
        <w:t>Ідентифікаційний код за ЄДРПОУ платника</w:t>
      </w:r>
      <w:r w:rsidR="00FA0693" w:rsidRPr="00891A7A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="00FA0693" w:rsidRPr="00891A7A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FA0693" w:rsidRPr="00891A7A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891A7A">
        <w:rPr>
          <w:rFonts w:ascii="Times New Roman" w:hAnsi="Times New Roman"/>
          <w:color w:val="000000" w:themeColor="text1"/>
          <w:sz w:val="24"/>
          <w:szCs w:val="24"/>
        </w:rPr>
        <w:t>юридичної особи або ідентифікаційний номер ДРФО (за наявності) платника – фізичної особи  ___________________________________________________________</w:t>
      </w:r>
      <w:r w:rsidR="00FA0693" w:rsidRPr="00891A7A">
        <w:rPr>
          <w:rFonts w:ascii="Times New Roman" w:hAnsi="Times New Roman"/>
          <w:color w:val="000000" w:themeColor="text1"/>
          <w:sz w:val="24"/>
          <w:szCs w:val="24"/>
        </w:rPr>
        <w:t>_____________</w:t>
      </w:r>
      <w:r w:rsidRPr="00891A7A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="002A75EE" w:rsidRPr="00891A7A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  <w:r w:rsidRPr="00891A7A">
        <w:rPr>
          <w:rFonts w:ascii="Times New Roman" w:hAnsi="Times New Roman"/>
          <w:color w:val="000000" w:themeColor="text1"/>
          <w:sz w:val="24"/>
          <w:szCs w:val="24"/>
        </w:rPr>
        <w:t xml:space="preserve">___________ </w:t>
      </w:r>
    </w:p>
    <w:p w:rsidR="00457D7D" w:rsidRPr="00891A7A" w:rsidRDefault="00457D7D" w:rsidP="00457D7D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91A7A">
        <w:rPr>
          <w:rFonts w:ascii="Times New Roman" w:hAnsi="Times New Roman"/>
          <w:color w:val="000000" w:themeColor="text1"/>
          <w:sz w:val="24"/>
          <w:szCs w:val="24"/>
        </w:rPr>
        <w:t>за період з ____________ по ___________</w:t>
      </w:r>
    </w:p>
    <w:p w:rsidR="00457D7D" w:rsidRPr="00891A7A" w:rsidRDefault="00FA0693" w:rsidP="00457D7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91A7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 </w:t>
      </w:r>
      <w:r w:rsidR="00457D7D" w:rsidRPr="00891A7A">
        <w:rPr>
          <w:rFonts w:ascii="Times New Roman" w:hAnsi="Times New Roman"/>
          <w:color w:val="000000" w:themeColor="text1"/>
          <w:sz w:val="28"/>
          <w:szCs w:val="28"/>
        </w:rPr>
        <w:t>грн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8"/>
        <w:gridCol w:w="1736"/>
        <w:gridCol w:w="1843"/>
        <w:gridCol w:w="1842"/>
        <w:gridCol w:w="1843"/>
        <w:gridCol w:w="1701"/>
        <w:gridCol w:w="2013"/>
        <w:gridCol w:w="2268"/>
      </w:tblGrid>
      <w:tr w:rsidR="00891A7A" w:rsidRPr="00891A7A" w:rsidTr="00457D7D">
        <w:tc>
          <w:tcPr>
            <w:tcW w:w="7479" w:type="dxa"/>
            <w:gridSpan w:val="4"/>
          </w:tcPr>
          <w:p w:rsidR="00457D7D" w:rsidRPr="00891A7A" w:rsidRDefault="00457D7D" w:rsidP="003C2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платника податків</w:t>
            </w:r>
          </w:p>
        </w:tc>
        <w:tc>
          <w:tcPr>
            <w:tcW w:w="7825" w:type="dxa"/>
            <w:gridSpan w:val="4"/>
          </w:tcPr>
          <w:p w:rsidR="00457D7D" w:rsidRPr="00891A7A" w:rsidRDefault="00457D7D" w:rsidP="003C2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Держмитслужби або митниці Держмитслужби</w:t>
            </w:r>
          </w:p>
        </w:tc>
      </w:tr>
      <w:tr w:rsidR="00891A7A" w:rsidRPr="00891A7A" w:rsidTr="00457D7D">
        <w:tc>
          <w:tcPr>
            <w:tcW w:w="2058" w:type="dxa"/>
            <w:vAlign w:val="center"/>
          </w:tcPr>
          <w:p w:rsidR="00457D7D" w:rsidRPr="00891A7A" w:rsidRDefault="00FA0693" w:rsidP="003C2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457D7D"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алишок коштів авансових платежів (передоплати ) на початок періоду</w:t>
            </w:r>
          </w:p>
        </w:tc>
        <w:tc>
          <w:tcPr>
            <w:tcW w:w="1736" w:type="dxa"/>
            <w:vAlign w:val="center"/>
          </w:tcPr>
          <w:p w:rsidR="00457D7D" w:rsidRPr="00891A7A" w:rsidRDefault="00FA0693" w:rsidP="003C2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457D7D"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ерераховано коштів</w:t>
            </w:r>
          </w:p>
        </w:tc>
        <w:tc>
          <w:tcPr>
            <w:tcW w:w="1843" w:type="dxa"/>
            <w:vAlign w:val="center"/>
          </w:tcPr>
          <w:p w:rsidR="00457D7D" w:rsidRPr="00891A7A" w:rsidRDefault="00FA0693" w:rsidP="003C2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457D7D"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писано за МД, МД-1 (іншим документом)</w:t>
            </w:r>
          </w:p>
        </w:tc>
        <w:tc>
          <w:tcPr>
            <w:tcW w:w="1842" w:type="dxa"/>
            <w:vAlign w:val="center"/>
          </w:tcPr>
          <w:p w:rsidR="00457D7D" w:rsidRPr="00891A7A" w:rsidRDefault="00FA0693" w:rsidP="003C2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457D7D"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алишок коштів авансових платежів (передоплати) на кінець періоду</w:t>
            </w:r>
          </w:p>
        </w:tc>
        <w:tc>
          <w:tcPr>
            <w:tcW w:w="1843" w:type="dxa"/>
            <w:vAlign w:val="center"/>
          </w:tcPr>
          <w:p w:rsidR="00457D7D" w:rsidRPr="00891A7A" w:rsidRDefault="00FA0693" w:rsidP="003C2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457D7D"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алишок коштів авансових платежів (передоплати ) на початок періоду</w:t>
            </w:r>
          </w:p>
        </w:tc>
        <w:tc>
          <w:tcPr>
            <w:tcW w:w="1701" w:type="dxa"/>
            <w:vAlign w:val="center"/>
          </w:tcPr>
          <w:p w:rsidR="00457D7D" w:rsidRPr="00891A7A" w:rsidRDefault="00FA0693" w:rsidP="003C2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457D7D"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адходження коштів</w:t>
            </w:r>
          </w:p>
        </w:tc>
        <w:tc>
          <w:tcPr>
            <w:tcW w:w="2013" w:type="dxa"/>
            <w:vAlign w:val="center"/>
          </w:tcPr>
          <w:p w:rsidR="00457D7D" w:rsidRPr="00891A7A" w:rsidRDefault="00FA0693" w:rsidP="003C2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457D7D"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писано за МД, МД-1 (іншим документом)</w:t>
            </w:r>
          </w:p>
        </w:tc>
        <w:tc>
          <w:tcPr>
            <w:tcW w:w="2268" w:type="dxa"/>
            <w:vAlign w:val="center"/>
          </w:tcPr>
          <w:p w:rsidR="00457D7D" w:rsidRPr="00891A7A" w:rsidRDefault="00FA0693" w:rsidP="003C2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457D7D"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алишок коштів авансових платежів (передоплати) на кінець періоду</w:t>
            </w:r>
          </w:p>
        </w:tc>
      </w:tr>
      <w:tr w:rsidR="00891A7A" w:rsidRPr="00891A7A" w:rsidTr="00457D7D">
        <w:tc>
          <w:tcPr>
            <w:tcW w:w="2058" w:type="dxa"/>
          </w:tcPr>
          <w:p w:rsidR="00457D7D" w:rsidRPr="00891A7A" w:rsidRDefault="00457D7D" w:rsidP="003C2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457D7D" w:rsidRPr="00891A7A" w:rsidRDefault="00457D7D" w:rsidP="003C2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57D7D" w:rsidRPr="00891A7A" w:rsidRDefault="00457D7D" w:rsidP="003C2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57D7D" w:rsidRPr="00891A7A" w:rsidRDefault="00457D7D" w:rsidP="003C2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57D7D" w:rsidRPr="00891A7A" w:rsidRDefault="00457D7D" w:rsidP="003C2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57D7D" w:rsidRPr="00891A7A" w:rsidRDefault="00457D7D" w:rsidP="003C2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13" w:type="dxa"/>
          </w:tcPr>
          <w:p w:rsidR="00457D7D" w:rsidRPr="00891A7A" w:rsidRDefault="00457D7D" w:rsidP="003C2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57D7D" w:rsidRPr="00891A7A" w:rsidRDefault="00457D7D" w:rsidP="003C2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457D7D" w:rsidRPr="00891A7A" w:rsidTr="00457D7D">
        <w:tc>
          <w:tcPr>
            <w:tcW w:w="2058" w:type="dxa"/>
          </w:tcPr>
          <w:p w:rsidR="00457D7D" w:rsidRPr="00891A7A" w:rsidRDefault="00457D7D" w:rsidP="003C2B2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</w:tcPr>
          <w:p w:rsidR="00457D7D" w:rsidRPr="00891A7A" w:rsidRDefault="00457D7D" w:rsidP="003C2B2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7D7D" w:rsidRPr="00891A7A" w:rsidRDefault="00457D7D" w:rsidP="003C2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7D7D" w:rsidRPr="00891A7A" w:rsidRDefault="00457D7D" w:rsidP="003C2B2E">
            <w:pPr>
              <w:jc w:val="center"/>
              <w:rPr>
                <w:rFonts w:ascii="Times New Roman" w:hAnsi="Times New Roman"/>
                <w:color w:val="000000" w:themeColor="text1"/>
                <w:sz w:val="8"/>
                <w:szCs w:val="8"/>
              </w:rPr>
            </w:pPr>
          </w:p>
        </w:tc>
        <w:tc>
          <w:tcPr>
            <w:tcW w:w="1843" w:type="dxa"/>
          </w:tcPr>
          <w:p w:rsidR="00457D7D" w:rsidRPr="00891A7A" w:rsidRDefault="00457D7D" w:rsidP="003C2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D7D" w:rsidRPr="00891A7A" w:rsidRDefault="00457D7D" w:rsidP="003C2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:rsidR="00457D7D" w:rsidRPr="00891A7A" w:rsidRDefault="00457D7D" w:rsidP="003C2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D7D" w:rsidRPr="00891A7A" w:rsidRDefault="00457D7D" w:rsidP="003C2B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57D7D" w:rsidRPr="00891A7A" w:rsidRDefault="00457D7D" w:rsidP="00457D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457D7D" w:rsidRPr="00891A7A" w:rsidRDefault="00457D7D" w:rsidP="00457D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1A7A">
        <w:rPr>
          <w:rFonts w:ascii="Times New Roman" w:hAnsi="Times New Roman"/>
          <w:color w:val="000000" w:themeColor="text1"/>
          <w:sz w:val="24"/>
          <w:szCs w:val="24"/>
        </w:rPr>
        <w:t>Найменування посади</w:t>
      </w:r>
    </w:p>
    <w:p w:rsidR="00457D7D" w:rsidRPr="00891A7A" w:rsidRDefault="00457D7D" w:rsidP="00457D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1A7A">
        <w:rPr>
          <w:rFonts w:ascii="Times New Roman" w:hAnsi="Times New Roman"/>
          <w:color w:val="000000" w:themeColor="text1"/>
          <w:sz w:val="24"/>
          <w:szCs w:val="24"/>
        </w:rPr>
        <w:t>уповноваженої особи платника                         _____________              __________________</w:t>
      </w:r>
    </w:p>
    <w:tbl>
      <w:tblPr>
        <w:tblW w:w="15248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5168"/>
        <w:gridCol w:w="80"/>
      </w:tblGrid>
      <w:tr w:rsidR="00891A7A" w:rsidRPr="00891A7A" w:rsidTr="002A75EE">
        <w:trPr>
          <w:trHeight w:val="1134"/>
        </w:trPr>
        <w:tc>
          <w:tcPr>
            <w:tcW w:w="15168" w:type="dxa"/>
            <w:vAlign w:val="center"/>
          </w:tcPr>
          <w:p w:rsidR="00457D7D" w:rsidRPr="00891A7A" w:rsidRDefault="00457D7D" w:rsidP="00FA06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</w:t>
            </w:r>
            <w:r w:rsidR="00FA0693"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</w:t>
            </w:r>
            <w:r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(підпис)   </w:t>
            </w:r>
            <w:r w:rsidR="00FA0693"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(ініціали</w:t>
            </w:r>
            <w:r w:rsidR="00FA0693"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 </w:t>
            </w:r>
            <w:r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прізвище)</w:t>
            </w:r>
            <w:r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Найменування посади</w:t>
            </w:r>
          </w:p>
          <w:p w:rsidR="00457D7D" w:rsidRPr="00891A7A" w:rsidRDefault="00457D7D" w:rsidP="003C2B2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уповноваженої особи Держмитслужби </w:t>
            </w:r>
          </w:p>
          <w:p w:rsidR="00457D7D" w:rsidRPr="00891A7A" w:rsidRDefault="00457D7D" w:rsidP="003C2B2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або митниці Держмитслужби                             _____________              __________________</w:t>
            </w:r>
          </w:p>
          <w:p w:rsidR="002A75EE" w:rsidRPr="00891A7A" w:rsidRDefault="00457D7D" w:rsidP="00FA06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</w:t>
            </w:r>
            <w:r w:rsidR="00FA0693"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</w:t>
            </w:r>
            <w:r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(підпис)                     </w:t>
            </w:r>
            <w:r w:rsidR="00FA0693"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(ініціали</w:t>
            </w:r>
            <w:r w:rsidR="00FA0693"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прізвище)</w:t>
            </w:r>
          </w:p>
          <w:p w:rsidR="00457D7D" w:rsidRPr="00891A7A" w:rsidRDefault="002A75EE" w:rsidP="00FA06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Pr="00891A7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______________</w:t>
            </w:r>
            <w:r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_                                                                                           </w:t>
            </w:r>
            <w:r w:rsidR="003C2B2E"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FA0693" w:rsidRPr="00891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0" w:type="dxa"/>
            <w:vAlign w:val="center"/>
          </w:tcPr>
          <w:p w:rsidR="00457D7D" w:rsidRPr="00891A7A" w:rsidRDefault="00457D7D" w:rsidP="003C2B2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57D7D" w:rsidRPr="00891A7A" w:rsidRDefault="00457D7D" w:rsidP="00457D7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57D7D" w:rsidRPr="00891A7A" w:rsidSect="00D93D35">
          <w:pgSz w:w="16838" w:h="11906" w:orient="landscape"/>
          <w:pgMar w:top="426" w:right="850" w:bottom="993" w:left="850" w:header="708" w:footer="708" w:gutter="0"/>
          <w:cols w:space="708"/>
          <w:titlePg/>
          <w:docGrid w:linePitch="360"/>
        </w:sectPr>
      </w:pPr>
    </w:p>
    <w:p w:rsidR="00457D7D" w:rsidRPr="00891A7A" w:rsidRDefault="00457D7D" w:rsidP="00842623">
      <w:pPr>
        <w:pStyle w:val="aa"/>
        <w:spacing w:before="0" w:beforeAutospacing="0" w:after="12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sectPr w:rsidR="00457D7D" w:rsidRPr="00891A7A" w:rsidSect="00623A50">
      <w:headerReference w:type="even" r:id="rId8"/>
      <w:headerReference w:type="default" r:id="rId9"/>
      <w:pgSz w:w="11906" w:h="16838"/>
      <w:pgMar w:top="851" w:right="746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1EE" w:rsidRDefault="004C01EE" w:rsidP="005B4A47">
      <w:pPr>
        <w:spacing w:after="0" w:line="240" w:lineRule="auto"/>
      </w:pPr>
      <w:r>
        <w:separator/>
      </w:r>
    </w:p>
  </w:endnote>
  <w:endnote w:type="continuationSeparator" w:id="0">
    <w:p w:rsidR="004C01EE" w:rsidRDefault="004C01EE" w:rsidP="005B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1EE" w:rsidRDefault="004C01EE" w:rsidP="005B4A47">
      <w:pPr>
        <w:spacing w:after="0" w:line="240" w:lineRule="auto"/>
      </w:pPr>
      <w:r>
        <w:separator/>
      </w:r>
    </w:p>
  </w:footnote>
  <w:footnote w:type="continuationSeparator" w:id="0">
    <w:p w:rsidR="004C01EE" w:rsidRDefault="004C01EE" w:rsidP="005B4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144531"/>
      <w:docPartObj>
        <w:docPartGallery w:val="Page Numbers (Top of Page)"/>
        <w:docPartUnique/>
      </w:docPartObj>
    </w:sdtPr>
    <w:sdtContent>
      <w:p w:rsidR="004C01EE" w:rsidRDefault="004C01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2C3">
          <w:rPr>
            <w:noProof/>
          </w:rPr>
          <w:t>15</w:t>
        </w:r>
        <w:r>
          <w:fldChar w:fldCharType="end"/>
        </w:r>
      </w:p>
    </w:sdtContent>
  </w:sdt>
  <w:p w:rsidR="004C01EE" w:rsidRDefault="004C01E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1EE" w:rsidRDefault="004C01EE" w:rsidP="003C2B2E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C01EE" w:rsidRDefault="004C01E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1EE" w:rsidRDefault="004C01EE" w:rsidP="003C2B2E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21</w:t>
    </w:r>
    <w:r>
      <w:rPr>
        <w:rStyle w:val="ab"/>
      </w:rPr>
      <w:fldChar w:fldCharType="end"/>
    </w:r>
  </w:p>
  <w:p w:rsidR="004C01EE" w:rsidRDefault="004C01EE">
    <w:pPr>
      <w:pStyle w:val="a6"/>
    </w:pPr>
  </w:p>
  <w:p w:rsidR="004C01EE" w:rsidRDefault="004C01E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421F"/>
    <w:multiLevelType w:val="hybridMultilevel"/>
    <w:tmpl w:val="6CA0AF56"/>
    <w:lvl w:ilvl="0" w:tplc="237825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C6785A"/>
    <w:multiLevelType w:val="hybridMultilevel"/>
    <w:tmpl w:val="186417BE"/>
    <w:lvl w:ilvl="0" w:tplc="50CC1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EB3E45"/>
    <w:multiLevelType w:val="hybridMultilevel"/>
    <w:tmpl w:val="D6C00F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A6C5D"/>
    <w:multiLevelType w:val="hybridMultilevel"/>
    <w:tmpl w:val="DAC2F4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1648C"/>
    <w:multiLevelType w:val="hybridMultilevel"/>
    <w:tmpl w:val="D7CEBC90"/>
    <w:lvl w:ilvl="0" w:tplc="1C5A3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1D"/>
    <w:rsid w:val="00001C41"/>
    <w:rsid w:val="000374CB"/>
    <w:rsid w:val="000C2F98"/>
    <w:rsid w:val="00146998"/>
    <w:rsid w:val="00201784"/>
    <w:rsid w:val="00211F28"/>
    <w:rsid w:val="00221FDC"/>
    <w:rsid w:val="002507BF"/>
    <w:rsid w:val="002A0A62"/>
    <w:rsid w:val="002A75EE"/>
    <w:rsid w:val="002E4D2E"/>
    <w:rsid w:val="002F4BCA"/>
    <w:rsid w:val="00397ABD"/>
    <w:rsid w:val="003A53C7"/>
    <w:rsid w:val="003C2B2E"/>
    <w:rsid w:val="003D4F0D"/>
    <w:rsid w:val="003E4870"/>
    <w:rsid w:val="003E5975"/>
    <w:rsid w:val="003F03E0"/>
    <w:rsid w:val="004179BC"/>
    <w:rsid w:val="00457D7D"/>
    <w:rsid w:val="004C01EE"/>
    <w:rsid w:val="004D2D08"/>
    <w:rsid w:val="004F0A5A"/>
    <w:rsid w:val="005B039A"/>
    <w:rsid w:val="005B2BF2"/>
    <w:rsid w:val="005B4A47"/>
    <w:rsid w:val="0060791D"/>
    <w:rsid w:val="00623A50"/>
    <w:rsid w:val="006679CA"/>
    <w:rsid w:val="00670D74"/>
    <w:rsid w:val="006E3B32"/>
    <w:rsid w:val="007177E9"/>
    <w:rsid w:val="007339E1"/>
    <w:rsid w:val="00737E4D"/>
    <w:rsid w:val="007F40FA"/>
    <w:rsid w:val="00835B96"/>
    <w:rsid w:val="00842623"/>
    <w:rsid w:val="00891A7A"/>
    <w:rsid w:val="00915A0A"/>
    <w:rsid w:val="00997AA9"/>
    <w:rsid w:val="009F227E"/>
    <w:rsid w:val="00AE659D"/>
    <w:rsid w:val="00B11398"/>
    <w:rsid w:val="00B84CAF"/>
    <w:rsid w:val="00BC5644"/>
    <w:rsid w:val="00BE645A"/>
    <w:rsid w:val="00BF6E96"/>
    <w:rsid w:val="00C17655"/>
    <w:rsid w:val="00C31807"/>
    <w:rsid w:val="00C77E53"/>
    <w:rsid w:val="00D3674B"/>
    <w:rsid w:val="00D77EE7"/>
    <w:rsid w:val="00D90118"/>
    <w:rsid w:val="00D93D35"/>
    <w:rsid w:val="00DB40B5"/>
    <w:rsid w:val="00DC737F"/>
    <w:rsid w:val="00E329A3"/>
    <w:rsid w:val="00E53212"/>
    <w:rsid w:val="00E533B0"/>
    <w:rsid w:val="00F06132"/>
    <w:rsid w:val="00F74A1B"/>
    <w:rsid w:val="00FA0693"/>
    <w:rsid w:val="00FC0466"/>
    <w:rsid w:val="00FC72C3"/>
    <w:rsid w:val="00FC77B8"/>
    <w:rsid w:val="00FD3456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D70E"/>
  <w15:chartTrackingRefBased/>
  <w15:docId w15:val="{6822C65A-CE56-4F52-A2DD-C44B3C76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39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397ABD"/>
  </w:style>
  <w:style w:type="character" w:styleId="a3">
    <w:name w:val="Hyperlink"/>
    <w:basedOn w:val="a0"/>
    <w:uiPriority w:val="99"/>
    <w:semiHidden/>
    <w:unhideWhenUsed/>
    <w:rsid w:val="00397A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7ABD"/>
    <w:pPr>
      <w:ind w:left="720"/>
      <w:contextualSpacing/>
    </w:pPr>
  </w:style>
  <w:style w:type="table" w:styleId="a5">
    <w:name w:val="Table Grid"/>
    <w:basedOn w:val="a1"/>
    <w:uiPriority w:val="39"/>
    <w:rsid w:val="00001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B4A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B4A47"/>
  </w:style>
  <w:style w:type="paragraph" w:styleId="a8">
    <w:name w:val="footer"/>
    <w:basedOn w:val="a"/>
    <w:link w:val="a9"/>
    <w:uiPriority w:val="99"/>
    <w:unhideWhenUsed/>
    <w:rsid w:val="005B4A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B4A47"/>
  </w:style>
  <w:style w:type="paragraph" w:styleId="aa">
    <w:name w:val="Normal (Web)"/>
    <w:basedOn w:val="a"/>
    <w:uiPriority w:val="99"/>
    <w:rsid w:val="003C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page number"/>
    <w:basedOn w:val="a0"/>
    <w:rsid w:val="003C2B2E"/>
  </w:style>
  <w:style w:type="paragraph" w:customStyle="1" w:styleId="rvps2">
    <w:name w:val="rvps2"/>
    <w:basedOn w:val="a"/>
    <w:rsid w:val="00F7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No Spacing"/>
    <w:uiPriority w:val="1"/>
    <w:qFormat/>
    <w:rsid w:val="00997AA9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2E4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E4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2507950.dotm</Template>
  <TotalTime>212</TotalTime>
  <Pages>17</Pages>
  <Words>3222</Words>
  <Characters>22432</Characters>
  <Application>Microsoft Office Word</Application>
  <DocSecurity>0</DocSecurity>
  <Lines>498</Lines>
  <Paragraphs>180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Сімонова Олена Вікторівна</dc:creator>
  <cp:keywords/>
  <dc:description/>
  <cp:lastModifiedBy>Сімонова Олена Вікторівна</cp:lastModifiedBy>
  <cp:revision>13</cp:revision>
  <cp:lastPrinted>2019-10-07T13:26:00Z</cp:lastPrinted>
  <dcterms:created xsi:type="dcterms:W3CDTF">2019-09-26T15:44:00Z</dcterms:created>
  <dcterms:modified xsi:type="dcterms:W3CDTF">2019-10-07T13:48:00Z</dcterms:modified>
</cp:coreProperties>
</file>