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D1" w:rsidRPr="005509B6" w:rsidRDefault="00BC4913">
      <w:pPr>
        <w:pStyle w:val="Style2"/>
        <w:keepNext/>
        <w:keepLines/>
        <w:shd w:val="clear" w:color="auto" w:fill="auto"/>
        <w:spacing w:after="52" w:line="260" w:lineRule="exact"/>
        <w:ind w:left="7371"/>
        <w:rPr>
          <w:rStyle w:val="CharStyle3"/>
          <w:b w:val="0"/>
          <w:color w:val="auto"/>
          <w:sz w:val="22"/>
          <w:szCs w:val="22"/>
          <w:lang w:val="uk-UA"/>
        </w:rPr>
      </w:pPr>
      <w:bookmarkStart w:id="0" w:name="bookmark0"/>
      <w:r>
        <w:rPr>
          <w:rStyle w:val="CharStyle3"/>
          <w:color w:val="auto"/>
          <w:lang w:val="uk-UA"/>
        </w:rPr>
        <w:t xml:space="preserve">                  </w:t>
      </w:r>
      <w:bookmarkEnd w:id="0"/>
      <w:r w:rsidR="005509B6" w:rsidRPr="005509B6">
        <w:rPr>
          <w:rStyle w:val="CharStyle3"/>
          <w:b w:val="0"/>
          <w:color w:val="auto"/>
          <w:sz w:val="22"/>
          <w:szCs w:val="22"/>
          <w:lang w:val="uk-UA"/>
        </w:rPr>
        <w:t>Додаток 1</w:t>
      </w:r>
    </w:p>
    <w:p w:rsidR="00932FD1" w:rsidRDefault="00BC4913">
      <w:pPr>
        <w:pStyle w:val="Style4"/>
        <w:keepNext/>
        <w:keepLines/>
        <w:shd w:val="clear" w:color="auto" w:fill="auto"/>
        <w:spacing w:before="0" w:after="13" w:line="260" w:lineRule="exact"/>
        <w:ind w:left="140"/>
        <w:rPr>
          <w:color w:val="auto"/>
        </w:rPr>
      </w:pPr>
      <w:bookmarkStart w:id="1" w:name="bookmark1"/>
      <w:r>
        <w:rPr>
          <w:rStyle w:val="CharStyle5"/>
          <w:color w:val="auto"/>
        </w:rPr>
        <w:t>ВИТРАТИ</w:t>
      </w:r>
      <w:bookmarkEnd w:id="1"/>
    </w:p>
    <w:p w:rsidR="00932FD1" w:rsidRDefault="00BC4913" w:rsidP="005509B6">
      <w:pPr>
        <w:pStyle w:val="Style6"/>
        <w:keepNext/>
        <w:keepLines/>
        <w:shd w:val="clear" w:color="auto" w:fill="auto"/>
        <w:spacing w:before="0" w:after="56"/>
        <w:ind w:firstLine="567"/>
        <w:rPr>
          <w:rStyle w:val="CharStyle7"/>
          <w:color w:val="auto"/>
        </w:rPr>
      </w:pPr>
      <w:bookmarkStart w:id="2" w:name="bookmark2"/>
      <w:r>
        <w:rPr>
          <w:rStyle w:val="CharStyle7"/>
          <w:color w:val="auto"/>
        </w:rPr>
        <w:t>на одного суб</w:t>
      </w:r>
      <w:r>
        <w:rPr>
          <w:rStyle w:val="CharStyle7"/>
          <w:color w:val="auto"/>
          <w:lang w:val="uk-UA"/>
        </w:rPr>
        <w:t>’</w:t>
      </w:r>
      <w:r>
        <w:rPr>
          <w:rStyle w:val="CharStyle7"/>
          <w:color w:val="auto"/>
        </w:rPr>
        <w:t>єкта господарювання великого і середнього підприємництва, які виникають внаслідок дії регуляторного акта</w:t>
      </w:r>
      <w:bookmarkEnd w:id="2"/>
    </w:p>
    <w:tbl>
      <w:tblPr>
        <w:tblpPr w:leftFromText="180" w:rightFromText="180" w:vertAnchor="text" w:horzAnchor="margin" w:tblpXSpec="right" w:tblpY="248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245"/>
        <w:gridCol w:w="1559"/>
        <w:gridCol w:w="1560"/>
      </w:tblGrid>
      <w:tr w:rsidR="005509B6" w:rsidTr="005509B6">
        <w:trPr>
          <w:trHeight w:hRule="exact" w:val="566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78" w:lineRule="exact"/>
              <w:rPr>
                <w:rStyle w:val="CharStyle11"/>
                <w:color w:val="auto"/>
                <w:lang w:val="uk-UA"/>
              </w:rPr>
            </w:pPr>
            <w:r>
              <w:rPr>
                <w:rStyle w:val="CharStyle11"/>
                <w:color w:val="auto"/>
                <w:lang w:val="uk-UA"/>
              </w:rPr>
              <w:t>№</w:t>
            </w:r>
          </w:p>
          <w:p w:rsidR="005509B6" w:rsidRDefault="005509B6" w:rsidP="005509B6">
            <w:pPr>
              <w:pStyle w:val="Style10"/>
              <w:shd w:val="clear" w:color="auto" w:fill="auto"/>
              <w:spacing w:line="278" w:lineRule="exact"/>
              <w:rPr>
                <w:color w:val="auto"/>
                <w:lang w:val="uk-UA"/>
              </w:rPr>
            </w:pPr>
            <w:r>
              <w:rPr>
                <w:rStyle w:val="CharStyle11"/>
                <w:color w:val="auto"/>
                <w:lang w:val="uk-UA"/>
              </w:rPr>
              <w:t>з/п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ind w:left="2000"/>
              <w:jc w:val="left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Витрати</w:t>
            </w:r>
          </w:p>
        </w:tc>
        <w:tc>
          <w:tcPr>
            <w:tcW w:w="1559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За перший рік</w:t>
            </w:r>
          </w:p>
        </w:tc>
        <w:tc>
          <w:tcPr>
            <w:tcW w:w="1560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ind w:left="140"/>
              <w:jc w:val="left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За п’ять років</w:t>
            </w:r>
          </w:p>
        </w:tc>
      </w:tr>
      <w:tr w:rsidR="005509B6" w:rsidTr="005509B6">
        <w:trPr>
          <w:trHeight w:hRule="exact" w:val="1056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Витрати на придбання основних фондів, обладнання та приладів, сервісне обслуговування, навчання</w:t>
            </w:r>
            <w:r>
              <w:rPr>
                <w:rStyle w:val="CharStyle11"/>
                <w:color w:val="auto"/>
                <w:lang w:val="ru"/>
              </w:rPr>
              <w:t>/</w:t>
            </w:r>
            <w:r>
              <w:rPr>
                <w:rStyle w:val="CharStyle11"/>
                <w:color w:val="auto"/>
              </w:rPr>
              <w:t>підвищення кваліфікації персоналу тощо,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5509B6" w:rsidTr="005509B6">
        <w:trPr>
          <w:trHeight w:hRule="exact" w:val="797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5509B6" w:rsidTr="005509B6">
        <w:trPr>
          <w:trHeight w:hRule="exact" w:val="797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Витрати, пов'язані із веденням обліку, підготовкою та поданням звітності державним органам,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4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5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pStyle w:val="Style14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harStyle15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5509B6" w:rsidTr="005509B6">
        <w:trPr>
          <w:trHeight w:hRule="exact" w:val="1899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3.1*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69" w:lineRule="exact"/>
              <w:ind w:left="67" w:right="128"/>
              <w:jc w:val="both"/>
              <w:rPr>
                <w:rStyle w:val="CharStyle11"/>
                <w:color w:val="auto"/>
                <w:lang w:val="uk-UA"/>
              </w:rPr>
            </w:pPr>
            <w:r>
              <w:rPr>
                <w:rStyle w:val="CharStyle11"/>
                <w:color w:val="auto"/>
              </w:rPr>
              <w:t xml:space="preserve">Витрати на заповнення суб’єктом </w:t>
            </w:r>
            <w:r>
              <w:rPr>
                <w:rStyle w:val="CharStyle11"/>
                <w:color w:val="auto"/>
                <w:lang w:val="uk-UA"/>
              </w:rPr>
              <w:t>господарювання</w:t>
            </w:r>
            <w:r>
              <w:rPr>
                <w:color w:val="auto"/>
              </w:rPr>
              <w:t xml:space="preserve"> </w:t>
            </w:r>
            <w:r>
              <w:t xml:space="preserve"> </w:t>
            </w:r>
            <w:r>
              <w:rPr>
                <w:rStyle w:val="CharStyle11"/>
                <w:color w:val="auto"/>
                <w:lang w:val="uk-UA"/>
              </w:rPr>
              <w:t xml:space="preserve">інформації про відкриття </w:t>
            </w:r>
            <w:r w:rsidR="002301DD">
              <w:rPr>
                <w:rStyle w:val="CharStyle11"/>
                <w:color w:val="auto"/>
                <w:lang w:val="uk-UA"/>
              </w:rPr>
              <w:t>банківських</w:t>
            </w:r>
            <w:r>
              <w:rPr>
                <w:rStyle w:val="CharStyle11"/>
                <w:color w:val="auto"/>
                <w:lang w:val="uk-UA"/>
              </w:rPr>
              <w:t xml:space="preserve"> рахунків</w:t>
            </w:r>
            <w:r w:rsidR="002301DD">
              <w:rPr>
                <w:rStyle w:val="CharStyle11"/>
                <w:color w:val="auto"/>
                <w:lang w:val="uk-UA"/>
              </w:rPr>
              <w:t>, рахунків у цінних паперах, інших рахунків</w:t>
            </w:r>
            <w:r>
              <w:rPr>
                <w:rStyle w:val="CharStyle11"/>
                <w:color w:val="auto"/>
                <w:lang w:val="uk-UA"/>
              </w:rPr>
              <w:t xml:space="preserve"> фізичних і юридичних осіб та індивідуальних банківських сейфів </w:t>
            </w:r>
            <w:r>
              <w:rPr>
                <w:rStyle w:val="CharStyle11"/>
                <w:color w:val="auto"/>
              </w:rPr>
              <w:t>становитимуть:</w:t>
            </w:r>
          </w:p>
          <w:p w:rsidR="005509B6" w:rsidRDefault="005509B6" w:rsidP="005509B6">
            <w:pPr>
              <w:pStyle w:val="Style10"/>
              <w:shd w:val="clear" w:color="auto" w:fill="auto"/>
              <w:spacing w:line="269" w:lineRule="exact"/>
              <w:ind w:left="67" w:right="128"/>
              <w:jc w:val="left"/>
              <w:rPr>
                <w:color w:val="auto"/>
              </w:rPr>
            </w:pPr>
            <w:r>
              <w:rPr>
                <w:color w:val="auto"/>
              </w:rPr>
              <w:t>0,17</w:t>
            </w:r>
            <w:r>
              <w:rPr>
                <w:color w:val="auto"/>
                <w:lang w:val="uk-UA"/>
              </w:rPr>
              <w:t xml:space="preserve"> (10 хв.)</w:t>
            </w:r>
            <w:r>
              <w:rPr>
                <w:color w:val="auto"/>
              </w:rPr>
              <w:t xml:space="preserve"> Х год Х 39,26 грн/год = 6,67 грн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1"/>
                <w:color w:val="auto"/>
                <w:sz w:val="20"/>
                <w:szCs w:val="20"/>
                <w:lang w:val="ru"/>
              </w:rPr>
              <w:t>6,</w:t>
            </w:r>
            <w:r>
              <w:rPr>
                <w:rStyle w:val="CharStyle11"/>
                <w:color w:val="auto"/>
                <w:sz w:val="20"/>
                <w:lang w:val="ru"/>
              </w:rPr>
              <w:t>67</w:t>
            </w:r>
            <w:r>
              <w:rPr>
                <w:rStyle w:val="CharStyle11"/>
                <w:color w:val="auto"/>
                <w:sz w:val="20"/>
                <w:szCs w:val="20"/>
                <w:lang w:val="ru"/>
              </w:rPr>
              <w:t xml:space="preserve"> 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33,37 грн</w:t>
            </w:r>
          </w:p>
        </w:tc>
      </w:tr>
      <w:tr w:rsidR="005509B6" w:rsidTr="005509B6">
        <w:trPr>
          <w:trHeight w:hRule="exact" w:val="1056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4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5509B6" w:rsidTr="005509B6">
        <w:trPr>
          <w:trHeight w:hRule="exact" w:val="1848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5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</w:t>
            </w:r>
            <w:r>
              <w:rPr>
                <w:rStyle w:val="CharStyle11"/>
                <w:color w:val="auto"/>
                <w:lang w:val="uk-UA"/>
              </w:rPr>
              <w:t>’</w:t>
            </w:r>
            <w:r>
              <w:rPr>
                <w:rStyle w:val="CharStyle11"/>
                <w:color w:val="auto"/>
              </w:rPr>
              <w:t>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5509B6" w:rsidTr="005509B6">
        <w:trPr>
          <w:trHeight w:hRule="exact" w:val="533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6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64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5509B6" w:rsidTr="005509B6">
        <w:trPr>
          <w:trHeight w:hRule="exact" w:val="533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Витрати, пов</w:t>
            </w:r>
            <w:r>
              <w:rPr>
                <w:rStyle w:val="CharStyle11"/>
                <w:color w:val="auto"/>
                <w:lang w:val="uk-UA"/>
              </w:rPr>
              <w:t>’</w:t>
            </w:r>
            <w:r>
              <w:rPr>
                <w:rStyle w:val="CharStyle11"/>
                <w:color w:val="auto"/>
              </w:rPr>
              <w:t xml:space="preserve">язані із </w:t>
            </w:r>
            <w:r>
              <w:rPr>
                <w:rStyle w:val="CharStyle11"/>
                <w:color w:val="auto"/>
                <w:lang w:val="ru"/>
              </w:rPr>
              <w:t xml:space="preserve">наймом </w:t>
            </w:r>
            <w:r>
              <w:rPr>
                <w:rStyle w:val="CharStyle11"/>
                <w:color w:val="auto"/>
              </w:rPr>
              <w:t>додаткового персоналу,</w:t>
            </w:r>
            <w:r>
              <w:rPr>
                <w:rStyle w:val="CharStyle11"/>
                <w:color w:val="auto"/>
                <w:lang w:val="uk-UA"/>
              </w:rPr>
              <w:t xml:space="preserve"> </w:t>
            </w:r>
            <w:r>
              <w:rPr>
                <w:rStyle w:val="CharStyle11"/>
                <w:color w:val="auto"/>
              </w:rPr>
              <w:t>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pStyle w:val="Style12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5509B6" w:rsidTr="005509B6">
        <w:trPr>
          <w:trHeight w:hRule="exact" w:val="288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8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Інше (уточнити),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4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5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pStyle w:val="Style14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harStyle15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5509B6" w:rsidTr="005509B6">
        <w:trPr>
          <w:trHeight w:hRule="exact" w:val="533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 xml:space="preserve">РАЗОМ (сума рядків: </w:t>
            </w:r>
            <w:r>
              <w:rPr>
                <w:rStyle w:val="CharStyle11"/>
                <w:color w:val="auto"/>
                <w:lang w:val="ru"/>
              </w:rPr>
              <w:t xml:space="preserve">1+2 + 3+ 4 + 5 + 6 + 7 + 8), </w:t>
            </w:r>
            <w:r>
              <w:rPr>
                <w:rStyle w:val="CharStyle11"/>
                <w:color w:val="auto"/>
              </w:rPr>
              <w:t>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1"/>
                <w:color w:val="auto"/>
                <w:sz w:val="20"/>
                <w:szCs w:val="20"/>
                <w:lang w:val="ru"/>
              </w:rPr>
              <w:t>6,</w:t>
            </w:r>
            <w:r>
              <w:rPr>
                <w:rStyle w:val="CharStyle11"/>
                <w:color w:val="auto"/>
                <w:sz w:val="20"/>
                <w:lang w:val="ru"/>
              </w:rPr>
              <w:t>67</w:t>
            </w:r>
            <w:r>
              <w:rPr>
                <w:rStyle w:val="CharStyle11"/>
                <w:color w:val="auto"/>
                <w:sz w:val="20"/>
                <w:szCs w:val="20"/>
                <w:lang w:val="ru"/>
              </w:rPr>
              <w:t xml:space="preserve"> 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33,37 грн</w:t>
            </w:r>
          </w:p>
        </w:tc>
      </w:tr>
      <w:tr w:rsidR="005509B6" w:rsidTr="005509B6">
        <w:trPr>
          <w:trHeight w:hRule="exact" w:val="797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10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Кількість суб’єктів господарювання великог</w:t>
            </w:r>
            <w:r>
              <w:rPr>
                <w:rStyle w:val="CharStyle11"/>
                <w:color w:val="auto"/>
                <w:lang w:val="uk-UA"/>
              </w:rPr>
              <w:t xml:space="preserve">о і </w:t>
            </w:r>
            <w:r>
              <w:rPr>
                <w:rStyle w:val="CharStyle11"/>
                <w:color w:val="auto"/>
              </w:rPr>
              <w:t>середнього</w:t>
            </w:r>
            <w:r>
              <w:rPr>
                <w:rStyle w:val="CharStyle11"/>
                <w:color w:val="auto"/>
                <w:lang w:val="uk-UA"/>
              </w:rPr>
              <w:t xml:space="preserve"> </w:t>
            </w:r>
            <w:r>
              <w:rPr>
                <w:rStyle w:val="CharStyle11"/>
                <w:color w:val="auto"/>
              </w:rPr>
              <w:t>підприємництва, на яких буде поширено регулювання, одиниць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ind w:left="1440"/>
              <w:jc w:val="left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pacing w:val="-8"/>
                <w:sz w:val="20"/>
                <w:szCs w:val="20"/>
                <w:lang w:val="uk-UA"/>
              </w:rPr>
              <w:t>41</w:t>
            </w:r>
          </w:p>
        </w:tc>
      </w:tr>
      <w:tr w:rsidR="005509B6" w:rsidTr="005509B6">
        <w:trPr>
          <w:trHeight w:hRule="exact" w:val="1070"/>
        </w:trPr>
        <w:tc>
          <w:tcPr>
            <w:tcW w:w="1276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CharStyle11"/>
                <w:color w:val="auto"/>
                <w:lang w:val="ru"/>
              </w:rPr>
              <w:t>11</w:t>
            </w:r>
          </w:p>
        </w:tc>
        <w:tc>
          <w:tcPr>
            <w:tcW w:w="5245" w:type="dxa"/>
            <w:shd w:val="clear" w:color="auto" w:fill="FFFFFF"/>
          </w:tcPr>
          <w:p w:rsidR="005509B6" w:rsidRDefault="005509B6" w:rsidP="005509B6">
            <w:pPr>
              <w:pStyle w:val="Style10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>
              <w:rPr>
                <w:rStyle w:val="CharStyle11"/>
                <w:color w:val="auto"/>
              </w:rPr>
              <w:t>Сумарні витрати суб</w:t>
            </w:r>
            <w:r>
              <w:rPr>
                <w:rStyle w:val="CharStyle11"/>
                <w:color w:val="auto"/>
                <w:lang w:val="uk-UA"/>
              </w:rPr>
              <w:t>’</w:t>
            </w:r>
            <w:r>
              <w:rPr>
                <w:rStyle w:val="CharStyle11"/>
                <w:color w:val="auto"/>
              </w:rPr>
              <w:t>єктів господарювання  великого</w:t>
            </w:r>
            <w:r>
              <w:rPr>
                <w:rStyle w:val="CharStyle11"/>
                <w:color w:val="auto"/>
                <w:lang w:val="uk-UA"/>
              </w:rPr>
              <w:t xml:space="preserve"> і </w:t>
            </w:r>
            <w:r>
              <w:rPr>
                <w:rStyle w:val="CharStyle11"/>
                <w:color w:val="auto"/>
              </w:rPr>
              <w:t>середнього</w:t>
            </w:r>
            <w:r>
              <w:rPr>
                <w:rStyle w:val="CharStyle11"/>
                <w:color w:val="auto"/>
                <w:lang w:val="uk-UA"/>
              </w:rPr>
              <w:t xml:space="preserve"> </w:t>
            </w:r>
            <w:r>
              <w:rPr>
                <w:rStyle w:val="CharStyle11"/>
                <w:color w:val="auto"/>
              </w:rPr>
              <w:t xml:space="preserve">підприємництва, на виконання регулювання (вартість регулювання) (рядок </w:t>
            </w:r>
            <w:r>
              <w:rPr>
                <w:rStyle w:val="CharStyle11"/>
                <w:color w:val="auto"/>
                <w:lang w:val="ru"/>
              </w:rPr>
              <w:t xml:space="preserve">9 </w:t>
            </w:r>
            <w:r>
              <w:rPr>
                <w:rStyle w:val="CharStyle11"/>
                <w:color w:val="auto"/>
              </w:rPr>
              <w:t xml:space="preserve">х рядок </w:t>
            </w:r>
            <w:r>
              <w:rPr>
                <w:rStyle w:val="CharStyle11"/>
                <w:color w:val="auto"/>
                <w:lang w:val="ru"/>
              </w:rPr>
              <w:t xml:space="preserve">10), </w:t>
            </w:r>
            <w:r>
              <w:rPr>
                <w:rStyle w:val="CharStyle11"/>
                <w:color w:val="auto"/>
              </w:rPr>
              <w:t>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9B6" w:rsidRDefault="005509B6" w:rsidP="005509B6">
            <w:pPr>
              <w:pStyle w:val="Style10"/>
              <w:shd w:val="clear" w:color="auto" w:fill="auto"/>
              <w:spacing w:line="278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1"/>
                <w:color w:val="auto"/>
                <w:sz w:val="20"/>
                <w:szCs w:val="20"/>
                <w:lang w:val="ru"/>
              </w:rPr>
              <w:t>2</w:t>
            </w:r>
            <w:r>
              <w:rPr>
                <w:rStyle w:val="CharStyle11"/>
                <w:color w:val="auto"/>
                <w:sz w:val="20"/>
                <w:lang w:val="ru"/>
              </w:rPr>
              <w:t>73,47</w:t>
            </w:r>
            <w:r>
              <w:rPr>
                <w:rStyle w:val="CharStyle11"/>
                <w:color w:val="auto"/>
                <w:sz w:val="20"/>
                <w:szCs w:val="20"/>
                <w:lang w:val="ru"/>
              </w:rPr>
              <w:t xml:space="preserve"> </w:t>
            </w:r>
            <w:r>
              <w:rPr>
                <w:rStyle w:val="CharStyle11"/>
                <w:color w:val="auto"/>
                <w:sz w:val="20"/>
                <w:szCs w:val="20"/>
              </w:rPr>
              <w:t>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509B6" w:rsidRDefault="005509B6" w:rsidP="005509B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1368,21 грн</w:t>
            </w:r>
          </w:p>
        </w:tc>
      </w:tr>
    </w:tbl>
    <w:p w:rsidR="005509B6" w:rsidRDefault="005509B6">
      <w:pPr>
        <w:pStyle w:val="Style6"/>
        <w:keepNext/>
        <w:keepLines/>
        <w:shd w:val="clear" w:color="auto" w:fill="auto"/>
        <w:spacing w:before="0" w:after="56"/>
        <w:ind w:left="140"/>
        <w:rPr>
          <w:color w:val="auto"/>
        </w:rPr>
      </w:pPr>
    </w:p>
    <w:p w:rsidR="00932FD1" w:rsidRDefault="00932FD1">
      <w:pPr>
        <w:rPr>
          <w:color w:val="auto"/>
          <w:sz w:val="2"/>
          <w:szCs w:val="2"/>
        </w:rPr>
      </w:pPr>
    </w:p>
    <w:p w:rsidR="005509B6" w:rsidRDefault="005509B6" w:rsidP="005509B6">
      <w:pPr>
        <w:pStyle w:val="Style8"/>
        <w:framePr w:w="9672" w:wrap="notBeside" w:vAnchor="text" w:hAnchor="page" w:x="1549" w:y="11835"/>
        <w:shd w:val="clear" w:color="auto" w:fill="auto"/>
        <w:ind w:firstLine="0"/>
        <w:rPr>
          <w:color w:val="auto"/>
          <w:lang w:val="uk-UA"/>
        </w:rPr>
      </w:pPr>
      <w:r>
        <w:rPr>
          <w:rStyle w:val="CharStyle9"/>
          <w:color w:val="auto"/>
        </w:rPr>
        <w:t>* Вартість витрат, пов</w:t>
      </w:r>
      <w:r>
        <w:rPr>
          <w:rStyle w:val="CharStyle9"/>
          <w:color w:val="auto"/>
          <w:lang w:val="uk-UA"/>
        </w:rPr>
        <w:t>’</w:t>
      </w:r>
      <w:r>
        <w:rPr>
          <w:rStyle w:val="CharStyle9"/>
          <w:color w:val="auto"/>
        </w:rPr>
        <w:t>язаних із заповнення суб</w:t>
      </w:r>
      <w:r>
        <w:rPr>
          <w:rStyle w:val="CharStyle9"/>
          <w:color w:val="auto"/>
          <w:lang w:val="uk-UA"/>
        </w:rPr>
        <w:t>’</w:t>
      </w:r>
      <w:r>
        <w:rPr>
          <w:rStyle w:val="CharStyle9"/>
          <w:color w:val="auto"/>
        </w:rPr>
        <w:t xml:space="preserve">єктом </w:t>
      </w:r>
      <w:r>
        <w:rPr>
          <w:rStyle w:val="CharStyle9"/>
          <w:color w:val="auto"/>
          <w:lang w:val="uk-UA"/>
        </w:rPr>
        <w:t xml:space="preserve">господарювання інформації про відкриття </w:t>
      </w:r>
      <w:r w:rsidR="002301DD" w:rsidRPr="002301DD">
        <w:rPr>
          <w:color w:val="auto"/>
          <w:lang w:val="uk-UA"/>
        </w:rPr>
        <w:t xml:space="preserve">банківських рахунків, рахунків у цінних паперах, інших рахунків </w:t>
      </w:r>
      <w:r>
        <w:rPr>
          <w:rStyle w:val="CharStyle9"/>
          <w:color w:val="auto"/>
          <w:lang w:val="uk-UA"/>
        </w:rPr>
        <w:t>фізичних і юридичних осіб та індивідуальних банківських сейфів,</w:t>
      </w:r>
      <w:r>
        <w:rPr>
          <w:rStyle w:val="CharStyle9"/>
          <w:color w:val="auto"/>
        </w:rPr>
        <w:t xml:space="preserve"> визначається шляхом множення фактичних витрат часу персоналу на заробітну плату спеціаліста відповідної кваліфікації (мінімальна зарплата в Україні з </w:t>
      </w:r>
      <w:r>
        <w:rPr>
          <w:rStyle w:val="CharStyle9"/>
          <w:color w:val="auto"/>
          <w:lang w:val="uk-UA"/>
        </w:rPr>
        <w:t>0</w:t>
      </w:r>
      <w:bookmarkStart w:id="3" w:name="_GoBack"/>
      <w:bookmarkEnd w:id="3"/>
      <w:r>
        <w:rPr>
          <w:rStyle w:val="CharStyle9"/>
          <w:color w:val="auto"/>
        </w:rPr>
        <w:t>1 січня 2022 року становить 6 500 грн в місяць</w:t>
      </w:r>
      <w:r>
        <w:rPr>
          <w:rStyle w:val="CharStyle9"/>
          <w:color w:val="auto"/>
          <w:lang w:val="uk-UA"/>
        </w:rPr>
        <w:t>,</w:t>
      </w:r>
      <w:r>
        <w:rPr>
          <w:rStyle w:val="CharStyle9"/>
          <w:color w:val="auto"/>
        </w:rPr>
        <w:t xml:space="preserve"> або 39,26 грн за годину).</w:t>
      </w:r>
    </w:p>
    <w:p w:rsidR="00932FD1" w:rsidRDefault="00932FD1">
      <w:pPr>
        <w:rPr>
          <w:color w:val="auto"/>
          <w:sz w:val="2"/>
          <w:szCs w:val="2"/>
        </w:rPr>
      </w:pPr>
    </w:p>
    <w:sectPr w:rsidR="00932FD1" w:rsidSect="005509B6">
      <w:type w:val="continuous"/>
      <w:pgSz w:w="11909" w:h="16834"/>
      <w:pgMar w:top="772" w:right="710" w:bottom="852" w:left="929" w:header="0" w:footer="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59" w:rsidRDefault="00631F59"/>
  </w:endnote>
  <w:endnote w:type="continuationSeparator" w:id="0">
    <w:p w:rsidR="00631F59" w:rsidRDefault="00631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59" w:rsidRDefault="00631F59"/>
  </w:footnote>
  <w:footnote w:type="continuationSeparator" w:id="0">
    <w:p w:rsidR="00631F59" w:rsidRDefault="00631F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D1"/>
    <w:rsid w:val="002301DD"/>
    <w:rsid w:val="005509B6"/>
    <w:rsid w:val="00631F59"/>
    <w:rsid w:val="00932FD1"/>
    <w:rsid w:val="00B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584E"/>
  <w15:docId w15:val="{3F129FCF-AF99-437E-9DC5-72F55B0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basedOn w:val="a"/>
    <w:link w:val="CharStyle3"/>
    <w:pPr>
      <w:shd w:val="clear" w:color="auto" w:fill="FFFFFF"/>
      <w:spacing w:after="120"/>
      <w:outlineLvl w:val="1"/>
    </w:pPr>
    <w:rPr>
      <w:b/>
      <w:bCs/>
      <w:sz w:val="26"/>
      <w:szCs w:val="26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120" w:after="120"/>
      <w:jc w:val="center"/>
      <w:outlineLvl w:val="0"/>
    </w:pPr>
    <w:rPr>
      <w:b/>
      <w:bCs/>
      <w:sz w:val="26"/>
      <w:szCs w:val="26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120" w:after="120" w:line="322" w:lineRule="exact"/>
      <w:jc w:val="center"/>
      <w:outlineLvl w:val="2"/>
    </w:pPr>
    <w:rPr>
      <w:sz w:val="27"/>
      <w:szCs w:val="27"/>
    </w:rPr>
  </w:style>
  <w:style w:type="paragraph" w:customStyle="1" w:styleId="Style8">
    <w:name w:val="Style 8"/>
    <w:basedOn w:val="a"/>
    <w:link w:val="CharStyle9"/>
    <w:pPr>
      <w:shd w:val="clear" w:color="auto" w:fill="FFFFFF"/>
      <w:spacing w:line="230" w:lineRule="exact"/>
      <w:ind w:firstLine="720"/>
      <w:jc w:val="both"/>
    </w:pPr>
    <w:rPr>
      <w:sz w:val="19"/>
      <w:szCs w:val="19"/>
    </w:rPr>
  </w:style>
  <w:style w:type="paragraph" w:customStyle="1" w:styleId="Style10">
    <w:name w:val="Style 10"/>
    <w:basedOn w:val="a"/>
    <w:link w:val="CharStyle11"/>
    <w:pPr>
      <w:shd w:val="clear" w:color="auto" w:fill="FFFFFF"/>
      <w:jc w:val="center"/>
    </w:pPr>
    <w:rPr>
      <w:sz w:val="22"/>
      <w:szCs w:val="22"/>
    </w:rPr>
  </w:style>
  <w:style w:type="paragraph" w:customStyle="1" w:styleId="Style12">
    <w:name w:val="Style 12"/>
    <w:basedOn w:val="a"/>
    <w:link w:val="CharStyle13"/>
    <w:pPr>
      <w:shd w:val="clear" w:color="auto" w:fill="FFFFFF"/>
      <w:jc w:val="center"/>
    </w:pPr>
    <w:rPr>
      <w:sz w:val="8"/>
      <w:szCs w:val="8"/>
    </w:rPr>
  </w:style>
  <w:style w:type="paragraph" w:customStyle="1" w:styleId="Style14">
    <w:name w:val="Style 14"/>
    <w:basedOn w:val="a"/>
    <w:link w:val="CharStyle15"/>
    <w:pPr>
      <w:shd w:val="clear" w:color="auto" w:fill="FFFFFF"/>
      <w:jc w:val="center"/>
    </w:pPr>
    <w:rPr>
      <w:sz w:val="8"/>
      <w:szCs w:val="8"/>
    </w:rPr>
  </w:style>
  <w:style w:type="paragraph" w:styleId="a3">
    <w:name w:val="footnote text"/>
    <w:link w:val="a4"/>
    <w:semiHidden/>
    <w:rPr>
      <w:sz w:val="20"/>
      <w:szCs w:val="20"/>
    </w:rPr>
  </w:style>
  <w:style w:type="paragraph" w:styleId="a5">
    <w:name w:val="endnote text"/>
    <w:link w:val="a6"/>
    <w:semiHidden/>
    <w:rPr>
      <w:sz w:val="20"/>
      <w:szCs w:val="20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z w:val="26"/>
      <w:szCs w:val="26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z w:val="26"/>
      <w:szCs w:val="26"/>
      <w:u w:val="none"/>
    </w:rPr>
  </w:style>
  <w:style w:type="character" w:customStyle="1" w:styleId="CharStyle7">
    <w:name w:val="Char Style 7"/>
    <w:basedOn w:val="a0"/>
    <w:link w:val="Style6"/>
    <w:rPr>
      <w:b w:val="0"/>
      <w:bCs w:val="0"/>
      <w:i w:val="0"/>
      <w:iCs w:val="0"/>
      <w:smallCaps w:val="0"/>
      <w:sz w:val="27"/>
      <w:szCs w:val="27"/>
      <w:u w:val="none"/>
    </w:rPr>
  </w:style>
  <w:style w:type="character" w:customStyle="1" w:styleId="CharStyle9">
    <w:name w:val="Char Style 9"/>
    <w:basedOn w:val="a0"/>
    <w:link w:val="Style8"/>
    <w:rPr>
      <w:b w:val="0"/>
      <w:bCs w:val="0"/>
      <w:i w:val="0"/>
      <w:iCs w:val="0"/>
      <w:smallCaps w:val="0"/>
      <w:sz w:val="19"/>
      <w:szCs w:val="19"/>
      <w:u w:val="none"/>
    </w:rPr>
  </w:style>
  <w:style w:type="character" w:customStyle="1" w:styleId="CharStyle11">
    <w:name w:val="Char Style 11"/>
    <w:basedOn w:val="a0"/>
    <w:link w:val="Style10"/>
    <w:rPr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CharStyle13">
    <w:name w:val="Char Style 13"/>
    <w:basedOn w:val="a0"/>
    <w:link w:val="Style12"/>
    <w:rPr>
      <w:b w:val="0"/>
      <w:bCs w:val="0"/>
      <w:i w:val="0"/>
      <w:iCs w:val="0"/>
      <w:smallCaps w:val="0"/>
      <w:sz w:val="8"/>
      <w:szCs w:val="8"/>
      <w:u w:val="none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z w:val="8"/>
      <w:szCs w:val="8"/>
      <w:u w:val="none"/>
    </w:rPr>
  </w:style>
  <w:style w:type="character" w:styleId="a9">
    <w:name w:val="footnote reference"/>
    <w:semiHidden/>
    <w:rPr>
      <w:vertAlign w:val="superscript"/>
    </w:rPr>
  </w:style>
  <w:style w:type="character" w:customStyle="1" w:styleId="a4">
    <w:name w:val="Текст виноски Знак"/>
    <w:link w:val="a3"/>
    <w:semiHidden/>
    <w:rPr>
      <w:sz w:val="20"/>
      <w:szCs w:val="20"/>
    </w:rPr>
  </w:style>
  <w:style w:type="character" w:styleId="aa">
    <w:name w:val="endnote reference"/>
    <w:semiHidden/>
    <w:rPr>
      <w:vertAlign w:val="superscript"/>
    </w:rPr>
  </w:style>
  <w:style w:type="character" w:customStyle="1" w:styleId="a6">
    <w:name w:val="Текст кінцевої виноски Знак"/>
    <w:link w:val="a5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1470</Words>
  <Characters>838</Characters>
  <Application>Microsoft Office Word</Application>
  <DocSecurity>0</DocSecurity>
  <Lines>6</Lines>
  <Paragraphs>4</Paragraphs>
  <ScaleCrop>false</ScaleCrop>
  <Company>MINFIN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Денисенко-Онищенко Марина Іванівна</dc:creator>
  <cp:lastModifiedBy>Olena</cp:lastModifiedBy>
  <cp:revision>8</cp:revision>
  <dcterms:created xsi:type="dcterms:W3CDTF">2022-04-12T15:03:00Z</dcterms:created>
  <dcterms:modified xsi:type="dcterms:W3CDTF">2022-04-16T04:41:00Z</dcterms:modified>
</cp:coreProperties>
</file>