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before="268" w:beforeAutospacing="0" w:afterAutospacing="0"/>
        <w:ind w:left="0" w:right="130"/>
        <w:jc w:val="right"/>
        <w:rPr>
          <w:color w:val="000000"/>
        </w:rPr>
      </w:pPr>
      <w:bookmarkStart w:id="0" w:name="bookmark0"/>
      <w:r>
        <w:rPr>
          <w:color w:val="000000"/>
        </w:rPr>
        <w:t>Додаток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1</w:t>
      </w:r>
    </w:p>
    <w:p>
      <w:pPr>
        <w:pStyle w:val="P9"/>
        <w:spacing w:before="244" w:beforeAutospacing="0" w:afterAutospacing="0"/>
        <w:ind w:left="2469" w:right="2431"/>
        <w:jc w:val="center"/>
        <w:rPr>
          <w:b w:val="1"/>
          <w:color w:val="000000"/>
        </w:rPr>
      </w:pPr>
      <w:r>
        <w:rPr>
          <w:b w:val="1"/>
          <w:color w:val="000000"/>
        </w:rPr>
        <w:t>ВИТРАТИ</w:t>
      </w:r>
    </w:p>
    <w:p>
      <w:pPr>
        <w:pStyle w:val="P9"/>
        <w:spacing w:after="6" w:beforeAutospacing="0" w:afterAutospacing="0"/>
        <w:ind w:hanging="2067" w:left="2347"/>
        <w:jc w:val="left"/>
        <w:rPr>
          <w:color w:val="000000"/>
        </w:rPr>
      </w:pPr>
      <w:r>
        <w:rPr>
          <w:color w:val="000000"/>
        </w:rPr>
        <w:t>на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одного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суб’єкта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господарювання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великого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і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середнього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підприємництва,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які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виникають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внаслідок дії регуляторного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акта</w:t>
      </w:r>
    </w:p>
    <w:tbl>
      <w:tblPr>
        <w:tblStyle w:val="T2"/>
        <w:tblW w:w="9828" w:type="dxa"/>
        <w:tblInd w:w="38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506"/>
        </w:trPr>
        <w:tc>
          <w:tcPr>
            <w:tcW w:w="1325" w:type="dxa"/>
            <w:shd w:val="clear" w:color="auto" w:fill="auto"/>
          </w:tcPr>
          <w:p>
            <w:pPr>
              <w:pStyle w:val="P10"/>
              <w:spacing w:lineRule="exact" w:line="247" w:beforeAutospacing="0" w:afterAutospacing="0"/>
              <w:ind w:left="69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Порядковий</w:t>
            </w:r>
          </w:p>
          <w:p>
            <w:pPr>
              <w:pStyle w:val="P10"/>
              <w:spacing w:lineRule="exact" w:line="238" w:before="1" w:beforeAutospacing="0" w:afterAutospacing="0"/>
              <w:ind w:left="69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5435" w:type="dxa"/>
            <w:shd w:val="clear" w:color="auto" w:fill="auto"/>
          </w:tcPr>
          <w:p>
            <w:pPr>
              <w:pStyle w:val="P10"/>
              <w:spacing w:before="121" w:beforeAutospacing="0" w:afterAutospacing="0"/>
              <w:ind w:left="16" w:right="7"/>
              <w:jc w:val="center"/>
              <w:rPr>
                <w:color w:val="000000"/>
              </w:rPr>
            </w:pPr>
            <w:r>
              <w:rPr>
                <w:color w:val="000000"/>
              </w:rPr>
              <w:t>Витрати</w:t>
            </w:r>
          </w:p>
        </w:tc>
        <w:tc>
          <w:tcPr>
            <w:tcW w:w="1358" w:type="dxa"/>
            <w:shd w:val="clear" w:color="auto" w:fill="auto"/>
          </w:tcPr>
          <w:p>
            <w:pPr>
              <w:pStyle w:val="P10"/>
              <w:spacing w:lineRule="exact" w:line="247" w:beforeAutospacing="0" w:afterAutospacing="0"/>
              <w:ind w:left="82" w:right="74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перший</w:t>
            </w:r>
          </w:p>
          <w:p>
            <w:pPr>
              <w:pStyle w:val="P10"/>
              <w:spacing w:lineRule="exact" w:line="238" w:before="1" w:beforeAutospacing="0" w:afterAutospacing="0"/>
              <w:ind w:left="82" w:right="71"/>
              <w:jc w:val="center"/>
              <w:rPr>
                <w:color w:val="000000"/>
              </w:rPr>
            </w:pPr>
            <w:r>
              <w:rPr>
                <w:color w:val="000000"/>
              </w:rPr>
              <w:t>рік</w:t>
            </w:r>
          </w:p>
        </w:tc>
        <w:tc>
          <w:tcPr>
            <w:tcW w:w="1710" w:type="dxa"/>
            <w:shd w:val="clear" w:color="auto" w:fill="auto"/>
          </w:tcPr>
          <w:p>
            <w:pPr>
              <w:pStyle w:val="P10"/>
              <w:spacing w:lineRule="exact" w:line="247" w:beforeAutospacing="0" w:afterAutospacing="0"/>
              <w:ind w:left="176" w:right="169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п’ять</w:t>
            </w:r>
          </w:p>
          <w:p>
            <w:pPr>
              <w:pStyle w:val="P10"/>
              <w:spacing w:lineRule="exact" w:line="238" w:before="1" w:beforeAutospacing="0" w:afterAutospacing="0"/>
              <w:ind w:left="176" w:right="168"/>
              <w:jc w:val="center"/>
              <w:rPr>
                <w:color w:val="000000"/>
              </w:rPr>
            </w:pPr>
            <w:r>
              <w:rPr>
                <w:color w:val="000000"/>
              </w:rPr>
              <w:t>років</w:t>
            </w:r>
          </w:p>
        </w:tc>
      </w:tr>
      <w:tr>
        <w:trPr>
          <w:trHeight w:hRule="atLeast" w:val="721"/>
        </w:trPr>
        <w:tc>
          <w:tcPr>
            <w:tcW w:w="1325" w:type="dxa"/>
          </w:tcPr>
          <w:p>
            <w:pPr>
              <w:pStyle w:val="P10"/>
              <w:spacing w:lineRule="exact" w:line="247" w:beforeAutospacing="0" w:afterAutospacing="0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35" w:type="dxa"/>
          </w:tcPr>
          <w:p>
            <w:pPr>
              <w:pStyle w:val="P10"/>
              <w:spacing w:lineRule="auto" w:line="228" w:beforeAutospacing="0" w:afterAutospacing="0"/>
              <w:ind w:left="28" w:right="12"/>
              <w:jc w:val="both"/>
              <w:rPr>
                <w:color w:val="000000"/>
              </w:rPr>
            </w:pPr>
            <w:r>
              <w:rPr>
                <w:color w:val="000000"/>
              </w:rPr>
              <w:t>Витрати</w:t>
            </w:r>
            <w:r>
              <w:rPr>
                <w:color w:val="000000"/>
                <w:spacing w:val="26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придбання</w:t>
            </w:r>
            <w:r>
              <w:rPr>
                <w:color w:val="000000"/>
                <w:spacing w:val="24"/>
              </w:rPr>
              <w:t xml:space="preserve"> </w:t>
            </w:r>
            <w:r>
              <w:rPr>
                <w:color w:val="000000"/>
              </w:rPr>
              <w:t>основних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фондів,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обладнання</w:t>
            </w:r>
            <w:r>
              <w:rPr>
                <w:color w:val="000000"/>
                <w:spacing w:val="28"/>
              </w:rPr>
              <w:t xml:space="preserve"> 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  <w:spacing w:val="-3"/>
              </w:rPr>
              <w:t>приладів,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3"/>
              </w:rPr>
              <w:t>сервісне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обслуговування,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навчання</w:t>
            </w:r>
            <w:r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2"/>
              </w:rPr>
              <w:t>/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підвищення</w:t>
            </w:r>
          </w:p>
          <w:p>
            <w:pPr>
              <w:pStyle w:val="P10"/>
              <w:spacing w:lineRule="exact" w:line="227" w:beforeAutospacing="0" w:afterAutospacing="0"/>
              <w:ind w:left="28"/>
              <w:jc w:val="both"/>
              <w:rPr>
                <w:color w:val="000000"/>
              </w:rPr>
            </w:pPr>
            <w:r>
              <w:rPr>
                <w:color w:val="000000"/>
                <w:spacing w:val="-4"/>
              </w:rPr>
              <w:t>кваліфікації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4"/>
              </w:rPr>
              <w:t>персоналу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4"/>
              </w:rPr>
              <w:t>тощо,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4"/>
              </w:rPr>
              <w:t>гривень</w:t>
            </w:r>
          </w:p>
        </w:tc>
        <w:tc>
          <w:tcPr>
            <w:tcW w:w="1358" w:type="dxa"/>
          </w:tcPr>
          <w:p>
            <w:pPr>
              <w:pStyle w:val="P10"/>
              <w:spacing w:lineRule="exact" w:line="247" w:beforeAutospacing="0" w:afterAutospacing="0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0" w:type="dxa"/>
          </w:tcPr>
          <w:p>
            <w:pPr>
              <w:pStyle w:val="P10"/>
              <w:spacing w:lineRule="exact" w:line="247" w:beforeAutospacing="0" w:afterAutospacing="0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79"/>
        </w:trPr>
        <w:tc>
          <w:tcPr>
            <w:tcW w:w="1325" w:type="dxa"/>
          </w:tcPr>
          <w:p>
            <w:pPr>
              <w:pStyle w:val="P10"/>
              <w:spacing w:lineRule="exact" w:line="247" w:beforeAutospacing="0" w:afterAutospacing="0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35" w:type="dxa"/>
          </w:tcPr>
          <w:p>
            <w:pPr>
              <w:pStyle w:val="P10"/>
              <w:tabs>
                <w:tab w:val="left" w:pos="1040" w:leader="none"/>
                <w:tab w:val="left" w:pos="1467" w:leader="none"/>
                <w:tab w:val="left" w:pos="2226" w:leader="none"/>
                <w:tab w:val="left" w:pos="3020" w:leader="none"/>
                <w:tab w:val="left" w:pos="3960" w:leader="none"/>
              </w:tabs>
              <w:spacing w:lineRule="exact" w:line="230" w:beforeAutospacing="0" w:afterAutospacing="0"/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Податки та збори (зміна розміру </w:t>
            </w:r>
            <w:r>
              <w:rPr>
                <w:color w:val="000000"/>
                <w:spacing w:val="-4"/>
              </w:rPr>
              <w:t>податків/зборів,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5"/>
              </w:rPr>
              <w:t>виникнення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4"/>
              </w:rPr>
              <w:t>необхідності у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4"/>
              </w:rPr>
              <w:t>сплаті податків/зборів),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4"/>
              </w:rPr>
              <w:t>гривень</w:t>
            </w:r>
          </w:p>
        </w:tc>
        <w:tc>
          <w:tcPr>
            <w:tcW w:w="1358" w:type="dxa"/>
          </w:tcPr>
          <w:p>
            <w:pPr>
              <w:pStyle w:val="P10"/>
              <w:spacing w:lineRule="exact" w:line="247" w:beforeAutospacing="0" w:afterAutospacing="0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0" w:type="dxa"/>
          </w:tcPr>
          <w:p>
            <w:pPr>
              <w:pStyle w:val="P10"/>
              <w:spacing w:lineRule="exact" w:line="247" w:beforeAutospacing="0" w:afterAutospacing="0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82"/>
        </w:trPr>
        <w:tc>
          <w:tcPr>
            <w:tcW w:w="1325" w:type="dxa"/>
          </w:tcPr>
          <w:p>
            <w:pPr>
              <w:pStyle w:val="P10"/>
              <w:spacing w:lineRule="exact" w:line="247" w:beforeAutospacing="0" w:afterAutospacing="0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35" w:type="dxa"/>
          </w:tcPr>
          <w:p>
            <w:pPr>
              <w:pStyle w:val="P10"/>
              <w:spacing w:lineRule="exact" w:line="231" w:beforeAutospacing="0" w:afterAutospacing="0"/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Витрати,</w:t>
            </w:r>
            <w:r>
              <w:rPr>
                <w:color w:val="000000"/>
                <w:spacing w:val="48"/>
              </w:rPr>
              <w:t xml:space="preserve"> </w:t>
            </w:r>
            <w:r>
              <w:rPr>
                <w:color w:val="000000"/>
              </w:rPr>
              <w:t>пов’язані</w:t>
            </w:r>
            <w:r>
              <w:rPr>
                <w:color w:val="000000"/>
                <w:spacing w:val="47"/>
              </w:rPr>
              <w:t xml:space="preserve"> </w:t>
            </w:r>
            <w:r>
              <w:rPr>
                <w:color w:val="000000"/>
              </w:rPr>
              <w:t>із</w:t>
            </w:r>
            <w:r>
              <w:rPr>
                <w:color w:val="000000"/>
                <w:spacing w:val="48"/>
              </w:rPr>
              <w:t xml:space="preserve"> </w:t>
            </w:r>
            <w:r>
              <w:rPr>
                <w:color w:val="000000"/>
              </w:rPr>
              <w:t>веденням</w:t>
            </w:r>
            <w:r>
              <w:rPr>
                <w:color w:val="000000"/>
                <w:spacing w:val="48"/>
              </w:rPr>
              <w:t xml:space="preserve"> </w:t>
            </w:r>
            <w:r>
              <w:rPr>
                <w:color w:val="000000"/>
              </w:rPr>
              <w:t>обліку,</w:t>
            </w:r>
            <w:r>
              <w:rPr>
                <w:color w:val="000000"/>
                <w:spacing w:val="49"/>
              </w:rPr>
              <w:t xml:space="preserve"> </w:t>
            </w:r>
            <w:r>
              <w:rPr>
                <w:color w:val="000000"/>
              </w:rPr>
              <w:t>підготовкою</w:t>
            </w:r>
            <w:r>
              <w:rPr>
                <w:color w:val="000000"/>
                <w:spacing w:val="47"/>
              </w:rPr>
              <w:t xml:space="preserve"> </w:t>
            </w:r>
            <w:r>
              <w:rPr>
                <w:color w:val="000000"/>
              </w:rPr>
              <w:t xml:space="preserve">та </w:t>
            </w:r>
            <w:r>
              <w:rPr>
                <w:color w:val="000000"/>
                <w:spacing w:val="-4"/>
              </w:rPr>
              <w:t>поданням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4"/>
              </w:rPr>
              <w:t>звітності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4"/>
              </w:rPr>
              <w:t>державним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4"/>
              </w:rPr>
              <w:t>органам,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4"/>
              </w:rPr>
              <w:t>гривень</w:t>
            </w:r>
          </w:p>
        </w:tc>
        <w:tc>
          <w:tcPr>
            <w:tcW w:w="1358" w:type="dxa"/>
          </w:tcPr>
          <w:p>
            <w:pPr>
              <w:pStyle w:val="P10"/>
              <w:spacing w:lineRule="exact" w:line="247" w:beforeAutospacing="0" w:afterAutospacing="0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0" w:type="dxa"/>
          </w:tcPr>
          <w:p>
            <w:pPr>
              <w:pStyle w:val="P10"/>
              <w:spacing w:lineRule="exact" w:line="247" w:beforeAutospacing="0" w:afterAutospacing="0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719"/>
        </w:trPr>
        <w:tc>
          <w:tcPr>
            <w:tcW w:w="1325" w:type="dxa"/>
          </w:tcPr>
          <w:p>
            <w:pPr>
              <w:pStyle w:val="P10"/>
              <w:spacing w:lineRule="exact" w:line="247" w:beforeAutospacing="0" w:afterAutospacing="0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35" w:type="dxa"/>
          </w:tcPr>
          <w:p>
            <w:pPr>
              <w:pStyle w:val="P10"/>
              <w:tabs>
                <w:tab w:val="left" w:pos="2249" w:leader="none"/>
                <w:tab w:val="left" w:pos="3492" w:leader="none"/>
                <w:tab w:val="left" w:pos="4663" w:leader="none"/>
              </w:tabs>
              <w:spacing w:lineRule="auto" w:line="228" w:beforeAutospacing="0" w:afterAutospacing="0"/>
              <w:ind w:left="28" w:right="14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Витрати,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пов’язані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2"/>
              </w:rPr>
              <w:t>з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адмініструванням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"/>
              </w:rPr>
              <w:t>заходів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"/>
              </w:rPr>
              <w:t>державного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</w:rPr>
              <w:t xml:space="preserve">нагляду (контролю) (перевірок, штрафних </w:t>
            </w:r>
            <w:r>
              <w:rPr>
                <w:color w:val="000000"/>
                <w:spacing w:val="-4"/>
              </w:rPr>
              <w:t>санкцій,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</w:rPr>
              <w:t>виконання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4"/>
              </w:rPr>
              <w:t>рішень/приписів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4"/>
              </w:rPr>
              <w:t>тощо),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3"/>
              </w:rPr>
              <w:t>гривень</w:t>
            </w:r>
          </w:p>
        </w:tc>
        <w:tc>
          <w:tcPr>
            <w:tcW w:w="1358" w:type="dxa"/>
          </w:tcPr>
          <w:p>
            <w:pPr>
              <w:pStyle w:val="P10"/>
              <w:spacing w:lineRule="exact" w:line="247" w:beforeAutospacing="0" w:afterAutospacing="0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0" w:type="dxa"/>
          </w:tcPr>
          <w:p>
            <w:pPr>
              <w:pStyle w:val="P10"/>
              <w:spacing w:lineRule="exact" w:line="247" w:beforeAutospacing="0" w:afterAutospacing="0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202"/>
        </w:trPr>
        <w:tc>
          <w:tcPr>
            <w:tcW w:w="1325" w:type="dxa"/>
          </w:tcPr>
          <w:p>
            <w:pPr>
              <w:pStyle w:val="P10"/>
              <w:spacing w:lineRule="exact" w:line="247" w:beforeAutospacing="0" w:afterAutospacing="0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35" w:type="dxa"/>
          </w:tcPr>
          <w:p>
            <w:pPr>
              <w:pStyle w:val="P10"/>
              <w:spacing w:lineRule="auto" w:line="228" w:beforeAutospacing="0" w:afterAutospacing="0"/>
              <w:ind w:left="28" w:right="13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Витрати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2"/>
              </w:rPr>
              <w:t>на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отримання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2"/>
              </w:rPr>
              <w:t>адміністративних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1"/>
              </w:rPr>
              <w:t>послуг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1"/>
              </w:rPr>
              <w:t>(дозволів,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ліцензій, </w:t>
            </w:r>
            <w:r>
              <w:rPr>
                <w:color w:val="000000"/>
              </w:rPr>
              <w:t>сертифікатів, атестатів, погоджень, висновків,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проведення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незалежних/обов'язкових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експертиз,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2"/>
              </w:rPr>
              <w:t>сертифікації,</w:t>
            </w:r>
            <w:r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2"/>
              </w:rPr>
              <w:t>атестації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"/>
              </w:rPr>
              <w:t>тощо)</w:t>
            </w:r>
            <w:r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"/>
              </w:rPr>
              <w:t>та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"/>
              </w:rPr>
              <w:t>інших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1"/>
              </w:rPr>
              <w:t>послуг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1"/>
              </w:rPr>
              <w:t>(проведення</w:t>
            </w:r>
          </w:p>
          <w:p>
            <w:pPr>
              <w:pStyle w:val="P10"/>
              <w:spacing w:lineRule="exact" w:line="226" w:beforeAutospacing="0" w:afterAutospacing="0"/>
              <w:ind w:left="28"/>
              <w:jc w:val="both"/>
              <w:rPr>
                <w:color w:val="000000"/>
              </w:rPr>
            </w:pPr>
            <w:r>
              <w:rPr>
                <w:color w:val="000000"/>
                <w:spacing w:val="-4"/>
              </w:rPr>
              <w:t>наукових,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4"/>
              </w:rPr>
              <w:t>інших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4"/>
              </w:rPr>
              <w:t>експертиз,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4"/>
              </w:rPr>
              <w:t>страхування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4"/>
              </w:rPr>
              <w:t>тощо),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3"/>
              </w:rPr>
              <w:t>гривень</w:t>
            </w:r>
          </w:p>
        </w:tc>
        <w:tc>
          <w:tcPr>
            <w:tcW w:w="1358" w:type="dxa"/>
          </w:tcPr>
          <w:p>
            <w:pPr>
              <w:pStyle w:val="P10"/>
              <w:spacing w:lineRule="exact" w:line="247" w:beforeAutospacing="0" w:afterAutospacing="0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0" w:type="dxa"/>
          </w:tcPr>
          <w:p>
            <w:pPr>
              <w:pStyle w:val="P10"/>
              <w:spacing w:lineRule="exact" w:line="247" w:beforeAutospacing="0" w:afterAutospacing="0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79"/>
        </w:trPr>
        <w:tc>
          <w:tcPr>
            <w:tcW w:w="1325" w:type="dxa"/>
          </w:tcPr>
          <w:p>
            <w:pPr>
              <w:pStyle w:val="P10"/>
              <w:spacing w:lineRule="exact" w:line="247" w:beforeAutospacing="0" w:afterAutospacing="0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35" w:type="dxa"/>
          </w:tcPr>
          <w:p>
            <w:pPr>
              <w:pStyle w:val="P10"/>
              <w:spacing w:lineRule="exact" w:line="230" w:beforeAutospacing="0" w:afterAutospacing="0"/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Витрати</w:t>
            </w:r>
            <w:r>
              <w:rPr>
                <w:color w:val="000000"/>
                <w:spacing w:val="70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70"/>
              </w:rPr>
              <w:t xml:space="preserve"> </w:t>
            </w:r>
            <w:r>
              <w:rPr>
                <w:color w:val="000000"/>
              </w:rPr>
              <w:t>оборотні</w:t>
            </w:r>
            <w:r>
              <w:rPr>
                <w:color w:val="000000"/>
                <w:spacing w:val="70"/>
              </w:rPr>
              <w:t xml:space="preserve"> </w:t>
            </w:r>
            <w:r>
              <w:rPr>
                <w:color w:val="000000"/>
              </w:rPr>
              <w:t>активи</w:t>
            </w:r>
            <w:r>
              <w:rPr>
                <w:color w:val="000000"/>
                <w:spacing w:val="68"/>
              </w:rPr>
              <w:t xml:space="preserve"> </w:t>
            </w:r>
            <w:r>
              <w:rPr>
                <w:color w:val="000000"/>
              </w:rPr>
              <w:t>(матеріали,</w:t>
            </w:r>
            <w:r>
              <w:rPr>
                <w:color w:val="000000"/>
                <w:spacing w:val="69"/>
              </w:rPr>
              <w:t xml:space="preserve"> </w:t>
            </w:r>
            <w:r>
              <w:rPr>
                <w:color w:val="000000"/>
              </w:rPr>
              <w:t>канцелярські</w:t>
            </w:r>
          </w:p>
          <w:p>
            <w:pPr>
              <w:pStyle w:val="P10"/>
              <w:spacing w:lineRule="exact" w:line="229" w:beforeAutospacing="0" w:afterAutospacing="0"/>
              <w:ind w:left="28"/>
              <w:jc w:val="both"/>
              <w:rPr>
                <w:color w:val="000000"/>
              </w:rPr>
            </w:pPr>
            <w:r>
              <w:rPr>
                <w:color w:val="000000"/>
                <w:spacing w:val="-4"/>
              </w:rPr>
              <w:t>товари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4"/>
              </w:rPr>
              <w:t>тощо),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3"/>
              </w:rPr>
              <w:t>гривень</w:t>
            </w:r>
          </w:p>
        </w:tc>
        <w:tc>
          <w:tcPr>
            <w:tcW w:w="1358" w:type="dxa"/>
          </w:tcPr>
          <w:p>
            <w:pPr>
              <w:pStyle w:val="P10"/>
              <w:spacing w:lineRule="exact" w:line="247" w:beforeAutospacing="0" w:afterAutospacing="0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0" w:type="dxa"/>
          </w:tcPr>
          <w:p>
            <w:pPr>
              <w:pStyle w:val="P10"/>
              <w:spacing w:lineRule="exact" w:line="247" w:beforeAutospacing="0" w:afterAutospacing="0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81"/>
        </w:trPr>
        <w:tc>
          <w:tcPr>
            <w:tcW w:w="1325" w:type="dxa"/>
          </w:tcPr>
          <w:p>
            <w:pPr>
              <w:pStyle w:val="P10"/>
              <w:spacing w:lineRule="exact" w:line="249" w:beforeAutospacing="0" w:afterAutospacing="0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35" w:type="dxa"/>
          </w:tcPr>
          <w:p>
            <w:pPr>
              <w:pStyle w:val="P10"/>
              <w:spacing w:lineRule="exact" w:line="240" w:beforeAutospacing="0" w:afterAutospacing="0"/>
              <w:ind w:left="28" w:right="12"/>
              <w:jc w:val="both"/>
              <w:rPr>
                <w:color w:val="000000"/>
              </w:rPr>
            </w:pPr>
            <w:r>
              <w:rPr>
                <w:color w:val="000000"/>
              </w:rPr>
              <w:t>Витрати,</w:t>
            </w:r>
            <w:r>
              <w:rPr>
                <w:color w:val="000000"/>
                <w:spacing w:val="18"/>
              </w:rPr>
              <w:t xml:space="preserve"> </w:t>
            </w:r>
            <w:r>
              <w:rPr>
                <w:color w:val="000000"/>
              </w:rPr>
              <w:t>пов’язані</w:t>
            </w:r>
            <w:r>
              <w:rPr>
                <w:color w:val="000000"/>
                <w:spacing w:val="17"/>
              </w:rPr>
              <w:t xml:space="preserve"> </w:t>
            </w:r>
            <w:r>
              <w:rPr>
                <w:color w:val="000000"/>
              </w:rPr>
              <w:t>із</w:t>
            </w:r>
            <w:r>
              <w:rPr>
                <w:color w:val="000000"/>
                <w:spacing w:val="18"/>
              </w:rPr>
              <w:t xml:space="preserve"> </w:t>
            </w:r>
            <w:r>
              <w:rPr>
                <w:color w:val="000000"/>
              </w:rPr>
              <w:t>наймом</w:t>
            </w:r>
            <w:r>
              <w:rPr>
                <w:color w:val="000000"/>
                <w:spacing w:val="18"/>
              </w:rPr>
              <w:t xml:space="preserve"> </w:t>
            </w:r>
            <w:r>
              <w:rPr>
                <w:color w:val="000000"/>
              </w:rPr>
              <w:t>додаткового</w:t>
            </w:r>
            <w:r>
              <w:rPr>
                <w:color w:val="000000"/>
                <w:spacing w:val="20"/>
              </w:rPr>
              <w:t xml:space="preserve"> </w:t>
            </w:r>
            <w:r>
              <w:rPr>
                <w:color w:val="000000"/>
              </w:rPr>
              <w:t>персоналу,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</w:rPr>
              <w:t>гривень</w:t>
            </w:r>
          </w:p>
        </w:tc>
        <w:tc>
          <w:tcPr>
            <w:tcW w:w="1358" w:type="dxa"/>
          </w:tcPr>
          <w:p>
            <w:pPr>
              <w:pStyle w:val="P10"/>
              <w:spacing w:lineRule="exact" w:line="247" w:beforeAutospacing="0" w:afterAutospacing="0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0" w:type="dxa"/>
          </w:tcPr>
          <w:p>
            <w:pPr>
              <w:pStyle w:val="P10"/>
              <w:spacing w:lineRule="exact" w:line="247" w:beforeAutospacing="0" w:afterAutospacing="0"/>
              <w:ind w:left="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542"/>
        </w:trPr>
        <w:tc>
          <w:tcPr>
            <w:tcW w:w="1325" w:type="dxa"/>
          </w:tcPr>
          <w:p>
            <w:pPr>
              <w:pStyle w:val="P10"/>
              <w:spacing w:lineRule="exact" w:line="247" w:beforeAutospacing="0" w:afterAutospacing="0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35" w:type="dxa"/>
          </w:tcPr>
          <w:p>
            <w:pPr>
              <w:pStyle w:val="P10"/>
              <w:ind w:left="28" w:right="152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Процедури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забезпечення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функціонування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належної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системи управління ризиками, застосування СПФМ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своїй діяльності ризик-орієнтованого </w:t>
            </w:r>
            <w:r>
              <w:rPr>
                <w:color w:val="000000"/>
              </w:rPr>
              <w:t>підходу та вжиття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  <w:spacing w:val="-4"/>
              </w:rPr>
              <w:t>належних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4"/>
              </w:rPr>
              <w:t>заходів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4"/>
              </w:rPr>
              <w:t>з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4"/>
              </w:rPr>
              <w:t>метою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4"/>
              </w:rPr>
              <w:t>мінімізації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3"/>
              </w:rPr>
              <w:t>ризиків</w:t>
            </w:r>
          </w:p>
          <w:p>
            <w:pPr>
              <w:pStyle w:val="P10"/>
              <w:spacing w:lineRule="exact" w:line="252" w:beforeAutospacing="0" w:afterAutospacing="0"/>
              <w:ind w:left="28"/>
              <w:jc w:val="both"/>
              <w:rPr>
                <w:color w:val="000000"/>
              </w:rPr>
            </w:pPr>
            <w:r>
              <w:rPr>
                <w:color w:val="000000"/>
                <w:spacing w:val="-4"/>
              </w:rPr>
              <w:t>Формула: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4"/>
              </w:rPr>
              <w:t>витрати:</w:t>
            </w:r>
          </w:p>
          <w:p>
            <w:pPr>
              <w:pStyle w:val="P10"/>
              <w:spacing w:lineRule="exact" w:line="252" w:beforeAutospacing="0" w:afterAutospacing="0"/>
              <w:ind w:left="28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</w:rPr>
              <w:t>6500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3"/>
              </w:rPr>
              <w:t>грн./166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3"/>
              </w:rPr>
              <w:t>год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3"/>
              </w:rPr>
              <w:t>=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2"/>
              </w:rPr>
              <w:t>39,26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2"/>
              </w:rPr>
              <w:t>грн.</w:t>
            </w:r>
          </w:p>
          <w:p>
            <w:pPr>
              <w:pStyle w:val="P10"/>
              <w:ind w:left="28" w:right="154"/>
              <w:jc w:val="both"/>
              <w:rPr>
                <w:color w:val="000000"/>
              </w:rPr>
            </w:pPr>
            <w:r>
              <w:rPr>
                <w:color w:val="000000"/>
              </w:rPr>
              <w:t>(6500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мінімальна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заробітна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плата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–грн.;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166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середня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</w:rPr>
              <w:t>тривалість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робочого часу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годин/місяць)</w:t>
            </w:r>
          </w:p>
          <w:p>
            <w:pPr>
              <w:pStyle w:val="P10"/>
              <w:ind w:left="28" w:right="152"/>
              <w:jc w:val="both"/>
              <w:rPr>
                <w:color w:val="000000"/>
              </w:rPr>
            </w:pPr>
            <w:r>
              <w:rPr>
                <w:color w:val="000000"/>
              </w:rPr>
              <w:t>Витрати часу на отримання інформації про клієнта (0,5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</w:rPr>
              <w:t>год) + заповнення внутрішніх документів (0,5 год) +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процедури організації системи управління ризиками (2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год).</w:t>
            </w:r>
          </w:p>
          <w:p>
            <w:pPr>
              <w:pStyle w:val="P10"/>
              <w:spacing w:lineRule="exact" w:line="252" w:beforeAutospacing="0" w:afterAutospacing="0"/>
              <w:ind w:left="28" w:right="59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>Всього витрати часу 3 год.</w:t>
            </w:r>
            <w:r>
              <w:rPr>
                <w:color w:val="000000"/>
                <w:spacing w:val="1"/>
              </w:rPr>
              <w:t xml:space="preserve"> </w:t>
            </w:r>
          </w:p>
          <w:p>
            <w:pPr>
              <w:pStyle w:val="P10"/>
              <w:spacing w:lineRule="exact" w:line="252" w:beforeAutospacing="0" w:afterAutospacing="0"/>
              <w:ind w:left="28" w:right="59"/>
              <w:jc w:val="both"/>
              <w:rPr>
                <w:color w:val="000000"/>
              </w:rPr>
            </w:pPr>
            <w:r>
              <w:rPr>
                <w:color w:val="000000"/>
              </w:rPr>
              <w:t>Гривневий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еквівалент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х39,26=117,78</w:t>
            </w:r>
          </w:p>
        </w:tc>
        <w:tc>
          <w:tcPr>
            <w:tcW w:w="1358" w:type="dxa"/>
          </w:tcPr>
          <w:p>
            <w:pPr>
              <w:pStyle w:val="P10"/>
              <w:jc w:val="center"/>
              <w:rPr>
                <w:color w:val="000000"/>
                <w:sz w:val="24"/>
              </w:rPr>
            </w:pPr>
          </w:p>
          <w:p>
            <w:pPr>
              <w:pStyle w:val="P10"/>
              <w:jc w:val="center"/>
              <w:rPr>
                <w:color w:val="000000"/>
                <w:sz w:val="24"/>
              </w:rPr>
            </w:pPr>
          </w:p>
          <w:p>
            <w:pPr>
              <w:pStyle w:val="P10"/>
              <w:jc w:val="center"/>
              <w:rPr>
                <w:color w:val="000000"/>
                <w:sz w:val="24"/>
              </w:rPr>
            </w:pPr>
          </w:p>
          <w:p>
            <w:pPr>
              <w:pStyle w:val="P10"/>
              <w:jc w:val="center"/>
              <w:rPr>
                <w:color w:val="000000"/>
                <w:sz w:val="24"/>
              </w:rPr>
            </w:pPr>
          </w:p>
          <w:p>
            <w:pPr>
              <w:pStyle w:val="P10"/>
              <w:jc w:val="center"/>
              <w:rPr>
                <w:color w:val="000000"/>
                <w:sz w:val="24"/>
              </w:rPr>
            </w:pPr>
          </w:p>
          <w:p>
            <w:pPr>
              <w:pStyle w:val="P10"/>
              <w:spacing w:before="5" w:beforeAutospacing="0" w:afterAutospacing="0"/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  <w:r>
              <w:rPr>
                <w:color w:val="000000"/>
                <w:lang w:val="uk-UA"/>
              </w:rPr>
              <w:t>,78</w:t>
            </w:r>
            <w:r>
              <w:rPr>
                <w:color w:val="000000"/>
              </w:rPr>
              <w:t xml:space="preserve"> грн</w:t>
            </w:r>
          </w:p>
          <w:p>
            <w:pPr>
              <w:pStyle w:val="P10"/>
              <w:ind w:left="82" w:right="72"/>
              <w:jc w:val="center"/>
              <w:rPr>
                <w:color w:val="000000"/>
              </w:rPr>
            </w:pPr>
          </w:p>
        </w:tc>
        <w:tc>
          <w:tcPr>
            <w:tcW w:w="1710" w:type="dxa"/>
          </w:tcPr>
          <w:p>
            <w:pPr>
              <w:pStyle w:val="P10"/>
              <w:jc w:val="center"/>
              <w:rPr>
                <w:color w:val="000000"/>
                <w:sz w:val="24"/>
              </w:rPr>
            </w:pPr>
          </w:p>
          <w:p>
            <w:pPr>
              <w:pStyle w:val="P10"/>
              <w:jc w:val="center"/>
              <w:rPr>
                <w:color w:val="000000"/>
                <w:sz w:val="24"/>
              </w:rPr>
            </w:pPr>
          </w:p>
          <w:p>
            <w:pPr>
              <w:pStyle w:val="P10"/>
              <w:jc w:val="center"/>
              <w:rPr>
                <w:color w:val="000000"/>
                <w:sz w:val="24"/>
              </w:rPr>
            </w:pPr>
          </w:p>
          <w:p>
            <w:pPr>
              <w:pStyle w:val="P10"/>
              <w:jc w:val="center"/>
              <w:rPr>
                <w:color w:val="000000"/>
                <w:sz w:val="24"/>
              </w:rPr>
            </w:pPr>
          </w:p>
          <w:p>
            <w:pPr>
              <w:pStyle w:val="P10"/>
              <w:jc w:val="center"/>
              <w:rPr>
                <w:color w:val="000000"/>
                <w:sz w:val="24"/>
              </w:rPr>
            </w:pPr>
          </w:p>
          <w:p>
            <w:pPr>
              <w:pStyle w:val="P10"/>
              <w:spacing w:before="5" w:beforeAutospacing="0" w:afterAutospacing="0"/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>
              <w:rPr>
                <w:color w:val="000000"/>
                <w:lang w:val="uk-UA"/>
              </w:rPr>
              <w:t>8,9</w:t>
            </w:r>
            <w:r>
              <w:rPr>
                <w:color w:val="000000"/>
              </w:rPr>
              <w:t xml:space="preserve"> грн</w:t>
            </w:r>
          </w:p>
          <w:p>
            <w:pPr>
              <w:pStyle w:val="P10"/>
              <w:ind w:left="176" w:right="169"/>
              <w:jc w:val="center"/>
              <w:rPr>
                <w:color w:val="000000"/>
              </w:rPr>
            </w:pPr>
          </w:p>
        </w:tc>
      </w:tr>
      <w:tr>
        <w:trPr>
          <w:trHeight w:hRule="atLeast" w:val="251"/>
        </w:trPr>
        <w:tc>
          <w:tcPr>
            <w:tcW w:w="1325" w:type="dxa"/>
          </w:tcPr>
          <w:p>
            <w:pPr>
              <w:pStyle w:val="P10"/>
              <w:spacing w:lineRule="exact" w:line="232" w:beforeAutospacing="0" w:afterAutospacing="0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35" w:type="dxa"/>
          </w:tcPr>
          <w:p>
            <w:pPr>
              <w:pStyle w:val="P10"/>
              <w:spacing w:lineRule="exact" w:line="232" w:beforeAutospacing="0" w:afterAutospacing="0"/>
              <w:ind w:left="16" w:right="94"/>
              <w:rPr>
                <w:color w:val="000000"/>
              </w:rPr>
            </w:pPr>
            <w:r>
              <w:rPr>
                <w:color w:val="000000"/>
                <w:spacing w:val="-1"/>
              </w:rPr>
              <w:t>РАЗОМ</w:t>
            </w:r>
            <w:r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"/>
              </w:rPr>
              <w:t>(сума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"/>
              </w:rPr>
              <w:t>рядків: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1"/>
              </w:rPr>
              <w:t>1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1"/>
              </w:rPr>
              <w:t>+</w:t>
            </w:r>
            <w:r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"/>
              </w:rPr>
              <w:t>2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1"/>
              </w:rPr>
              <w:t>+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1"/>
              </w:rPr>
              <w:t>3</w:t>
            </w:r>
            <w:r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"/>
              </w:rPr>
              <w:t>+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1"/>
              </w:rPr>
              <w:t>4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1"/>
              </w:rPr>
              <w:t>+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1"/>
              </w:rPr>
              <w:t>5</w:t>
            </w:r>
            <w:r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"/>
              </w:rPr>
              <w:t>+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"/>
              </w:rPr>
              <w:t>6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1"/>
              </w:rPr>
              <w:t>+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"/>
              </w:rPr>
              <w:t>7</w:t>
            </w:r>
            <w:r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"/>
              </w:rPr>
              <w:t>+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1"/>
              </w:rPr>
              <w:t>8),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1"/>
              </w:rPr>
              <w:t>гривень</w:t>
            </w:r>
          </w:p>
        </w:tc>
        <w:tc>
          <w:tcPr>
            <w:tcW w:w="1358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  <w:r>
              <w:rPr>
                <w:color w:val="000000"/>
                <w:lang w:val="uk-UA"/>
              </w:rPr>
              <w:t>,78</w:t>
            </w:r>
            <w:r>
              <w:rPr>
                <w:color w:val="000000"/>
              </w:rPr>
              <w:t xml:space="preserve"> грн</w:t>
            </w:r>
          </w:p>
          <w:p>
            <w:pPr>
              <w:pStyle w:val="P10"/>
              <w:spacing w:lineRule="exact" w:line="232" w:beforeAutospacing="0" w:afterAutospacing="0"/>
              <w:ind w:left="82" w:right="72"/>
              <w:jc w:val="center"/>
              <w:rPr>
                <w:color w:val="000000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  <w:r>
              <w:rPr>
                <w:color w:val="000000"/>
                <w:lang w:val="uk-UA"/>
              </w:rPr>
              <w:t>,9</w:t>
            </w:r>
            <w:r>
              <w:rPr>
                <w:color w:val="000000"/>
              </w:rPr>
              <w:t xml:space="preserve"> грн</w:t>
            </w:r>
          </w:p>
          <w:p>
            <w:pPr>
              <w:pStyle w:val="P10"/>
              <w:spacing w:lineRule="exact" w:line="232" w:beforeAutospacing="0" w:afterAutospacing="0"/>
              <w:ind w:left="176" w:right="169"/>
              <w:jc w:val="center"/>
              <w:rPr>
                <w:color w:val="000000"/>
              </w:rPr>
            </w:pPr>
          </w:p>
        </w:tc>
      </w:tr>
      <w:tr>
        <w:trPr>
          <w:trHeight w:hRule="atLeast" w:val="722"/>
        </w:trPr>
        <w:tc>
          <w:tcPr>
            <w:tcW w:w="1325" w:type="dxa"/>
            <w:tcBorders>
              <w:bottom w:val="single" w:sz="4" w:space="0" w:shadow="0" w:frame="0"/>
            </w:tcBorders>
          </w:tcPr>
          <w:p>
            <w:pPr>
              <w:pStyle w:val="P10"/>
              <w:spacing w:lineRule="exact" w:line="250" w:beforeAutospacing="0" w:afterAutospacing="0"/>
              <w:ind w:left="66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35" w:type="dxa"/>
            <w:tcBorders>
              <w:bottom w:val="single" w:sz="4" w:space="0" w:shadow="0" w:frame="0"/>
            </w:tcBorders>
          </w:tcPr>
          <w:p>
            <w:pPr>
              <w:pStyle w:val="P10"/>
              <w:spacing w:lineRule="exact" w:line="240" w:beforeAutospacing="0" w:afterAutospacing="0"/>
              <w:ind w:left="28" w:right="12"/>
              <w:jc w:val="both"/>
              <w:rPr>
                <w:color w:val="000000"/>
              </w:rPr>
            </w:pPr>
            <w:r>
              <w:rPr>
                <w:color w:val="000000"/>
              </w:rPr>
              <w:t>Кількість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суб’єктів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господарювання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великого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середнього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підприємництва,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яких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буде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поширено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регулювання,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</w:rPr>
              <w:t>одиниць</w:t>
            </w:r>
          </w:p>
        </w:tc>
        <w:tc>
          <w:tcPr>
            <w:tcW w:w="3068" w:type="dxa"/>
            <w:gridSpan w:val="2"/>
            <w:tcBorders>
              <w:bottom w:val="single" w:sz="4" w:space="0" w:shadow="0" w:frame="0"/>
            </w:tcBorders>
          </w:tcPr>
          <w:p>
            <w:pPr>
              <w:pStyle w:val="P10"/>
              <w:spacing w:before="10" w:beforeAutospacing="0" w:afterAutospacing="0"/>
              <w:jc w:val="center"/>
              <w:rPr>
                <w:color w:val="000000"/>
                <w:sz w:val="19"/>
              </w:rPr>
            </w:pPr>
          </w:p>
          <w:p>
            <w:pPr>
              <w:pStyle w:val="P10"/>
              <w:spacing w:before="1" w:beforeAutospacing="0" w:afterAutospacing="0"/>
              <w:ind w:left="998" w:right="987"/>
              <w:jc w:val="center"/>
              <w:rPr>
                <w:color w:val="000000"/>
              </w:rPr>
            </w:pPr>
            <w:r>
              <w:rPr>
                <w:color w:val="000000"/>
              </w:rPr>
              <w:t>6910</w:t>
            </w:r>
          </w:p>
        </w:tc>
      </w:tr>
      <w:tr>
        <w:trPr>
          <w:trHeight w:hRule="atLeast" w:val="721"/>
        </w:trPr>
        <w:tc>
          <w:tcPr>
            <w:tcW w:w="132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pStyle w:val="P10"/>
              <w:spacing w:lineRule="exact" w:line="247" w:beforeAutospacing="0" w:afterAutospacing="0"/>
              <w:ind w:left="66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35" w:type="dxa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pStyle w:val="P10"/>
              <w:spacing w:lineRule="auto" w:line="228" w:beforeAutospacing="0" w:afterAutospacing="0"/>
              <w:ind w:left="28" w:right="8"/>
              <w:jc w:val="both"/>
              <w:rPr>
                <w:color w:val="000000"/>
              </w:rPr>
            </w:pPr>
            <w:r>
              <w:rPr>
                <w:color w:val="000000"/>
              </w:rPr>
              <w:t>Сумарні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>витрати</w:t>
            </w:r>
            <w:r>
              <w:rPr>
                <w:color w:val="000000"/>
                <w:spacing w:val="31"/>
              </w:rPr>
              <w:t xml:space="preserve"> </w:t>
            </w:r>
            <w:r>
              <w:rPr>
                <w:color w:val="000000"/>
              </w:rPr>
              <w:t>суб’єктів</w:t>
            </w:r>
            <w:r>
              <w:rPr>
                <w:color w:val="000000"/>
                <w:spacing w:val="31"/>
              </w:rPr>
              <w:t xml:space="preserve"> </w:t>
            </w:r>
            <w:r>
              <w:rPr>
                <w:color w:val="000000"/>
              </w:rPr>
              <w:t>господарювання</w:t>
            </w:r>
            <w:r>
              <w:rPr>
                <w:color w:val="000000"/>
                <w:spacing w:val="33"/>
              </w:rPr>
              <w:t xml:space="preserve"> </w:t>
            </w:r>
            <w:r>
              <w:rPr>
                <w:color w:val="000000"/>
              </w:rPr>
              <w:t>великого</w:t>
            </w:r>
            <w:r>
              <w:rPr>
                <w:color w:val="000000"/>
                <w:spacing w:val="32"/>
              </w:rPr>
              <w:t xml:space="preserve"> 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52"/>
              </w:rPr>
              <w:t xml:space="preserve"> </w:t>
            </w:r>
            <w:r>
              <w:rPr>
                <w:color w:val="000000"/>
                <w:spacing w:val="-1"/>
              </w:rPr>
              <w:t>середнього</w:t>
            </w:r>
            <w:r>
              <w:rPr>
                <w:color w:val="000000"/>
                <w:spacing w:val="28"/>
              </w:rPr>
              <w:t xml:space="preserve"> </w:t>
            </w:r>
            <w:r>
              <w:rPr>
                <w:color w:val="000000"/>
              </w:rPr>
              <w:t>підприємництва,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29"/>
              </w:rPr>
              <w:t xml:space="preserve"> </w:t>
            </w:r>
            <w:r>
              <w:rPr>
                <w:color w:val="000000"/>
              </w:rPr>
              <w:t>виконання</w:t>
            </w:r>
            <w:r>
              <w:rPr>
                <w:color w:val="000000"/>
                <w:spacing w:val="29"/>
              </w:rPr>
              <w:t xml:space="preserve"> </w:t>
            </w:r>
            <w:r>
              <w:rPr>
                <w:color w:val="000000"/>
              </w:rPr>
              <w:t xml:space="preserve">регулювання </w:t>
            </w:r>
            <w:r>
              <w:rPr>
                <w:color w:val="000000"/>
                <w:spacing w:val="-4"/>
              </w:rPr>
              <w:t>(вартість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4"/>
              </w:rPr>
              <w:t>регулювання)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3"/>
              </w:rPr>
              <w:t>(рядок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3"/>
              </w:rPr>
              <w:t>9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3"/>
              </w:rPr>
              <w:t>х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3"/>
              </w:rPr>
              <w:t>рядок</w:t>
            </w:r>
            <w:r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3"/>
              </w:rPr>
              <w:t>10),</w:t>
            </w: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3"/>
              </w:rPr>
              <w:t>гривень</w:t>
            </w:r>
          </w:p>
        </w:tc>
        <w:tc>
          <w:tcPr>
            <w:tcW w:w="1358" w:type="dxa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pStyle w:val="P10"/>
              <w:spacing w:before="10" w:beforeAutospacing="0" w:afterAutospacing="0"/>
              <w:jc w:val="center"/>
              <w:rPr>
                <w:color w:val="000000"/>
                <w:sz w:val="19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813</w:t>
            </w:r>
            <w:r>
              <w:rPr>
                <w:color w:val="000000"/>
                <w:spacing w:val="1"/>
              </w:rPr>
              <w:t> </w:t>
            </w:r>
            <w:r>
              <w:rPr>
                <w:color w:val="000000"/>
                <w:lang w:val="uk-UA"/>
              </w:rPr>
              <w:t>859,8</w:t>
            </w:r>
            <w:r>
              <w:rPr>
                <w:color w:val="000000"/>
              </w:rPr>
              <w:t xml:space="preserve"> грн</w:t>
            </w:r>
          </w:p>
          <w:p>
            <w:pPr>
              <w:pStyle w:val="P10"/>
              <w:ind w:left="82" w:right="7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pStyle w:val="P10"/>
              <w:spacing w:before="10" w:beforeAutospacing="0" w:afterAutospacing="0"/>
              <w:jc w:val="center"/>
              <w:rPr>
                <w:color w:val="000000"/>
                <w:sz w:val="19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4 069</w:t>
            </w:r>
            <w:r>
              <w:rPr>
                <w:color w:val="000000"/>
                <w:spacing w:val="1"/>
              </w:rPr>
              <w:t> </w:t>
            </w:r>
            <w:r>
              <w:rPr>
                <w:color w:val="000000"/>
              </w:rPr>
              <w:t>299 грн</w:t>
            </w:r>
          </w:p>
          <w:p>
            <w:pPr>
              <w:pStyle w:val="P10"/>
              <w:ind w:left="176" w:right="169"/>
              <w:jc w:val="center"/>
              <w:rPr>
                <w:color w:val="000000"/>
              </w:rPr>
            </w:pPr>
          </w:p>
        </w:tc>
      </w:tr>
      <w:tr>
        <w:trPr>
          <w:trHeight w:hRule="atLeast" w:val="2075"/>
        </w:trPr>
        <w:tc>
          <w:tcPr>
            <w:tcW w:w="9828" w:type="dxa"/>
            <w:gridSpan w:val="4"/>
            <w:tcBorders>
              <w:top w:val="single" w:sz="4" w:space="0" w:shadow="0" w:frame="0"/>
              <w:left w:val="nil"/>
              <w:bottom w:val="nil"/>
              <w:right w:val="nil"/>
            </w:tcBorders>
          </w:tcPr>
          <w:p>
            <w:pPr>
              <w:pStyle w:val="P5"/>
              <w:shd w:val="clear" w:fill="auto"/>
              <w:spacing w:before="120" w:beforeAutospacing="0" w:afterAutospacing="0"/>
              <w:ind w:firstLine="26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Style w:val="C7"/>
                <w:color w:val="000000"/>
                <w:sz w:val="22"/>
                <w:szCs w:val="22"/>
                <w:lang w:val="uk"/>
              </w:rPr>
              <w:t xml:space="preserve">Вартість витрат, пов’язаних </w:t>
            </w:r>
            <w:r>
              <w:rPr>
                <w:color w:val="000000"/>
                <w:sz w:val="22"/>
                <w:szCs w:val="22"/>
                <w:lang w:val="uk"/>
              </w:rPr>
              <w:t>з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процедурою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забезпечення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функціонування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належної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системи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управління ризиками, застосування СПФМ у своїй діяльності ризик-орієнтованого підходу та вжиття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належних заходів з метою мінімізації ризиків, визначається шляхом ділення фактичних витрат часу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персоналу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на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заробітну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плату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спеціаліста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відповідної</w:t>
            </w:r>
            <w:r>
              <w:rPr>
                <w:color w:val="000000"/>
                <w:sz w:val="22"/>
                <w:szCs w:val="22"/>
                <w:spacing w:val="1"/>
                <w:lang w:val="uk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"/>
              </w:rPr>
              <w:t>кваліфікації</w:t>
            </w:r>
            <w:r>
              <w:rPr>
                <w:rStyle w:val="C7"/>
                <w:color w:val="000000"/>
                <w:sz w:val="22"/>
                <w:szCs w:val="22"/>
                <w:lang w:val="uk"/>
              </w:rPr>
              <w:t xml:space="preserve"> (мінімальна зарплата в Україні                   </w:t>
            </w:r>
            <w:bookmarkStart w:id="1" w:name="_GoBack"/>
            <w:bookmarkEnd w:id="1"/>
            <w:r>
              <w:rPr>
                <w:rStyle w:val="C7"/>
                <w:color w:val="000000"/>
                <w:sz w:val="22"/>
                <w:szCs w:val="22"/>
                <w:lang w:val="uk"/>
              </w:rPr>
              <w:t>з 01 січня 2022 року становить 6</w:t>
            </w:r>
            <w:r>
              <w:rPr>
                <w:rStyle w:val="C7"/>
                <w:color w:val="000000"/>
                <w:sz w:val="22"/>
                <w:szCs w:val="22"/>
              </w:rPr>
              <w:t> </w:t>
            </w:r>
            <w:r>
              <w:rPr>
                <w:rStyle w:val="C7"/>
                <w:color w:val="000000"/>
                <w:sz w:val="22"/>
                <w:szCs w:val="22"/>
                <w:lang w:val="uk"/>
              </w:rPr>
              <w:t>500 грн в місяць, або 39,26 грн за годину).</w:t>
            </w:r>
          </w:p>
        </w:tc>
      </w:tr>
    </w:tbl>
    <w:p>
      <w:pPr>
        <w:pStyle w:val="P2"/>
        <w:keepNext w:val="1"/>
        <w:keepLines w:val="1"/>
        <w:shd w:val="clear" w:fill="auto"/>
        <w:spacing w:lineRule="exact" w:line="260" w:after="52" w:beforeAutospacing="0" w:afterAutospacing="0"/>
        <w:rPr>
          <w:color w:val="000000"/>
          <w:sz w:val="2"/>
          <w:szCs w:val="2"/>
        </w:rPr>
      </w:pPr>
      <w:bookmarkEnd w:id="0"/>
    </w:p>
    <w:sectPr>
      <w:footnotePr/>
      <w:endnotePr/>
      <w:type w:val="continuous"/>
      <w:pgSz w:w="11909" w:h="16834" w:code="0"/>
      <w:pgMar w:left="929" w:right="934" w:top="772" w:bottom="852" w:header="0" w:footer="3" w:gutter="0"/>
      <w:cols w:equalWidth="1" w:space="720"/>
      <w:noEndnote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4"/>
        <w:szCs w:val="24"/>
        <w:lang w:val="uk" w:bidi="ar-SA" w:eastAsia="uk-UA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>
      <w:color w:val="000000"/>
    </w:rPr>
  </w:style>
  <w:style w:type="paragraph" w:styleId="P1">
    <w:name w:val="heading 1"/>
    <w:basedOn w:val="P0"/>
    <w:link w:val="C11"/>
    <w:qFormat/>
    <w:pPr>
      <w:ind w:left="173"/>
      <w:jc w:val="both"/>
      <w:outlineLvl w:val="0"/>
    </w:pPr>
    <w:rPr>
      <w:b w:val="1"/>
      <w:bCs w:val="1"/>
      <w:color w:val="auto"/>
      <w:sz w:val="28"/>
      <w:szCs w:val="28"/>
      <w:lang w:val="uk-UA" w:eastAsia="en-US"/>
    </w:rPr>
  </w:style>
  <w:style w:type="paragraph" w:styleId="P2">
    <w:name w:val="Style 2"/>
    <w:basedOn w:val="P0"/>
    <w:link w:val="C4"/>
    <w:pPr>
      <w:shd w:val="clear" w:fill="FFFFFF"/>
      <w:spacing w:after="120" w:beforeAutospacing="0" w:afterAutospacing="0"/>
      <w:outlineLvl w:val="1"/>
    </w:pPr>
    <w:rPr>
      <w:b w:val="1"/>
      <w:bCs w:val="1"/>
      <w:sz w:val="26"/>
      <w:szCs w:val="26"/>
    </w:rPr>
  </w:style>
  <w:style w:type="paragraph" w:styleId="P3">
    <w:name w:val="Style 4"/>
    <w:basedOn w:val="P0"/>
    <w:link w:val="C5"/>
    <w:pPr>
      <w:shd w:val="clear" w:fill="FFFFFF"/>
      <w:spacing w:before="120" w:after="120" w:beforeAutospacing="0" w:afterAutospacing="0"/>
      <w:jc w:val="center"/>
      <w:outlineLvl w:val="0"/>
    </w:pPr>
    <w:rPr>
      <w:b w:val="1"/>
      <w:bCs w:val="1"/>
      <w:sz w:val="26"/>
      <w:szCs w:val="26"/>
    </w:rPr>
  </w:style>
  <w:style w:type="paragraph" w:styleId="P4">
    <w:name w:val="Style 6"/>
    <w:basedOn w:val="P0"/>
    <w:link w:val="C6"/>
    <w:pPr>
      <w:shd w:val="clear" w:fill="FFFFFF"/>
      <w:spacing w:lineRule="exact" w:line="322" w:before="120" w:after="120" w:beforeAutospacing="0" w:afterAutospacing="0"/>
      <w:jc w:val="center"/>
      <w:outlineLvl w:val="2"/>
    </w:pPr>
    <w:rPr>
      <w:sz w:val="27"/>
      <w:szCs w:val="27"/>
    </w:rPr>
  </w:style>
  <w:style w:type="paragraph" w:styleId="P5">
    <w:name w:val="Style 8"/>
    <w:basedOn w:val="P0"/>
    <w:link w:val="C7"/>
    <w:pPr>
      <w:shd w:val="clear" w:fill="FFFFFF"/>
      <w:spacing w:lineRule="exact" w:line="230" w:beforeAutospacing="0" w:afterAutospacing="0"/>
      <w:ind w:firstLine="720"/>
      <w:jc w:val="both"/>
    </w:pPr>
    <w:rPr>
      <w:sz w:val="19"/>
      <w:szCs w:val="19"/>
    </w:rPr>
  </w:style>
  <w:style w:type="paragraph" w:styleId="P6">
    <w:name w:val="Style 10"/>
    <w:basedOn w:val="P0"/>
    <w:link w:val="C8"/>
    <w:pPr>
      <w:shd w:val="clear" w:fill="FFFFFF"/>
      <w:jc w:val="center"/>
    </w:pPr>
    <w:rPr>
      <w:sz w:val="22"/>
      <w:szCs w:val="22"/>
    </w:rPr>
  </w:style>
  <w:style w:type="paragraph" w:styleId="P7">
    <w:name w:val="Style 12"/>
    <w:basedOn w:val="P0"/>
    <w:link w:val="C9"/>
    <w:pPr>
      <w:shd w:val="clear" w:fill="FFFFFF"/>
      <w:jc w:val="center"/>
    </w:pPr>
    <w:rPr>
      <w:sz w:val="8"/>
      <w:szCs w:val="8"/>
    </w:rPr>
  </w:style>
  <w:style w:type="paragraph" w:styleId="P8">
    <w:name w:val="Style 14"/>
    <w:basedOn w:val="P0"/>
    <w:link w:val="C10"/>
    <w:pPr>
      <w:shd w:val="clear" w:fill="FFFFFF"/>
      <w:jc w:val="center"/>
    </w:pPr>
    <w:rPr>
      <w:sz w:val="8"/>
      <w:szCs w:val="8"/>
    </w:rPr>
  </w:style>
  <w:style w:type="paragraph" w:styleId="P9">
    <w:name w:val="Body Text"/>
    <w:basedOn w:val="P0"/>
    <w:link w:val="C12"/>
    <w:qFormat/>
    <w:pPr>
      <w:ind w:left="173"/>
      <w:jc w:val="both"/>
    </w:pPr>
    <w:rPr>
      <w:color w:val="auto"/>
      <w:sz w:val="28"/>
      <w:szCs w:val="28"/>
      <w:lang w:val="uk-UA" w:eastAsia="en-US"/>
    </w:rPr>
  </w:style>
  <w:style w:type="paragraph" w:styleId="P10">
    <w:name w:val="Table Paragraph"/>
    <w:basedOn w:val="P0"/>
    <w:qFormat/>
    <w:pPr/>
    <w:rPr>
      <w:color w:val="auto"/>
      <w:sz w:val="22"/>
      <w:szCs w:val="22"/>
      <w:lang w:val="uk-UA" w:eastAsia="en-US"/>
    </w:rPr>
  </w:style>
  <w:style w:type="paragraph" w:styleId="P11">
    <w:name w:val="footnote text"/>
    <w:link w:val="C14"/>
    <w:semiHidden/>
    <w:pPr/>
    <w:rPr>
      <w:sz w:val="20"/>
      <w:szCs w:val="20"/>
    </w:rPr>
  </w:style>
  <w:style w:type="paragraph" w:styleId="P12">
    <w:name w:val="endnote text"/>
    <w:link w:val="C16"/>
    <w:semiHidden/>
    <w:pPr/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Char Style 3"/>
    <w:basedOn w:val="C0"/>
    <w:link w:val="P2"/>
    <w:rPr>
      <w:b w:val="0"/>
      <w:i w:val="0"/>
      <w:bCs w:val="0"/>
      <w:iCs w:val="0"/>
      <w:smallCaps w:val="0"/>
      <w:sz w:val="26"/>
      <w:szCs w:val="26"/>
      <w:u w:val="none"/>
    </w:rPr>
  </w:style>
  <w:style w:type="character" w:styleId="C5">
    <w:name w:val="Char Style 5"/>
    <w:basedOn w:val="C0"/>
    <w:link w:val="P3"/>
    <w:rPr>
      <w:b w:val="0"/>
      <w:i w:val="0"/>
      <w:bCs w:val="0"/>
      <w:iCs w:val="0"/>
      <w:smallCaps w:val="0"/>
      <w:sz w:val="26"/>
      <w:szCs w:val="26"/>
      <w:u w:val="none"/>
    </w:rPr>
  </w:style>
  <w:style w:type="character" w:styleId="C6">
    <w:name w:val="Char Style 7"/>
    <w:basedOn w:val="C0"/>
    <w:link w:val="P4"/>
    <w:rPr>
      <w:b w:val="0"/>
      <w:i w:val="0"/>
      <w:bCs w:val="0"/>
      <w:iCs w:val="0"/>
      <w:smallCaps w:val="0"/>
      <w:sz w:val="27"/>
      <w:szCs w:val="27"/>
      <w:u w:val="none"/>
    </w:rPr>
  </w:style>
  <w:style w:type="character" w:styleId="C7">
    <w:name w:val="Char Style 9"/>
    <w:basedOn w:val="C0"/>
    <w:link w:val="P5"/>
    <w:rPr>
      <w:b w:val="0"/>
      <w:i w:val="0"/>
      <w:bCs w:val="0"/>
      <w:iCs w:val="0"/>
      <w:smallCaps w:val="0"/>
      <w:sz w:val="19"/>
      <w:szCs w:val="19"/>
      <w:u w:val="none"/>
    </w:rPr>
  </w:style>
  <w:style w:type="character" w:styleId="C8">
    <w:name w:val="Char Style 11"/>
    <w:basedOn w:val="C0"/>
    <w:link w:val="P6"/>
    <w:rPr>
      <w:b w:val="0"/>
      <w:i w:val="0"/>
      <w:bCs w:val="0"/>
      <w:iCs w:val="0"/>
      <w:smallCaps w:val="0"/>
      <w:sz w:val="22"/>
      <w:szCs w:val="22"/>
      <w:u w:val="none"/>
    </w:rPr>
  </w:style>
  <w:style w:type="character" w:styleId="C9">
    <w:name w:val="Char Style 13"/>
    <w:basedOn w:val="C0"/>
    <w:link w:val="P7"/>
    <w:rPr>
      <w:b w:val="0"/>
      <w:i w:val="0"/>
      <w:bCs w:val="0"/>
      <w:iCs w:val="0"/>
      <w:smallCaps w:val="0"/>
      <w:sz w:val="8"/>
      <w:szCs w:val="8"/>
      <w:u w:val="none"/>
    </w:rPr>
  </w:style>
  <w:style w:type="character" w:styleId="C10">
    <w:name w:val="Char Style 15"/>
    <w:basedOn w:val="C0"/>
    <w:link w:val="P8"/>
    <w:rPr>
      <w:b w:val="0"/>
      <w:i w:val="0"/>
      <w:bCs w:val="0"/>
      <w:iCs w:val="0"/>
      <w:smallCaps w:val="0"/>
      <w:sz w:val="8"/>
      <w:szCs w:val="8"/>
      <w:u w:val="none"/>
    </w:rPr>
  </w:style>
  <w:style w:type="character" w:styleId="C11">
    <w:name w:val="Заголовок 1 Знак"/>
    <w:basedOn w:val="C0"/>
    <w:link w:val="P1"/>
    <w:rPr>
      <w:b w:val="1"/>
      <w:bCs w:val="1"/>
      <w:sz w:val="28"/>
      <w:szCs w:val="28"/>
      <w:lang w:val="uk-UA" w:eastAsia="en-US"/>
    </w:rPr>
  </w:style>
  <w:style w:type="character" w:styleId="C12">
    <w:name w:val="Основний текст Знак"/>
    <w:basedOn w:val="C0"/>
    <w:link w:val="P9"/>
    <w:rPr>
      <w:sz w:val="28"/>
      <w:szCs w:val="28"/>
      <w:lang w:val="uk-UA" w:eastAsia="en-US"/>
    </w:rPr>
  </w:style>
  <w:style w:type="character" w:styleId="C13">
    <w:name w:val="footnote reference"/>
    <w:semiHidden/>
    <w:rPr>
      <w:vertAlign w:val="superscript"/>
    </w:rPr>
  </w:style>
  <w:style w:type="character" w:styleId="C14">
    <w:name w:val="Текст виноски Знак"/>
    <w:link w:val="P11"/>
    <w:semiHidden/>
    <w:rPr>
      <w:sz w:val="20"/>
      <w:szCs w:val="20"/>
    </w:rPr>
  </w:style>
  <w:style w:type="character" w:styleId="C15">
    <w:name w:val="endnote reference"/>
    <w:semiHidden/>
    <w:rPr>
      <w:vertAlign w:val="superscript"/>
    </w:rPr>
  </w:style>
  <w:style w:type="character" w:styleId="C16">
    <w:name w:val="Текст кінцевої виноски Знак"/>
    <w:link w:val="P12"/>
    <w:semiHidden/>
    <w:rPr>
      <w:sz w:val="20"/>
      <w:szCs w:val="20"/>
    </w:rPr>
  </w:style>
  <w:style w:type="character" w:styleId="C17">
    <w:name w:val="Footnote Text Char"/>
    <w:semiHidden/>
    <w:rPr>
      <w:sz w:val="20"/>
      <w:szCs w:val="20"/>
    </w:rPr>
  </w:style>
  <w:style w:type="character" w:styleId="C18">
    <w:name w:val="Endnote Text Char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Normal"/>
    <w:semiHidden/>
    <w:qFormat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MINFIN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Денисенко-Онищенко Марина Іванівна</dc:creator>
  <dcterms:created xsi:type="dcterms:W3CDTF">2022-08-30T13:02:00Z</dcterms:created>
  <cp:lastModifiedBy>tech_user</cp:lastModifiedBy>
  <dcterms:modified xsi:type="dcterms:W3CDTF">2022-09-07T07:22:48Z</dcterms:modified>
  <cp:revision>13</cp:revision>
</cp:coreProperties>
</file>