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536"/>
      </w:tblGrid>
      <w:tr w:rsidR="000A6CD6">
        <w:tc>
          <w:tcPr>
            <w:tcW w:w="2647" w:type="pct"/>
            <w:hideMark/>
          </w:tcPr>
          <w:p w:rsidR="000A6CD6" w:rsidRDefault="000A6CD6">
            <w:pPr>
              <w:widowControl w:val="0"/>
              <w:spacing w:before="150" w:after="15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353" w:type="pct"/>
            <w:hideMark/>
          </w:tcPr>
          <w:p w:rsidR="000A6CD6" w:rsidRDefault="00E44D9F">
            <w:pPr>
              <w:widowControl w:val="0"/>
              <w:spacing w:before="150" w:after="150" w:line="240" w:lineRule="auto"/>
              <w:ind w:left="3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Додаток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до Інструкції про складання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 xml:space="preserve">та подання </w:t>
            </w: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орми звітності № 1-ДВА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“Звіт (зведений звіт) про результати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діяльності підрозділу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внутрішнього аудиту”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(пункт 2)</w:t>
            </w:r>
          </w:p>
        </w:tc>
      </w:tr>
    </w:tbl>
    <w:p w:rsidR="000A6CD6" w:rsidRDefault="00E44D9F">
      <w:pPr>
        <w:widowControl w:val="0"/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" w:name="n388"/>
      <w:bookmarkStart w:id="2" w:name="n389"/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ПОЯСНЮВАЛЬНА ЗАПИСКА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до звіту (зведеного звіту) про результати діяльності підрозділу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внутрішнього аудиту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(найменування державного органу чи бюджетної установи)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 20___ рік</w:t>
      </w:r>
    </w:p>
    <w:p w:rsidR="000A6CD6" w:rsidRDefault="00E44D9F">
      <w:pPr>
        <w:widowControl w:val="0"/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" w:name="n390"/>
      <w:bookmarkEnd w:id="3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I. Організація діяльності з внутрішнього аудиту</w:t>
      </w:r>
    </w:p>
    <w:p w:rsidR="000A6CD6" w:rsidRDefault="00E44D9F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4" w:name="n391"/>
      <w:bookmarkEnd w:id="4"/>
      <w:r>
        <w:rPr>
          <w:rFonts w:ascii="Times New Roman" w:hAnsi="Times New Roman"/>
          <w:color w:val="000000"/>
          <w:sz w:val="28"/>
          <w:szCs w:val="28"/>
          <w:lang w:eastAsia="uk-UA"/>
        </w:rPr>
        <w:t>1.1. Інформація про визначені ключові показники діяльності підрозд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ілу внутрішнього аудиту та їх виконання за такою формою:</w:t>
      </w:r>
    </w:p>
    <w:p w:rsidR="000A6CD6" w:rsidRDefault="00E44D9F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uk-UA"/>
        </w:rPr>
        <w:t>Таблиця 1.1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571"/>
        <w:gridCol w:w="2386"/>
        <w:gridCol w:w="2409"/>
        <w:gridCol w:w="2268"/>
      </w:tblGrid>
      <w:tr w:rsidR="000A6CD6">
        <w:tc>
          <w:tcPr>
            <w:tcW w:w="2571" w:type="dxa"/>
          </w:tcPr>
          <w:p w:rsidR="000A6CD6" w:rsidRDefault="00E44D9F">
            <w:pPr>
              <w:spacing w:after="12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Ключовий показник</w:t>
            </w:r>
          </w:p>
        </w:tc>
        <w:tc>
          <w:tcPr>
            <w:tcW w:w="2386" w:type="dxa"/>
          </w:tcPr>
          <w:p w:rsidR="000A6CD6" w:rsidRDefault="00E44D9F">
            <w:pPr>
              <w:spacing w:after="12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Заплановано (визначено)</w:t>
            </w:r>
          </w:p>
        </w:tc>
        <w:tc>
          <w:tcPr>
            <w:tcW w:w="2409" w:type="dxa"/>
          </w:tcPr>
          <w:p w:rsidR="000A6CD6" w:rsidRDefault="00E44D9F">
            <w:pPr>
              <w:spacing w:after="12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Фактично виконано</w:t>
            </w:r>
          </w:p>
        </w:tc>
        <w:tc>
          <w:tcPr>
            <w:tcW w:w="2268" w:type="dxa"/>
          </w:tcPr>
          <w:p w:rsidR="000A6CD6" w:rsidRDefault="00E44D9F">
            <w:pPr>
              <w:spacing w:after="12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Причини невиконання</w:t>
            </w:r>
          </w:p>
        </w:tc>
      </w:tr>
      <w:tr w:rsidR="000A6CD6">
        <w:tc>
          <w:tcPr>
            <w:tcW w:w="2571" w:type="dxa"/>
          </w:tcPr>
          <w:p w:rsidR="000A6CD6" w:rsidRDefault="00E44D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386" w:type="dxa"/>
          </w:tcPr>
          <w:p w:rsidR="000A6CD6" w:rsidRDefault="00E44D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409" w:type="dxa"/>
          </w:tcPr>
          <w:p w:rsidR="000A6CD6" w:rsidRDefault="00E44D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0A6CD6" w:rsidRDefault="00E44D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0A6CD6">
        <w:tc>
          <w:tcPr>
            <w:tcW w:w="2571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386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409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</w:tr>
      <w:tr w:rsidR="000A6CD6">
        <w:tc>
          <w:tcPr>
            <w:tcW w:w="2571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386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409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</w:tr>
      <w:tr w:rsidR="000A6CD6">
        <w:tc>
          <w:tcPr>
            <w:tcW w:w="2571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386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409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</w:tcPr>
          <w:p w:rsidR="000A6CD6" w:rsidRDefault="000A6CD6">
            <w:pPr>
              <w:jc w:val="right"/>
              <w:rPr>
                <w:color w:val="000000"/>
                <w:lang w:val="uk-UA" w:eastAsia="uk-UA"/>
              </w:rPr>
            </w:pPr>
          </w:p>
        </w:tc>
      </w:tr>
    </w:tbl>
    <w:p w:rsidR="000A6CD6" w:rsidRDefault="000A6CD6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5" w:name="n392"/>
      <w:bookmarkEnd w:id="5"/>
    </w:p>
    <w:p w:rsidR="000A6CD6" w:rsidRDefault="00E44D9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1.2. Перелік непритаманних функцій:</w:t>
      </w:r>
    </w:p>
    <w:p w:rsidR="000A6CD6" w:rsidRDefault="00E44D9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6" w:name="n393"/>
      <w:bookmarkEnd w:id="6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визначених внутрішніми документами з питань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внутрішнього аудиту;</w:t>
      </w:r>
    </w:p>
    <w:p w:rsidR="000A6CD6" w:rsidRDefault="00E44D9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7" w:name="n394"/>
      <w:bookmarkEnd w:id="7"/>
      <w:r>
        <w:rPr>
          <w:rFonts w:ascii="Times New Roman" w:hAnsi="Times New Roman"/>
          <w:color w:val="000000"/>
          <w:sz w:val="28"/>
          <w:szCs w:val="28"/>
          <w:lang w:eastAsia="uk-UA"/>
        </w:rPr>
        <w:t>які фактично виконувались підрозділами внутрішнього аудиту протягом звітного періоду;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8" w:name="n395"/>
      <w:bookmarkEnd w:id="8"/>
      <w:r>
        <w:rPr>
          <w:rFonts w:ascii="Times New Roman" w:hAnsi="Times New Roman"/>
          <w:color w:val="000000"/>
          <w:sz w:val="28"/>
          <w:szCs w:val="28"/>
          <w:lang w:eastAsia="uk-UA"/>
        </w:rPr>
        <w:t>види контрольних заходів, у яких брали участь працівники підрозділів внутрішнього аудиту протягом звітного періоду.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9" w:name="n396"/>
      <w:bookmarkEnd w:id="9"/>
      <w:r>
        <w:rPr>
          <w:rFonts w:ascii="Times New Roman" w:hAnsi="Times New Roman"/>
          <w:color w:val="000000"/>
          <w:sz w:val="28"/>
          <w:szCs w:val="28"/>
          <w:lang w:eastAsia="uk-UA"/>
        </w:rPr>
        <w:t>1.3. Інформація про кількісний та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персональний склад аудиторського комітету (у разі його створення) із зазначенням кваліфікації його членів.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0" w:name="n397"/>
      <w:bookmarkEnd w:id="10"/>
      <w:r>
        <w:rPr>
          <w:rFonts w:ascii="Times New Roman" w:hAnsi="Times New Roman"/>
          <w:color w:val="000000"/>
          <w:sz w:val="28"/>
          <w:szCs w:val="28"/>
          <w:lang w:eastAsia="uk-UA"/>
        </w:rPr>
        <w:t>1.4. Основні питання, які розглядалися на засіданнях аудиторського комітету протягом звітного періоду, прийняті рішення, стан та результати їх впров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адження.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1" w:name="n398"/>
      <w:bookmarkEnd w:id="11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1.5. Інформація про виконання підрозділами внутрішнього аудиту плану (зведеного плану) протягом звітного періоду із зазначенням відсотка його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виконання, у тому числі окремо в частині проведення внутрішніх аудитів.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2" w:name="n399"/>
      <w:bookmarkEnd w:id="12"/>
      <w:r>
        <w:rPr>
          <w:rFonts w:ascii="Times New Roman" w:hAnsi="Times New Roman"/>
          <w:color w:val="000000"/>
          <w:sz w:val="28"/>
          <w:szCs w:val="28"/>
          <w:lang w:eastAsia="uk-UA"/>
        </w:rPr>
        <w:t>1.6. Причини невиконання плану (з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веденого плану) або його часткового виконання протягом звітного періоду (за наявності невиконаних або частково виконаних запланованих у плані (зведеному плані) внутрішніх аудитів та заходів з іншої діяльності з внутрішнього аудиту), у тому числі окремо в ч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астині проведення внутрішніх аудитів та в частині виконання заходів з іншої діяльності з внутрішнього аудиту.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3" w:name="n400"/>
      <w:bookmarkEnd w:id="13"/>
      <w:r>
        <w:rPr>
          <w:rFonts w:ascii="Times New Roman" w:hAnsi="Times New Roman"/>
          <w:color w:val="000000"/>
          <w:sz w:val="28"/>
          <w:szCs w:val="28"/>
          <w:lang w:eastAsia="uk-UA"/>
        </w:rPr>
        <w:t>1.7. Ключові проблемні питання діяльності підрозділів внутрішнього аудиту, які виникали протягом звітного періоду.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4" w:name="n401"/>
      <w:bookmarkEnd w:id="14"/>
      <w:r>
        <w:rPr>
          <w:rFonts w:ascii="Times New Roman" w:hAnsi="Times New Roman"/>
          <w:color w:val="000000"/>
          <w:sz w:val="28"/>
          <w:szCs w:val="28"/>
          <w:lang w:eastAsia="uk-UA"/>
        </w:rPr>
        <w:t>1.8. Обмеження щодо роботи підр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озділів внутрішнього аудиту, що виникали протягом звітного періоду, та вжиті заходи щодо їх усунення.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5" w:name="n402"/>
      <w:bookmarkEnd w:id="15"/>
      <w:r>
        <w:rPr>
          <w:rFonts w:ascii="Times New Roman" w:hAnsi="Times New Roman"/>
          <w:color w:val="000000"/>
          <w:sz w:val="28"/>
          <w:szCs w:val="28"/>
          <w:lang w:eastAsia="uk-UA"/>
        </w:rPr>
        <w:t>1.9. Інформація про отримані протягом звітного періоду скарги, які стосуються діяльності з внутрішнього аудиту (у разі надходження).</w:t>
      </w:r>
    </w:p>
    <w:p w:rsidR="000A6CD6" w:rsidRDefault="00E44D9F">
      <w:pPr>
        <w:widowControl w:val="0"/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6" w:name="n403"/>
      <w:bookmarkEnd w:id="1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II. Проведення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внутрішніх аудитів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7" w:name="n404"/>
      <w:bookmarkEnd w:id="17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2.1. Інформація про теми позапланових внутрішніх аудитів, проведених підрозділами внутрішнього аудиту протягом звітного періоду, у тому числі тих, що тривають станом на кінець звітного періоду, а також підстави їх проведення (доручення,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звернення тощо із відповідним обґрунтуванням) та загальну кількість витраченого робочого часу (людино-днів) на їх проведення.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8" w:name="n405"/>
      <w:bookmarkEnd w:id="18"/>
      <w:r>
        <w:rPr>
          <w:rFonts w:ascii="Times New Roman" w:hAnsi="Times New Roman"/>
          <w:color w:val="000000"/>
          <w:sz w:val="28"/>
          <w:szCs w:val="28"/>
          <w:lang w:eastAsia="uk-UA"/>
        </w:rPr>
        <w:t>2.2. Інформація про теми планових внутрішніх аудитів, які розпочато та не завершено на кінець звітного періоду, а також загальну 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ількість витраченого робочого часу (людино-днів) на їх проведення за звітний період.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2.3. Основні недоліки щодо організації та функціонування внутрішнього контролю, виявлені за результатами внутрішніх аудитів, та вжиті заходи щодо його вдосконалення за так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ою формою:</w:t>
      </w:r>
    </w:p>
    <w:p w:rsidR="000A6CD6" w:rsidRDefault="00E44D9F">
      <w:pPr>
        <w:widowControl w:val="0"/>
        <w:shd w:val="clear" w:color="auto" w:fill="FFFFFF"/>
        <w:spacing w:before="150" w:after="15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9" w:name="n406"/>
      <w:bookmarkEnd w:id="19"/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Таблиця 2.1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825"/>
        <w:gridCol w:w="2189"/>
        <w:gridCol w:w="2270"/>
      </w:tblGrid>
      <w:tr w:rsidR="000A6CD6">
        <w:trPr>
          <w:trHeight w:val="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20" w:name="n407"/>
            <w:bookmarkEnd w:id="20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Суть виявлених недоліків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Елемент (або елементи) системи внутрішнього контролю, яких стосуються такі недоліки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Кількість об’єктів внутрішнього аудиту, під час дослідження яких виявлено недоліки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Вжиті заходи з удосконалення системи внут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рішнього контролю чи окремих її елементів</w:t>
            </w:r>
          </w:p>
        </w:tc>
      </w:tr>
      <w:tr w:rsidR="000A6CD6">
        <w:trPr>
          <w:trHeight w:val="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0A6CD6">
        <w:trPr>
          <w:trHeight w:val="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trHeight w:val="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trHeight w:val="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A6CD6" w:rsidRDefault="000A6CD6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  <w:lang w:eastAsia="uk-UA"/>
        </w:rPr>
      </w:pPr>
      <w:bookmarkStart w:id="21" w:name="n408"/>
      <w:bookmarkEnd w:id="21"/>
    </w:p>
    <w:p w:rsidR="000A6CD6" w:rsidRDefault="000A6CD6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  <w:lang w:eastAsia="uk-UA"/>
        </w:rPr>
      </w:pP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2.4. Інші типові недоліки та проблеми, виявлені за результатами внутрішніх аудитів, та вжиті заходи щодо їх усунення.</w:t>
      </w:r>
    </w:p>
    <w:p w:rsidR="000A6CD6" w:rsidRDefault="00E44D9F">
      <w:pPr>
        <w:widowControl w:val="0"/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2" w:name="n409"/>
      <w:bookmarkEnd w:id="22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III. Результативність внутрішнього аудиту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3" w:name="n410"/>
      <w:bookmarkEnd w:id="23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3.1. Загальна інформація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 аудиторські рекомендації, надані у звітному періоді за результатами внутрішніх аудитів, і стан їх упровадження.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4" w:name="n411"/>
      <w:bookmarkEnd w:id="24"/>
      <w:r>
        <w:rPr>
          <w:rFonts w:ascii="Times New Roman" w:hAnsi="Times New Roman"/>
          <w:color w:val="000000"/>
          <w:sz w:val="28"/>
          <w:szCs w:val="28"/>
          <w:lang w:eastAsia="uk-UA"/>
        </w:rPr>
        <w:t>3.2. Причини відхилення рекомендацій керівником (за наявності відхилених рекомендацій).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5" w:name="n412"/>
      <w:bookmarkEnd w:id="25"/>
      <w:r>
        <w:rPr>
          <w:rFonts w:ascii="Times New Roman" w:hAnsi="Times New Roman"/>
          <w:color w:val="000000"/>
          <w:spacing w:val="-4"/>
          <w:sz w:val="28"/>
          <w:szCs w:val="28"/>
          <w:lang w:eastAsia="uk-UA"/>
        </w:rPr>
        <w:t>3.3. Основні причини невиконання аудиторських рекоме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uk-UA"/>
        </w:rPr>
        <w:t>ндацій (за наявності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невиконаних рекомендацій).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6" w:name="n413"/>
      <w:bookmarkEnd w:id="26"/>
      <w:r>
        <w:rPr>
          <w:rFonts w:ascii="Times New Roman" w:hAnsi="Times New Roman"/>
          <w:color w:val="000000"/>
          <w:spacing w:val="-4"/>
          <w:sz w:val="28"/>
          <w:szCs w:val="28"/>
          <w:lang w:eastAsia="uk-UA"/>
        </w:rPr>
        <w:t>3.4. Результати впровадження аудиторських рекомендацій за такою формою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0A6CD6" w:rsidRDefault="00E44D9F">
      <w:pPr>
        <w:widowControl w:val="0"/>
        <w:shd w:val="clear" w:color="auto" w:fill="FFFFFF"/>
        <w:spacing w:before="150" w:after="15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7" w:name="n414"/>
      <w:bookmarkEnd w:id="27"/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Таблиця 3.1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3207"/>
        <w:gridCol w:w="3207"/>
      </w:tblGrid>
      <w:tr w:rsidR="000A6CD6">
        <w:trPr>
          <w:trHeight w:val="6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28" w:name="n415"/>
            <w:bookmarkEnd w:id="28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Виконані рекомендації, </w:t>
            </w: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 якими досягнуто результативність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Суть недоліків/проблем, виявлених за результатами внутрішніх ауд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итів, та рік, у якому їх було виявлено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Результати впровадження рекомендацій</w:t>
            </w:r>
          </w:p>
        </w:tc>
      </w:tr>
      <w:tr w:rsidR="000A6CD6">
        <w:trPr>
          <w:trHeight w:val="6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0A6CD6">
        <w:trPr>
          <w:trHeight w:val="33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trHeight w:val="386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trHeight w:val="37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A6CD6" w:rsidRDefault="000A6CD6">
      <w:pPr>
        <w:widowControl w:val="0"/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29" w:name="n416"/>
      <w:bookmarkEnd w:id="29"/>
    </w:p>
    <w:p w:rsidR="000A6CD6" w:rsidRDefault="00E44D9F">
      <w:pPr>
        <w:widowControl w:val="0"/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IV. Результати внутрішньої оцінки якості внутрішнього аудиту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0" w:name="n417"/>
      <w:bookmarkEnd w:id="3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4.1. Загальні підходи до проведення внутрішніх оцінок якості (перелік і реквізити внутрішніх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документів, якими визначено питання проведення внутрішніх оцінок якості, визначено періодичність та підхід до їх проведення).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1" w:name="n418"/>
      <w:bookmarkEnd w:id="31"/>
      <w:r>
        <w:rPr>
          <w:rFonts w:ascii="Times New Roman" w:hAnsi="Times New Roman"/>
          <w:color w:val="000000"/>
          <w:sz w:val="28"/>
          <w:szCs w:val="28"/>
          <w:lang w:eastAsia="uk-UA"/>
        </w:rPr>
        <w:t>4.2. Інформація про кількість проведених протягом звітного періоду періодичних оцінок діяльності з внутрішнього аудиту, їх загальн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 результати (із зазначенням кількості виявлених недоліків) та/або підсумкову оцінку за бальною чи іншою шкалою (у разі, якщо внутрішніми документами з питань внутрішнього аудиту унормовано порядок проведення періодичних оцінок діяльності та визначення під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сумкової оцінки (за бальною чи іншою шкалою) за їх результатами). 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2" w:name="n419"/>
      <w:bookmarkEnd w:id="32"/>
      <w:r>
        <w:rPr>
          <w:rFonts w:ascii="Times New Roman" w:hAnsi="Times New Roman"/>
          <w:color w:val="000000"/>
          <w:sz w:val="28"/>
          <w:szCs w:val="28"/>
          <w:lang w:eastAsia="uk-UA"/>
        </w:rPr>
        <w:t>4.3. Інформація про наявність програми забезпечення та підвищення якості внутрішнього аудиту (із зазначенням дати її затвердження), зміст визначених заходів (стисло) та стан її виконання (і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зазначенням загальної кількості запланованих та кількості фактично виконаних заходів, змісту невиконаних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заходів та причин їх невиконання).</w:t>
      </w:r>
    </w:p>
    <w:p w:rsidR="000A6CD6" w:rsidRDefault="00E44D9F">
      <w:pPr>
        <w:widowControl w:val="0"/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3" w:name="n420"/>
      <w:bookmarkEnd w:id="33"/>
      <w:r>
        <w:rPr>
          <w:rFonts w:ascii="Times New Roman" w:hAnsi="Times New Roman"/>
          <w:color w:val="000000"/>
          <w:sz w:val="28"/>
          <w:szCs w:val="28"/>
          <w:lang w:eastAsia="uk-UA"/>
        </w:rPr>
        <w:t>4.4. Упроваджені протягом звітного періоду заходи, спрямовані на підвищення якості та вдосконалення діяльності з 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нутрішнього аудиту, яких вжито керівником державного органу, аудиторським комітетом (у разі його створення), керівником підрозділу внутрішнього аудиту, у тому числі заходи, які передбачено програмою забезпечення та підвищення якості внутрішнього аудиту, за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такою формою:</w:t>
      </w:r>
    </w:p>
    <w:p w:rsidR="000A6CD6" w:rsidRDefault="00E44D9F">
      <w:pPr>
        <w:widowControl w:val="0"/>
        <w:shd w:val="clear" w:color="auto" w:fill="FFFFFF"/>
        <w:spacing w:before="150" w:after="15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4" w:name="n421"/>
      <w:bookmarkEnd w:id="34"/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Таблиця 4.1</w:t>
      </w:r>
    </w:p>
    <w:tbl>
      <w:tblPr>
        <w:tblW w:w="500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850"/>
        <w:gridCol w:w="1701"/>
        <w:gridCol w:w="994"/>
        <w:gridCol w:w="1417"/>
        <w:gridCol w:w="1451"/>
        <w:gridCol w:w="675"/>
      </w:tblGrid>
      <w:tr w:rsidR="000A6CD6">
        <w:trPr>
          <w:trHeight w:val="6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35" w:name="n422"/>
            <w:bookmarkEnd w:id="35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Аспекти діяльності </w:t>
            </w: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 внутрішнього аудиту, які охоплено внутрішніми оцінками якості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Суть основних недоліків/проблем, виявлених за результатами внутрішніх оцінок якості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Спосіб виявлення недоліків/проблем (постійний моніторинг та/а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бо періодичні оцінки)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Вжиті заходи </w:t>
            </w: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для усунення виявлених проблем/ недоліків</w:t>
            </w:r>
          </w:p>
        </w:tc>
      </w:tr>
      <w:tr w:rsidR="000A6CD6">
        <w:trPr>
          <w:trHeight w:val="60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0A6CD6">
        <w:trPr>
          <w:trHeight w:val="343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trHeight w:val="378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trHeight w:val="384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CD6">
        <w:trPr>
          <w:gridAfter w:val="1"/>
          <w:wAfter w:w="675" w:type="dxa"/>
          <w:trHeight w:val="60"/>
        </w:trPr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bookmarkStart w:id="36" w:name="n423"/>
            <w:bookmarkEnd w:id="36"/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Керівник державного органу чи керівник бюджетної установи</w:t>
            </w: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(посада)</w:t>
            </w: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0A6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(Власне ім’я ПРІЗВИЩЕ)</w:t>
            </w:r>
          </w:p>
        </w:tc>
      </w:tr>
      <w:tr w:rsidR="000A6CD6">
        <w:trPr>
          <w:gridAfter w:val="1"/>
          <w:wAfter w:w="675" w:type="dxa"/>
          <w:trHeight w:val="60"/>
        </w:trPr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Керівник підрозділу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внутрішнього аудиту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D6" w:rsidRDefault="00E44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(Власне ім’я ПРІЗВИЩЕ)</w:t>
            </w:r>
          </w:p>
        </w:tc>
      </w:tr>
    </w:tbl>
    <w:p w:rsidR="000A6CD6" w:rsidRDefault="000A6CD6">
      <w:pPr>
        <w:widowControl w:val="0"/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7" w:name="n426"/>
      <w:bookmarkEnd w:id="37"/>
    </w:p>
    <w:p w:rsidR="000A6CD6" w:rsidRDefault="000A6CD6">
      <w:pPr>
        <w:rPr>
          <w:color w:val="000000"/>
        </w:rPr>
      </w:pPr>
    </w:p>
    <w:sectPr w:rsidR="000A6CD6">
      <w:headerReference w:type="default" r:id="rId6"/>
      <w:pgSz w:w="11906" w:h="16838"/>
      <w:pgMar w:top="1134" w:right="567" w:bottom="1644" w:left="1701" w:header="680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9F" w:rsidRDefault="00E44D9F">
      <w:pPr>
        <w:spacing w:after="0" w:line="240" w:lineRule="auto"/>
      </w:pPr>
    </w:p>
  </w:endnote>
  <w:endnote w:type="continuationSeparator" w:id="0">
    <w:p w:rsidR="00E44D9F" w:rsidRDefault="00E44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9F" w:rsidRDefault="00E44D9F">
      <w:pPr>
        <w:spacing w:after="0" w:line="240" w:lineRule="auto"/>
      </w:pPr>
    </w:p>
  </w:footnote>
  <w:footnote w:type="continuationSeparator" w:id="0">
    <w:p w:rsidR="00E44D9F" w:rsidRDefault="00E44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D6" w:rsidRDefault="00E44D9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C669C" w:rsidRPr="000C669C">
      <w:rPr>
        <w:rFonts w:ascii="Times New Roman" w:hAnsi="Times New Roman"/>
        <w:noProof/>
        <w:lang w:val="ru-RU"/>
      </w:rPr>
      <w:t>3</w:t>
    </w:r>
    <w:r>
      <w:rPr>
        <w:rFonts w:ascii="Times New Roman" w:hAnsi="Times New Roman"/>
      </w:rPr>
      <w:fldChar w:fldCharType="end"/>
    </w:r>
  </w:p>
  <w:p w:rsidR="000A6CD6" w:rsidRDefault="000A6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D6"/>
    <w:rsid w:val="000A6CD6"/>
    <w:rsid w:val="000C669C"/>
    <w:rsid w:val="00E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A1703-42DA-434D-A1E0-830D68D3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after="0" w:line="240" w:lineRule="auto"/>
      <w:jc w:val="both"/>
    </w:pPr>
    <w:rPr>
      <w:rFonts w:ascii="Times New Roman" w:hAnsi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3973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maryana-2000@ukr.net</dc:creator>
  <cp:lastModifiedBy>Федченко Тетяна Йосипівна</cp:lastModifiedBy>
  <cp:revision>2</cp:revision>
  <dcterms:created xsi:type="dcterms:W3CDTF">2022-08-03T06:05:00Z</dcterms:created>
  <dcterms:modified xsi:type="dcterms:W3CDTF">2022-08-03T06:05:00Z</dcterms:modified>
</cp:coreProperties>
</file>