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BF" w:rsidRDefault="004709BF" w:rsidP="004709BF">
      <w:pPr>
        <w:jc w:val="center"/>
        <w:rPr>
          <w:b/>
          <w:color w:val="000000" w:themeColor="text1"/>
          <w:sz w:val="28"/>
          <w:szCs w:val="28"/>
        </w:rPr>
      </w:pPr>
      <w:r>
        <w:rPr>
          <w:b/>
          <w:color w:val="000000" w:themeColor="text1"/>
          <w:sz w:val="28"/>
          <w:szCs w:val="28"/>
        </w:rPr>
        <w:t>ПОЯСНЮВАЛЬНА ЗАПИСКА</w:t>
      </w:r>
    </w:p>
    <w:p w:rsidR="004709BF" w:rsidRDefault="004709BF" w:rsidP="004709BF">
      <w:pPr>
        <w:ind w:firstLine="567"/>
        <w:jc w:val="center"/>
        <w:rPr>
          <w:rFonts w:eastAsia="Calibri"/>
          <w:b/>
          <w:color w:val="000000" w:themeColor="text1"/>
          <w:sz w:val="28"/>
          <w:szCs w:val="28"/>
          <w:lang w:eastAsia="en-US"/>
        </w:rPr>
      </w:pPr>
      <w:r>
        <w:rPr>
          <w:rFonts w:eastAsia="Calibri"/>
          <w:b/>
          <w:color w:val="000000" w:themeColor="text1"/>
          <w:sz w:val="28"/>
          <w:szCs w:val="28"/>
          <w:lang w:eastAsia="en-US"/>
        </w:rPr>
        <w:t xml:space="preserve">до проекту постанови Кабінету Міністрів України і Національного банку України «Про затвердження Методології визначення юридичною особою кінцевого </w:t>
      </w:r>
      <w:proofErr w:type="spellStart"/>
      <w:r>
        <w:rPr>
          <w:rFonts w:eastAsia="Calibri"/>
          <w:b/>
          <w:color w:val="000000" w:themeColor="text1"/>
          <w:sz w:val="28"/>
          <w:szCs w:val="28"/>
          <w:lang w:eastAsia="en-US"/>
        </w:rPr>
        <w:t>бенефіціарного</w:t>
      </w:r>
      <w:proofErr w:type="spellEnd"/>
      <w:r>
        <w:rPr>
          <w:rFonts w:eastAsia="Calibri"/>
          <w:b/>
          <w:color w:val="000000" w:themeColor="text1"/>
          <w:sz w:val="28"/>
          <w:szCs w:val="28"/>
          <w:lang w:eastAsia="en-US"/>
        </w:rPr>
        <w:t xml:space="preserve"> власника»</w:t>
      </w:r>
    </w:p>
    <w:p w:rsidR="004709BF" w:rsidRDefault="004709BF" w:rsidP="004709BF">
      <w:pPr>
        <w:ind w:firstLine="567"/>
        <w:jc w:val="center"/>
        <w:rPr>
          <w:rFonts w:eastAsia="Calibri"/>
          <w:b/>
          <w:color w:val="000000" w:themeColor="text1"/>
          <w:sz w:val="28"/>
          <w:szCs w:val="28"/>
          <w:lang w:val="ru-RU" w:eastAsia="en-US"/>
        </w:rPr>
      </w:pPr>
      <w:r>
        <w:rPr>
          <w:rFonts w:eastAsia="Calibri"/>
          <w:b/>
          <w:color w:val="000000" w:themeColor="text1"/>
          <w:sz w:val="28"/>
          <w:szCs w:val="28"/>
          <w:lang w:eastAsia="en-US"/>
        </w:rPr>
        <w:t xml:space="preserve"> </w:t>
      </w:r>
    </w:p>
    <w:p w:rsidR="004709BF" w:rsidRDefault="004709BF" w:rsidP="004709BF">
      <w:pPr>
        <w:ind w:firstLine="567"/>
        <w:rPr>
          <w:rFonts w:eastAsia="Calibri"/>
          <w:b/>
          <w:color w:val="000000" w:themeColor="text1"/>
          <w:sz w:val="28"/>
          <w:szCs w:val="28"/>
          <w:lang w:eastAsia="en-US"/>
        </w:rPr>
      </w:pPr>
      <w:r>
        <w:rPr>
          <w:b/>
          <w:bCs/>
          <w:color w:val="000000" w:themeColor="text1"/>
          <w:sz w:val="28"/>
          <w:szCs w:val="28"/>
        </w:rPr>
        <w:t>1. Мета</w:t>
      </w:r>
    </w:p>
    <w:p w:rsidR="004709BF" w:rsidRDefault="004709BF" w:rsidP="004709BF">
      <w:pPr>
        <w:ind w:firstLine="567"/>
        <w:jc w:val="both"/>
        <w:rPr>
          <w:color w:val="000000" w:themeColor="text1"/>
          <w:sz w:val="28"/>
          <w:szCs w:val="28"/>
          <w:lang w:eastAsia="uk-UA"/>
        </w:rPr>
      </w:pPr>
      <w:r>
        <w:rPr>
          <w:bCs/>
          <w:color w:val="000000" w:themeColor="text1"/>
          <w:sz w:val="28"/>
          <w:szCs w:val="28"/>
          <w:lang w:eastAsia="uk-UA"/>
        </w:rPr>
        <w:t>Проект постанови Кабінету Міністрів України</w:t>
      </w:r>
      <w:r>
        <w:rPr>
          <w:rFonts w:eastAsia="Calibri"/>
          <w:b/>
          <w:color w:val="000000" w:themeColor="text1"/>
          <w:sz w:val="28"/>
          <w:szCs w:val="28"/>
          <w:lang w:eastAsia="en-US"/>
        </w:rPr>
        <w:t xml:space="preserve"> </w:t>
      </w:r>
      <w:r>
        <w:rPr>
          <w:bCs/>
          <w:color w:val="000000" w:themeColor="text1"/>
          <w:sz w:val="28"/>
          <w:szCs w:val="28"/>
          <w:lang w:eastAsia="uk-UA"/>
        </w:rPr>
        <w:t xml:space="preserve">і Національного банку України «Про затвердження Методології визначення юридичною особою кінцевого </w:t>
      </w:r>
      <w:proofErr w:type="spellStart"/>
      <w:r>
        <w:rPr>
          <w:bCs/>
          <w:color w:val="000000" w:themeColor="text1"/>
          <w:sz w:val="28"/>
          <w:szCs w:val="28"/>
          <w:lang w:eastAsia="uk-UA"/>
        </w:rPr>
        <w:t>бенефіціарного</w:t>
      </w:r>
      <w:proofErr w:type="spellEnd"/>
      <w:r>
        <w:rPr>
          <w:bCs/>
          <w:color w:val="000000" w:themeColor="text1"/>
          <w:sz w:val="28"/>
          <w:szCs w:val="28"/>
          <w:lang w:eastAsia="uk-UA"/>
        </w:rPr>
        <w:t xml:space="preserve"> власника» (далі – проект постанови)</w:t>
      </w:r>
      <w:r>
        <w:rPr>
          <w:color w:val="000000" w:themeColor="text1"/>
          <w:sz w:val="28"/>
          <w:szCs w:val="28"/>
          <w:lang w:eastAsia="uk-UA"/>
        </w:rPr>
        <w:t xml:space="preserve"> спрямовано на забезпечення реалізації положень Закону України від 06.09.2022</w:t>
      </w:r>
      <w:r>
        <w:rPr>
          <w:color w:val="000000" w:themeColor="text1"/>
          <w:sz w:val="28"/>
          <w:szCs w:val="28"/>
        </w:rPr>
        <w:t xml:space="preserve"> </w:t>
      </w:r>
      <w:r>
        <w:rPr>
          <w:color w:val="000000" w:themeColor="text1"/>
          <w:sz w:val="28"/>
          <w:szCs w:val="28"/>
          <w:lang w:eastAsia="uk-UA"/>
        </w:rPr>
        <w:t>№</w:t>
      </w:r>
      <w:r>
        <w:rPr>
          <w:color w:val="000000" w:themeColor="text1"/>
          <w:sz w:val="28"/>
          <w:szCs w:val="28"/>
          <w:lang w:val="ru-RU" w:eastAsia="uk-UA"/>
        </w:rPr>
        <w:t> </w:t>
      </w:r>
      <w:r>
        <w:rPr>
          <w:color w:val="000000" w:themeColor="text1"/>
          <w:sz w:val="28"/>
          <w:szCs w:val="28"/>
          <w:lang w:eastAsia="uk-UA"/>
        </w:rPr>
        <w:t xml:space="preserve">2571-ІХ «Про внесення змін до деяких законів України щодо вдосконалення регулювання кінцевої </w:t>
      </w:r>
      <w:proofErr w:type="spellStart"/>
      <w:r>
        <w:rPr>
          <w:color w:val="000000" w:themeColor="text1"/>
          <w:sz w:val="28"/>
          <w:szCs w:val="28"/>
          <w:lang w:eastAsia="uk-UA"/>
        </w:rPr>
        <w:t>бенефіціарної</w:t>
      </w:r>
      <w:proofErr w:type="spellEnd"/>
      <w:r>
        <w:rPr>
          <w:color w:val="000000" w:themeColor="text1"/>
          <w:sz w:val="28"/>
          <w:szCs w:val="28"/>
          <w:lang w:eastAsia="uk-UA"/>
        </w:rPr>
        <w:t xml:space="preserve"> власності та структури власності юридичних осіб»</w:t>
      </w:r>
      <w:r>
        <w:rPr>
          <w:color w:val="000000" w:themeColor="text1"/>
          <w:sz w:val="28"/>
          <w:szCs w:val="28"/>
        </w:rPr>
        <w:t xml:space="preserve"> (далі – Закон №</w:t>
      </w:r>
      <w:r>
        <w:rPr>
          <w:color w:val="000000" w:themeColor="text1"/>
          <w:sz w:val="28"/>
          <w:szCs w:val="28"/>
          <w:lang w:val="ru-RU"/>
        </w:rPr>
        <w:t> </w:t>
      </w:r>
      <w:r>
        <w:rPr>
          <w:color w:val="000000" w:themeColor="text1"/>
          <w:sz w:val="28"/>
          <w:szCs w:val="28"/>
        </w:rPr>
        <w:t>2571)</w:t>
      </w:r>
      <w:r>
        <w:rPr>
          <w:color w:val="000000" w:themeColor="text1"/>
          <w:sz w:val="28"/>
          <w:szCs w:val="28"/>
          <w:lang w:eastAsia="uk-UA"/>
        </w:rPr>
        <w:t xml:space="preserve">. </w:t>
      </w:r>
    </w:p>
    <w:p w:rsidR="004709BF" w:rsidRDefault="004709BF" w:rsidP="004709BF">
      <w:pPr>
        <w:ind w:firstLine="567"/>
        <w:jc w:val="both"/>
        <w:rPr>
          <w:bCs/>
          <w:color w:val="000000" w:themeColor="text1"/>
          <w:sz w:val="28"/>
          <w:szCs w:val="28"/>
          <w:lang w:eastAsia="uk-UA"/>
        </w:rPr>
      </w:pPr>
    </w:p>
    <w:p w:rsidR="004709BF" w:rsidRDefault="004709BF" w:rsidP="004709BF">
      <w:pPr>
        <w:ind w:firstLine="567"/>
        <w:jc w:val="both"/>
        <w:rPr>
          <w:b/>
          <w:bCs/>
          <w:color w:val="000000" w:themeColor="text1"/>
          <w:sz w:val="28"/>
          <w:szCs w:val="28"/>
        </w:rPr>
      </w:pPr>
      <w:r>
        <w:rPr>
          <w:b/>
          <w:bCs/>
          <w:color w:val="000000" w:themeColor="text1"/>
          <w:sz w:val="28"/>
          <w:szCs w:val="28"/>
        </w:rPr>
        <w:t xml:space="preserve">2. Обґрунтування необхідності прийняття </w:t>
      </w:r>
      <w:proofErr w:type="spellStart"/>
      <w:r>
        <w:rPr>
          <w:b/>
          <w:bCs/>
          <w:color w:val="000000" w:themeColor="text1"/>
          <w:sz w:val="28"/>
          <w:szCs w:val="28"/>
        </w:rPr>
        <w:t>акта</w:t>
      </w:r>
      <w:proofErr w:type="spellEnd"/>
    </w:p>
    <w:p w:rsidR="004709BF" w:rsidRDefault="004709BF" w:rsidP="004709BF">
      <w:pPr>
        <w:widowControl w:val="0"/>
        <w:ind w:firstLine="567"/>
        <w:jc w:val="both"/>
        <w:rPr>
          <w:rFonts w:eastAsia="Calibri"/>
          <w:color w:val="000000" w:themeColor="text1"/>
          <w:sz w:val="28"/>
          <w:szCs w:val="28"/>
          <w:shd w:val="clear" w:color="auto" w:fill="FFFFFF"/>
          <w:lang w:eastAsia="en-US"/>
        </w:rPr>
      </w:pPr>
      <w:r>
        <w:rPr>
          <w:rFonts w:eastAsia="Calibri"/>
          <w:bCs/>
          <w:color w:val="000000" w:themeColor="text1"/>
          <w:sz w:val="28"/>
          <w:szCs w:val="28"/>
          <w:shd w:val="clear" w:color="auto" w:fill="FFFFFF"/>
          <w:lang w:eastAsia="uk-UA"/>
        </w:rPr>
        <w:t xml:space="preserve">Згідно з нормами </w:t>
      </w:r>
      <w:r>
        <w:rPr>
          <w:color w:val="000000" w:themeColor="text1"/>
          <w:sz w:val="28"/>
          <w:szCs w:val="28"/>
        </w:rPr>
        <w:t xml:space="preserve">Закону України від 06.12.2019 № 361-ІХ </w:t>
      </w:r>
      <w:r w:rsidRPr="00A6433E">
        <w:rPr>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color w:val="000000" w:themeColor="text1"/>
          <w:sz w:val="28"/>
          <w:szCs w:val="28"/>
        </w:rPr>
        <w:t xml:space="preserve"> (далі – Закон № 361) юридичні особи повинні мати інформацію про кінцевого </w:t>
      </w:r>
      <w:proofErr w:type="spellStart"/>
      <w:r>
        <w:rPr>
          <w:color w:val="000000" w:themeColor="text1"/>
          <w:sz w:val="28"/>
          <w:szCs w:val="28"/>
        </w:rPr>
        <w:t>бенефіціарного</w:t>
      </w:r>
      <w:proofErr w:type="spellEnd"/>
      <w:r>
        <w:rPr>
          <w:color w:val="000000" w:themeColor="text1"/>
          <w:sz w:val="28"/>
          <w:szCs w:val="28"/>
        </w:rPr>
        <w:t xml:space="preserve"> власника (далі – КБВ) та подавати інформацію про КБВ або про його відсутність для внесення до Єдиного державного реєстру юридичних осіб, фізичних осіб – підприємців та громадських формувань.</w:t>
      </w:r>
      <w:r>
        <w:rPr>
          <w:rFonts w:eastAsia="Calibri"/>
          <w:color w:val="000000" w:themeColor="text1"/>
          <w:sz w:val="28"/>
          <w:szCs w:val="28"/>
          <w:shd w:val="clear" w:color="auto" w:fill="FFFFFF"/>
          <w:lang w:eastAsia="en-US"/>
        </w:rPr>
        <w:t xml:space="preserve">  </w:t>
      </w:r>
    </w:p>
    <w:p w:rsidR="004709BF" w:rsidRDefault="004709BF" w:rsidP="004709BF">
      <w:pPr>
        <w:widowControl w:val="0"/>
        <w:ind w:firstLine="567"/>
        <w:jc w:val="both"/>
        <w:rPr>
          <w:rFonts w:eastAsia="Calibri"/>
          <w:bCs/>
          <w:color w:val="000000" w:themeColor="text1"/>
          <w:sz w:val="28"/>
          <w:szCs w:val="28"/>
          <w:shd w:val="clear" w:color="auto" w:fill="FFFFFF"/>
          <w:lang w:eastAsia="uk-UA"/>
        </w:rPr>
      </w:pPr>
      <w:r>
        <w:rPr>
          <w:color w:val="000000" w:themeColor="text1"/>
          <w:sz w:val="28"/>
          <w:szCs w:val="28"/>
        </w:rPr>
        <w:t>Юридичні особи зобов’язані підтримувати відомості про КБВ в актуальному стані та повідомляти державного реєстратора про зміни в порядку, визначеному законодавством.</w:t>
      </w:r>
    </w:p>
    <w:p w:rsidR="004709BF" w:rsidRDefault="004709BF" w:rsidP="004709BF">
      <w:pPr>
        <w:widowControl w:val="0"/>
        <w:ind w:firstLine="567"/>
        <w:jc w:val="both"/>
        <w:rPr>
          <w:rFonts w:eastAsia="Calibri"/>
          <w:bCs/>
          <w:color w:val="000000" w:themeColor="text1"/>
          <w:sz w:val="28"/>
          <w:szCs w:val="28"/>
          <w:shd w:val="clear" w:color="auto" w:fill="FFFFFF"/>
          <w:lang w:eastAsia="uk-UA"/>
        </w:rPr>
      </w:pPr>
      <w:r>
        <w:rPr>
          <w:rFonts w:eastAsia="Calibri"/>
          <w:bCs/>
          <w:color w:val="000000" w:themeColor="text1"/>
          <w:sz w:val="28"/>
          <w:szCs w:val="28"/>
          <w:shd w:val="clear" w:color="auto" w:fill="FFFFFF"/>
          <w:lang w:eastAsia="uk-UA"/>
        </w:rPr>
        <w:t xml:space="preserve">Водночас 29.12.2022 набрав чинності Закон № 2571, яким </w:t>
      </w:r>
      <w:proofErr w:type="spellStart"/>
      <w:r>
        <w:rPr>
          <w:rFonts w:eastAsia="Calibri"/>
          <w:bCs/>
          <w:color w:val="000000" w:themeColor="text1"/>
          <w:sz w:val="28"/>
          <w:szCs w:val="28"/>
          <w:shd w:val="clear" w:color="auto" w:fill="FFFFFF"/>
          <w:lang w:eastAsia="uk-UA"/>
        </w:rPr>
        <w:t>внесено</w:t>
      </w:r>
      <w:proofErr w:type="spellEnd"/>
      <w:r>
        <w:rPr>
          <w:rFonts w:eastAsia="Calibri"/>
          <w:bCs/>
          <w:color w:val="000000" w:themeColor="text1"/>
          <w:sz w:val="28"/>
          <w:szCs w:val="28"/>
          <w:shd w:val="clear" w:color="auto" w:fill="FFFFFF"/>
          <w:lang w:eastAsia="uk-UA"/>
        </w:rPr>
        <w:t xml:space="preserve"> зміни до </w:t>
      </w:r>
      <w:r>
        <w:rPr>
          <w:color w:val="000000" w:themeColor="text1"/>
          <w:sz w:val="28"/>
          <w:szCs w:val="28"/>
        </w:rPr>
        <w:t>Закону № 361, зокрема доповнено статтею 5</w:t>
      </w:r>
      <w:r>
        <w:rPr>
          <w:color w:val="000000" w:themeColor="text1"/>
          <w:sz w:val="28"/>
          <w:szCs w:val="28"/>
          <w:vertAlign w:val="superscript"/>
        </w:rPr>
        <w:t>1</w:t>
      </w:r>
      <w:r>
        <w:rPr>
          <w:color w:val="000000" w:themeColor="text1"/>
          <w:sz w:val="28"/>
          <w:szCs w:val="28"/>
        </w:rPr>
        <w:t xml:space="preserve"> «Інформація про кінцевих </w:t>
      </w:r>
      <w:proofErr w:type="spellStart"/>
      <w:r>
        <w:rPr>
          <w:color w:val="000000" w:themeColor="text1"/>
          <w:sz w:val="28"/>
          <w:szCs w:val="28"/>
        </w:rPr>
        <w:t>бенефіціарних</w:t>
      </w:r>
      <w:proofErr w:type="spellEnd"/>
      <w:r>
        <w:rPr>
          <w:color w:val="000000" w:themeColor="text1"/>
          <w:sz w:val="28"/>
          <w:szCs w:val="28"/>
        </w:rPr>
        <w:t xml:space="preserve"> власників та структуру власності».</w:t>
      </w:r>
    </w:p>
    <w:p w:rsidR="004709BF" w:rsidRDefault="004709BF" w:rsidP="004709BF">
      <w:pPr>
        <w:widowControl w:val="0"/>
        <w:ind w:firstLine="567"/>
        <w:jc w:val="both"/>
        <w:rPr>
          <w:color w:val="000000" w:themeColor="text1"/>
          <w:sz w:val="28"/>
          <w:szCs w:val="28"/>
        </w:rPr>
      </w:pPr>
      <w:r>
        <w:rPr>
          <w:color w:val="000000" w:themeColor="text1"/>
          <w:sz w:val="28"/>
          <w:szCs w:val="28"/>
        </w:rPr>
        <w:t>Абзацом четвертим частини другої статті 5</w:t>
      </w:r>
      <w:r>
        <w:rPr>
          <w:color w:val="000000" w:themeColor="text1"/>
          <w:sz w:val="28"/>
          <w:szCs w:val="28"/>
          <w:vertAlign w:val="superscript"/>
        </w:rPr>
        <w:t>1</w:t>
      </w:r>
      <w:r>
        <w:rPr>
          <w:color w:val="000000" w:themeColor="text1"/>
          <w:sz w:val="28"/>
          <w:szCs w:val="28"/>
        </w:rPr>
        <w:t xml:space="preserve"> Закону № 361 передбачено, що Методологія визначення юридичною особою кінцевого </w:t>
      </w:r>
      <w:proofErr w:type="spellStart"/>
      <w:r>
        <w:rPr>
          <w:color w:val="000000" w:themeColor="text1"/>
          <w:sz w:val="28"/>
          <w:szCs w:val="28"/>
        </w:rPr>
        <w:t>бенефіціарного</w:t>
      </w:r>
      <w:proofErr w:type="spellEnd"/>
      <w:r>
        <w:rPr>
          <w:color w:val="000000" w:themeColor="text1"/>
          <w:sz w:val="28"/>
          <w:szCs w:val="28"/>
        </w:rPr>
        <w:t xml:space="preserve"> власника (далі – Методологія) розробляється Міністерством фінансів України за результатами проведеного обговорення з громадськістю, затверджується Кабінетом Міністрів України та Національним банком України.</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Крім того, Законом № 2571 </w:t>
      </w:r>
      <w:proofErr w:type="spellStart"/>
      <w:r>
        <w:rPr>
          <w:color w:val="000000" w:themeColor="text1"/>
          <w:sz w:val="28"/>
          <w:szCs w:val="28"/>
        </w:rPr>
        <w:t>внесено</w:t>
      </w:r>
      <w:proofErr w:type="spellEnd"/>
      <w:r>
        <w:rPr>
          <w:color w:val="000000" w:themeColor="text1"/>
          <w:sz w:val="28"/>
          <w:szCs w:val="28"/>
        </w:rPr>
        <w:t xml:space="preserve"> зміни до пункту 4 розділу X «Прикінцеві та перехідні положення» Закону № 361, згідно з якими</w:t>
      </w:r>
      <w:r>
        <w:rPr>
          <w:color w:val="000000" w:themeColor="text1"/>
          <w:sz w:val="28"/>
          <w:szCs w:val="28"/>
          <w:shd w:val="clear" w:color="auto" w:fill="FFFFFF"/>
        </w:rPr>
        <w:t xml:space="preserve"> </w:t>
      </w:r>
      <w:r>
        <w:rPr>
          <w:color w:val="000000" w:themeColor="text1"/>
          <w:sz w:val="28"/>
          <w:szCs w:val="28"/>
        </w:rPr>
        <w:t>юридичні особи, зареєстровані до набрання чинності нормативно-правовими актами, якими затверджено положення про форму та зміст структури власності і методологію визначення юридичною особою КБВ, подають інформацію про КБВ протягом шести місяців з дня набрання чинності зазначеними нормативно-правовими актами, але не раніше 90 днів з дня припинення або скасування воєнного стану в Україні.</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Також пунктом 2 розділу ІІ «Прикінцеві та перехідні положення» Закону № 2571 Кабінету Міністрів України доручено забезпечити набрання чинності </w:t>
      </w:r>
      <w:r>
        <w:rPr>
          <w:color w:val="000000" w:themeColor="text1"/>
          <w:sz w:val="28"/>
          <w:szCs w:val="28"/>
        </w:rPr>
        <w:lastRenderedPageBreak/>
        <w:t>підзаконними нормативно-правовими актами, що випливають із цього Закону.</w:t>
      </w:r>
    </w:p>
    <w:p w:rsidR="004709BF" w:rsidRDefault="004709BF" w:rsidP="004709BF">
      <w:pPr>
        <w:widowControl w:val="0"/>
        <w:ind w:firstLine="567"/>
        <w:jc w:val="both"/>
        <w:rPr>
          <w:color w:val="000000" w:themeColor="text1"/>
          <w:sz w:val="28"/>
          <w:szCs w:val="28"/>
        </w:rPr>
      </w:pPr>
      <w:r>
        <w:rPr>
          <w:color w:val="000000" w:themeColor="text1"/>
          <w:sz w:val="28"/>
          <w:szCs w:val="28"/>
        </w:rPr>
        <w:t>Проект постанови поширюється на юридичних осіб приватного права, створених і зареєстрованих у встановленому законодавством України порядку, крім осіб, визначених частиною восьмою статті 5</w:t>
      </w:r>
      <w:r>
        <w:rPr>
          <w:color w:val="000000" w:themeColor="text1"/>
          <w:sz w:val="28"/>
          <w:szCs w:val="28"/>
          <w:vertAlign w:val="superscript"/>
        </w:rPr>
        <w:t>1</w:t>
      </w:r>
      <w:r>
        <w:rPr>
          <w:color w:val="000000" w:themeColor="text1"/>
          <w:sz w:val="28"/>
          <w:szCs w:val="28"/>
        </w:rPr>
        <w:t xml:space="preserve"> Закону № 361.</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Слід зазначити, що відповідно до оновленого Керівництва Групи з розробки фінансових заходів боротьби з відмиванням грошей та фінансуванням тероризму (FATF) щодо </w:t>
      </w:r>
      <w:proofErr w:type="spellStart"/>
      <w:r>
        <w:rPr>
          <w:color w:val="000000" w:themeColor="text1"/>
          <w:sz w:val="28"/>
          <w:szCs w:val="28"/>
        </w:rPr>
        <w:t>бенефіціарної</w:t>
      </w:r>
      <w:proofErr w:type="spellEnd"/>
      <w:r>
        <w:rPr>
          <w:color w:val="000000" w:themeColor="text1"/>
          <w:sz w:val="28"/>
          <w:szCs w:val="28"/>
        </w:rPr>
        <w:t xml:space="preserve"> власності юридичних осіб, прийнятого на Пленарному засіданні FATF у лютому 2023 року, визначення КБВ має здійснюватися з урахуванням виду юридичних осіб, особливостей нормативно-правового регулювання створення, державної реєстрації, провадження діяльності, структури власності та способів здійснення контролю над юридичною особою. </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Для забезпечення відповідності національного законодавства у сфері боротьби з відмиванням грошей стандартам FATF виникла необхідність </w:t>
      </w:r>
      <w:proofErr w:type="spellStart"/>
      <w:r>
        <w:rPr>
          <w:color w:val="000000" w:themeColor="text1"/>
          <w:sz w:val="28"/>
          <w:szCs w:val="28"/>
        </w:rPr>
        <w:t>імплементувати</w:t>
      </w:r>
      <w:proofErr w:type="spellEnd"/>
      <w:r>
        <w:rPr>
          <w:color w:val="000000" w:themeColor="text1"/>
          <w:sz w:val="28"/>
          <w:szCs w:val="28"/>
        </w:rPr>
        <w:t xml:space="preserve"> до законодавства України вимоги двадцять четвертої рекомендації FATF «Прозорість та </w:t>
      </w:r>
      <w:proofErr w:type="spellStart"/>
      <w:r>
        <w:rPr>
          <w:color w:val="000000" w:themeColor="text1"/>
          <w:sz w:val="28"/>
          <w:szCs w:val="28"/>
        </w:rPr>
        <w:t>бенефіціарна</w:t>
      </w:r>
      <w:proofErr w:type="spellEnd"/>
      <w:r>
        <w:rPr>
          <w:color w:val="000000" w:themeColor="text1"/>
          <w:sz w:val="28"/>
          <w:szCs w:val="28"/>
        </w:rPr>
        <w:t xml:space="preserve"> власність юридичних осіб» та двадцять п’ятої рекомендації FATF «Прозорість та </w:t>
      </w:r>
      <w:proofErr w:type="spellStart"/>
      <w:r>
        <w:rPr>
          <w:color w:val="000000" w:themeColor="text1"/>
          <w:sz w:val="28"/>
          <w:szCs w:val="28"/>
        </w:rPr>
        <w:t>бенефіціарна</w:t>
      </w:r>
      <w:proofErr w:type="spellEnd"/>
      <w:r>
        <w:rPr>
          <w:color w:val="000000" w:themeColor="text1"/>
          <w:sz w:val="28"/>
          <w:szCs w:val="28"/>
        </w:rPr>
        <w:t xml:space="preserve"> власність правових утворень», якими, зокрема, передбачено зобов’язати країни мати адекватну, точну та своєчасну інформацію про </w:t>
      </w:r>
      <w:proofErr w:type="spellStart"/>
      <w:r>
        <w:rPr>
          <w:color w:val="000000" w:themeColor="text1"/>
          <w:sz w:val="28"/>
          <w:szCs w:val="28"/>
        </w:rPr>
        <w:t>бенефіціарну</w:t>
      </w:r>
      <w:proofErr w:type="spellEnd"/>
      <w:r>
        <w:rPr>
          <w:color w:val="000000" w:themeColor="text1"/>
          <w:sz w:val="28"/>
          <w:szCs w:val="28"/>
        </w:rPr>
        <w:t xml:space="preserve"> власність, яку або доступ до якої можуть </w:t>
      </w:r>
      <w:proofErr w:type="spellStart"/>
      <w:r>
        <w:rPr>
          <w:color w:val="000000" w:themeColor="text1"/>
          <w:sz w:val="28"/>
          <w:szCs w:val="28"/>
        </w:rPr>
        <w:t>оперативно</w:t>
      </w:r>
      <w:proofErr w:type="spellEnd"/>
      <w:r>
        <w:rPr>
          <w:color w:val="000000" w:themeColor="text1"/>
          <w:sz w:val="28"/>
          <w:szCs w:val="28"/>
        </w:rPr>
        <w:t xml:space="preserve"> отримати компетентні органи.</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Водночас запровадження ефективної процедури розкриття юридичними особами інформації про КБВ та структуру власності є складовою міжнародних зобов’язань України, зокрема щодо гармонізації національного законодавства з вимогами Директиви Європейського Парламенту і Ради (ЄС) 2015/849 </w:t>
      </w:r>
      <w:r>
        <w:rPr>
          <w:color w:val="000000" w:themeColor="text1"/>
          <w:sz w:val="28"/>
          <w:szCs w:val="28"/>
        </w:rPr>
        <w:br/>
        <w:t xml:space="preserve">від 20 травня 2015 року «Про запобігання використанню фінансової системи для цілей відмивання грошей або фінансування тероризму, про внесення змін до Регламенту Європейського Парламенту і Ради (ЄС) № 648/2012 та про скасування Директиви Європейського Парламенту і Ради 2005/60/ЄС та Директиви Комісії 2006/70/ЄС» (далі – Директива (ЄС) 2015/849), двадцять четвертої </w:t>
      </w:r>
      <w:r>
        <w:rPr>
          <w:bCs/>
          <w:color w:val="000000" w:themeColor="text1"/>
          <w:sz w:val="28"/>
          <w:szCs w:val="28"/>
        </w:rPr>
        <w:t xml:space="preserve">та двадцять п’ятої </w:t>
      </w:r>
      <w:r>
        <w:rPr>
          <w:color w:val="000000" w:themeColor="text1"/>
          <w:sz w:val="28"/>
          <w:szCs w:val="28"/>
        </w:rPr>
        <w:t>рекомендацій FATF, а також рекомендацією Висновку Європейської Комісії щодо заявки України на членство в Європейському Союзі стосовно забезпечення відповідності законодавства у сфері боротьби з відмиванням грошей стандартам FATF.</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Також згідно з Планом-графіком виконання Україною Меморандуму про взаєморозуміння між Україною як Позичальником та ЄС як Кредитором щодо Інструменту надання підтримки Україні на 2023 рік (макрофінансова допомога +) на суму до 18 мільярдів євро, підписаного 16.01.2023, передбачено зобов’язання щодо удосконалення нормативно-правової бази у сфері протидії відмиванню коштів та фінансуванню тероризму шляхом розробки відповідного вторинного законодавства та досягнення прогресу в розвитку інституційної спроможності щодо </w:t>
      </w:r>
      <w:proofErr w:type="spellStart"/>
      <w:r>
        <w:rPr>
          <w:color w:val="000000" w:themeColor="text1"/>
          <w:sz w:val="28"/>
          <w:szCs w:val="28"/>
        </w:rPr>
        <w:t>бенефіціарної</w:t>
      </w:r>
      <w:proofErr w:type="spellEnd"/>
      <w:r>
        <w:rPr>
          <w:color w:val="000000" w:themeColor="text1"/>
          <w:sz w:val="28"/>
          <w:szCs w:val="28"/>
        </w:rPr>
        <w:t xml:space="preserve"> власності.</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З огляду на зазначене, виникла необхідність розробити та затвердити </w:t>
      </w:r>
      <w:r>
        <w:rPr>
          <w:bCs/>
          <w:color w:val="000000" w:themeColor="text1"/>
          <w:sz w:val="28"/>
          <w:szCs w:val="28"/>
        </w:rPr>
        <w:t xml:space="preserve">постанову Кабінету Міністрів України і Національного банку України «Про </w:t>
      </w:r>
      <w:r>
        <w:rPr>
          <w:bCs/>
          <w:color w:val="000000" w:themeColor="text1"/>
          <w:sz w:val="28"/>
          <w:szCs w:val="28"/>
        </w:rPr>
        <w:lastRenderedPageBreak/>
        <w:t xml:space="preserve">затвердження Методології визначення юридичною особою кінцевого </w:t>
      </w:r>
      <w:proofErr w:type="spellStart"/>
      <w:r>
        <w:rPr>
          <w:bCs/>
          <w:color w:val="000000" w:themeColor="text1"/>
          <w:sz w:val="28"/>
          <w:szCs w:val="28"/>
        </w:rPr>
        <w:t>бенефіціарного</w:t>
      </w:r>
      <w:proofErr w:type="spellEnd"/>
      <w:r>
        <w:rPr>
          <w:bCs/>
          <w:color w:val="000000" w:themeColor="text1"/>
          <w:sz w:val="28"/>
          <w:szCs w:val="28"/>
        </w:rPr>
        <w:t xml:space="preserve"> власника».</w:t>
      </w:r>
      <w:r>
        <w:rPr>
          <w:color w:val="000000" w:themeColor="text1"/>
          <w:sz w:val="28"/>
          <w:szCs w:val="28"/>
        </w:rPr>
        <w:t xml:space="preserve"> </w:t>
      </w:r>
    </w:p>
    <w:p w:rsidR="004709BF" w:rsidRDefault="004709BF" w:rsidP="004709BF">
      <w:pPr>
        <w:widowControl w:val="0"/>
        <w:ind w:firstLine="567"/>
        <w:jc w:val="both"/>
        <w:rPr>
          <w:color w:val="000000" w:themeColor="text1"/>
          <w:sz w:val="28"/>
          <w:szCs w:val="28"/>
        </w:rPr>
      </w:pPr>
      <w:r>
        <w:rPr>
          <w:color w:val="000000" w:themeColor="text1"/>
          <w:sz w:val="28"/>
          <w:szCs w:val="28"/>
        </w:rPr>
        <w:t>З метою удосконалення процесу визначення юридичними особами КБВ та виконання норми статті 5</w:t>
      </w:r>
      <w:r>
        <w:rPr>
          <w:color w:val="000000" w:themeColor="text1"/>
          <w:sz w:val="28"/>
          <w:szCs w:val="28"/>
          <w:vertAlign w:val="superscript"/>
        </w:rPr>
        <w:t>1</w:t>
      </w:r>
      <w:r>
        <w:rPr>
          <w:color w:val="000000" w:themeColor="text1"/>
          <w:sz w:val="28"/>
          <w:szCs w:val="28"/>
        </w:rPr>
        <w:t xml:space="preserve"> Закону № 361 у частині обговорення положень проекту Методології з громадськістю при Міністерстві фінансів України було утворено робочу групу з розробки проекту Методології (наказ Мінфіну від 14.04.2023 № 192), до складу якої увійшли представники державних органів (Національного банку, НКЦПФР, Мін’юсту, </w:t>
      </w:r>
      <w:proofErr w:type="spellStart"/>
      <w:r>
        <w:rPr>
          <w:color w:val="000000" w:themeColor="text1"/>
          <w:sz w:val="28"/>
          <w:szCs w:val="28"/>
        </w:rPr>
        <w:t>Мінцифри</w:t>
      </w:r>
      <w:proofErr w:type="spellEnd"/>
      <w:r>
        <w:rPr>
          <w:color w:val="000000" w:themeColor="text1"/>
          <w:sz w:val="28"/>
          <w:szCs w:val="28"/>
        </w:rPr>
        <w:t xml:space="preserve">, </w:t>
      </w:r>
      <w:proofErr w:type="spellStart"/>
      <w:r>
        <w:rPr>
          <w:color w:val="000000" w:themeColor="text1"/>
          <w:sz w:val="28"/>
          <w:szCs w:val="28"/>
        </w:rPr>
        <w:t>Держфінмоніторингу</w:t>
      </w:r>
      <w:proofErr w:type="spellEnd"/>
      <w:r>
        <w:rPr>
          <w:color w:val="000000" w:themeColor="text1"/>
          <w:sz w:val="28"/>
          <w:szCs w:val="28"/>
        </w:rPr>
        <w:t xml:space="preserve">), громадськості (представники Незалежної асоціації банків України, громадської організації «Ініціативний центр сприяння активності та розвитку громадського почину «Єднання», </w:t>
      </w:r>
      <w:proofErr w:type="spellStart"/>
      <w:r>
        <w:rPr>
          <w:color w:val="000000" w:themeColor="text1"/>
          <w:sz w:val="28"/>
          <w:szCs w:val="28"/>
        </w:rPr>
        <w:t>саморегулівної</w:t>
      </w:r>
      <w:proofErr w:type="spellEnd"/>
      <w:r>
        <w:rPr>
          <w:color w:val="000000" w:themeColor="text1"/>
          <w:sz w:val="28"/>
          <w:szCs w:val="28"/>
        </w:rPr>
        <w:t xml:space="preserve"> організації «Українська асоціація інвестиційного бізнесу», </w:t>
      </w:r>
      <w:proofErr w:type="spellStart"/>
      <w:r>
        <w:rPr>
          <w:color w:val="000000" w:themeColor="text1"/>
          <w:sz w:val="28"/>
          <w:szCs w:val="28"/>
        </w:rPr>
        <w:t>саморегулівної</w:t>
      </w:r>
      <w:proofErr w:type="spellEnd"/>
      <w:r>
        <w:rPr>
          <w:color w:val="000000" w:themeColor="text1"/>
          <w:sz w:val="28"/>
          <w:szCs w:val="28"/>
        </w:rPr>
        <w:t xml:space="preserve"> організації «Інші об’єднання юридичних осіб Ліга страхових організацій України», громадської спілки «Професійна асоціація корпоративного управління», громадської організації «Центр демократії та верховенства права» та інші), фахівці у галузі господарського та корпоративного права.</w:t>
      </w:r>
    </w:p>
    <w:p w:rsidR="004709BF" w:rsidRDefault="004709BF" w:rsidP="004709BF">
      <w:pPr>
        <w:widowControl w:val="0"/>
        <w:ind w:firstLine="567"/>
        <w:jc w:val="both"/>
        <w:rPr>
          <w:color w:val="000000" w:themeColor="text1"/>
          <w:sz w:val="28"/>
          <w:szCs w:val="28"/>
        </w:rPr>
      </w:pPr>
      <w:r>
        <w:rPr>
          <w:bCs/>
          <w:color w:val="000000" w:themeColor="text1"/>
          <w:sz w:val="28"/>
          <w:szCs w:val="28"/>
        </w:rPr>
        <w:t>Водночас за сприяння проекту «Посилення режиму боротьби з відмиванням коштів, фінансуванням тероризму та повернення активів», який реалізується в рамках спільної програми Європейського Союзу та Ради Європи «Партнерство заради належного врядування» (2023–2027), до розробки проекту постанови додатково залучались міжнародні експерти, які надавали Мінфіну консультації та відповідні висновки щодо відповідності проекту постанови вимогам двадцять четвертої, двадцять п’ятої рекомендацій FATF та</w:t>
      </w:r>
      <w:r>
        <w:rPr>
          <w:color w:val="000000" w:themeColor="text1"/>
          <w:sz w:val="28"/>
          <w:szCs w:val="28"/>
        </w:rPr>
        <w:t xml:space="preserve"> </w:t>
      </w:r>
      <w:r>
        <w:rPr>
          <w:bCs/>
          <w:color w:val="000000" w:themeColor="text1"/>
          <w:sz w:val="28"/>
          <w:szCs w:val="28"/>
        </w:rPr>
        <w:t>Директиви (ЄС) 2015/849.</w:t>
      </w:r>
    </w:p>
    <w:p w:rsidR="004709BF" w:rsidRDefault="004709BF" w:rsidP="004709BF">
      <w:pPr>
        <w:widowControl w:val="0"/>
        <w:ind w:firstLine="567"/>
        <w:jc w:val="both"/>
        <w:rPr>
          <w:color w:val="000000" w:themeColor="text1"/>
          <w:sz w:val="28"/>
          <w:szCs w:val="28"/>
        </w:rPr>
      </w:pPr>
      <w:r>
        <w:rPr>
          <w:color w:val="000000" w:themeColor="text1"/>
          <w:sz w:val="28"/>
          <w:szCs w:val="28"/>
        </w:rPr>
        <w:t xml:space="preserve">На засіданнях робочої групи, проведених 20.06.2023, 28.07.2023, 04.09.2023, опрацьовано зауваження та пропозиції, надані учасниками групи, обговорено способи їх врахування. Водночас опрацьовано надані пропозиції учасника робочої групи – експерта Програми з управління державними фінансами в Україні EU4FM, вироблені за результатом зауважень Звіту партнерської оцінки Глобального форуму ОЕСР з питань прозорості та обміну інформацією для податкових цілей, щодо особливостей визначення кінцевого </w:t>
      </w:r>
      <w:proofErr w:type="spellStart"/>
      <w:r>
        <w:rPr>
          <w:color w:val="000000" w:themeColor="text1"/>
          <w:sz w:val="28"/>
          <w:szCs w:val="28"/>
        </w:rPr>
        <w:t>бенефіціарного</w:t>
      </w:r>
      <w:proofErr w:type="spellEnd"/>
      <w:r>
        <w:rPr>
          <w:color w:val="000000" w:themeColor="text1"/>
          <w:sz w:val="28"/>
          <w:szCs w:val="28"/>
        </w:rPr>
        <w:t xml:space="preserve"> власника партнерством, створеним відповідно до законодавства іноземної юрисдикції на підставі або відповідно до договору для ведення діяльності з метою отримання прибутку або досягнення іншої спільної мети, повним та командитним товариством.</w:t>
      </w:r>
    </w:p>
    <w:p w:rsidR="004709BF" w:rsidRDefault="004709BF" w:rsidP="004709BF">
      <w:pPr>
        <w:pStyle w:val="StyleZakonu"/>
        <w:spacing w:after="0" w:line="240" w:lineRule="auto"/>
        <w:ind w:firstLine="567"/>
        <w:rPr>
          <w:b/>
          <w:bCs/>
          <w:color w:val="000000" w:themeColor="text1"/>
          <w:sz w:val="28"/>
          <w:szCs w:val="28"/>
        </w:rPr>
      </w:pPr>
    </w:p>
    <w:p w:rsidR="004709BF" w:rsidRDefault="004709BF" w:rsidP="004709BF">
      <w:pPr>
        <w:pStyle w:val="StyleZakonu"/>
        <w:spacing w:after="0" w:line="240" w:lineRule="auto"/>
        <w:ind w:firstLine="567"/>
        <w:rPr>
          <w:b/>
          <w:bCs/>
          <w:color w:val="000000" w:themeColor="text1"/>
          <w:sz w:val="28"/>
          <w:szCs w:val="28"/>
        </w:rPr>
      </w:pPr>
      <w:r>
        <w:rPr>
          <w:b/>
          <w:bCs/>
          <w:color w:val="000000" w:themeColor="text1"/>
          <w:sz w:val="28"/>
          <w:szCs w:val="28"/>
        </w:rPr>
        <w:t xml:space="preserve">3. Основні положення проекту </w:t>
      </w:r>
      <w:proofErr w:type="spellStart"/>
      <w:r>
        <w:rPr>
          <w:b/>
          <w:bCs/>
          <w:color w:val="000000" w:themeColor="text1"/>
          <w:sz w:val="28"/>
          <w:szCs w:val="28"/>
        </w:rPr>
        <w:t>акта</w:t>
      </w:r>
      <w:proofErr w:type="spellEnd"/>
    </w:p>
    <w:p w:rsidR="004709BF" w:rsidRDefault="004709BF" w:rsidP="004709BF">
      <w:pPr>
        <w:ind w:firstLine="567"/>
        <w:jc w:val="both"/>
        <w:rPr>
          <w:color w:val="000000" w:themeColor="text1"/>
          <w:sz w:val="28"/>
          <w:szCs w:val="28"/>
          <w:lang w:eastAsia="en-US"/>
        </w:rPr>
      </w:pPr>
      <w:r>
        <w:rPr>
          <w:color w:val="000000" w:themeColor="text1"/>
          <w:sz w:val="28"/>
          <w:szCs w:val="28"/>
          <w:lang w:eastAsia="en-US"/>
        </w:rPr>
        <w:t>Проектом постанови закріплюються механізми дослідження інформації про фізичних осіб, які здійснюють вирішальний вплив на діяльність юридичної особи та визначення КБВ, які дозволять створити ефективну систему у сфері розкриття інформації про КБВ та удосконалити процес визначення юридичними особами КБВ.</w:t>
      </w:r>
    </w:p>
    <w:p w:rsidR="004709BF" w:rsidRDefault="004709BF" w:rsidP="004709BF">
      <w:pPr>
        <w:ind w:firstLine="567"/>
        <w:jc w:val="both"/>
        <w:rPr>
          <w:color w:val="000000" w:themeColor="text1"/>
          <w:sz w:val="28"/>
          <w:szCs w:val="28"/>
          <w:lang w:eastAsia="en-US"/>
        </w:rPr>
      </w:pPr>
      <w:r>
        <w:rPr>
          <w:color w:val="000000" w:themeColor="text1"/>
          <w:sz w:val="28"/>
          <w:szCs w:val="28"/>
          <w:lang w:eastAsia="en-US"/>
        </w:rPr>
        <w:t>Водночас проектом постанови визначаються методи, способи, шляхи з</w:t>
      </w:r>
      <w:r>
        <w:rPr>
          <w:color w:val="000000" w:themeColor="text1"/>
          <w:sz w:val="28"/>
          <w:szCs w:val="28"/>
          <w:lang w:val="ru-RU" w:eastAsia="en-US"/>
        </w:rPr>
        <w:t>’</w:t>
      </w:r>
      <w:proofErr w:type="spellStart"/>
      <w:r>
        <w:rPr>
          <w:color w:val="000000" w:themeColor="text1"/>
          <w:sz w:val="28"/>
          <w:szCs w:val="28"/>
          <w:lang w:val="ru-RU" w:eastAsia="en-US"/>
        </w:rPr>
        <w:t>ясування</w:t>
      </w:r>
      <w:proofErr w:type="spellEnd"/>
      <w:r>
        <w:rPr>
          <w:color w:val="000000" w:themeColor="text1"/>
          <w:sz w:val="28"/>
          <w:szCs w:val="28"/>
          <w:lang w:val="ru-RU" w:eastAsia="en-US"/>
        </w:rPr>
        <w:t xml:space="preserve"> </w:t>
      </w:r>
      <w:r>
        <w:rPr>
          <w:color w:val="000000" w:themeColor="text1"/>
          <w:sz w:val="28"/>
          <w:szCs w:val="28"/>
          <w:lang w:eastAsia="en-US"/>
        </w:rPr>
        <w:t xml:space="preserve">інформації на наявність ознак вирішального впливу на діяльність </w:t>
      </w:r>
      <w:r>
        <w:rPr>
          <w:color w:val="000000" w:themeColor="text1"/>
          <w:sz w:val="28"/>
          <w:szCs w:val="28"/>
          <w:lang w:eastAsia="en-US"/>
        </w:rPr>
        <w:lastRenderedPageBreak/>
        <w:t>юридичної особи, принципи процесу визначення юридичною особою КБВ, проведення моніторингу та актуалізації (оновлення) інформації про КБВ.</w:t>
      </w:r>
    </w:p>
    <w:p w:rsidR="004709BF" w:rsidRDefault="004709BF" w:rsidP="004709BF">
      <w:pPr>
        <w:ind w:firstLine="567"/>
        <w:jc w:val="both"/>
        <w:rPr>
          <w:color w:val="000000" w:themeColor="text1"/>
          <w:sz w:val="28"/>
          <w:szCs w:val="28"/>
        </w:rPr>
      </w:pPr>
      <w:r>
        <w:rPr>
          <w:color w:val="000000" w:themeColor="text1"/>
          <w:sz w:val="28"/>
          <w:szCs w:val="28"/>
          <w:lang w:eastAsia="en-US"/>
        </w:rPr>
        <w:t xml:space="preserve">Крім того, нормами проекту постанови передбачено особливості визначення КБВ для неприбуткових організацій, інститутів спільного інвестування – корпоративного, пайового інвестиційного та недержавного пенсійного фонду, </w:t>
      </w:r>
      <w:r>
        <w:rPr>
          <w:color w:val="000000" w:themeColor="text1"/>
          <w:sz w:val="28"/>
          <w:szCs w:val="28"/>
        </w:rPr>
        <w:t>партнерства, створеного відповідно до законодавства іноземної юрисдикції на підставі або відповідно до договору для ведення діяльності з метою отримання прибутку або досягнення іншої спільної мети, повного та командитного товариства.</w:t>
      </w:r>
    </w:p>
    <w:p w:rsidR="004709BF" w:rsidRDefault="004709BF" w:rsidP="004709BF">
      <w:pPr>
        <w:ind w:firstLine="567"/>
        <w:jc w:val="both"/>
        <w:rPr>
          <w:color w:val="000000" w:themeColor="text1"/>
          <w:sz w:val="28"/>
          <w:szCs w:val="28"/>
          <w:lang w:eastAsia="en-US"/>
        </w:rPr>
      </w:pPr>
    </w:p>
    <w:p w:rsidR="004709BF" w:rsidRDefault="004709BF" w:rsidP="004709BF">
      <w:pPr>
        <w:ind w:firstLine="567"/>
        <w:jc w:val="both"/>
        <w:rPr>
          <w:color w:val="000000" w:themeColor="text1"/>
          <w:sz w:val="28"/>
          <w:szCs w:val="28"/>
          <w:lang w:eastAsia="en-US"/>
        </w:rPr>
      </w:pPr>
      <w:r>
        <w:rPr>
          <w:b/>
          <w:color w:val="000000" w:themeColor="text1"/>
          <w:sz w:val="28"/>
          <w:szCs w:val="28"/>
        </w:rPr>
        <w:t>4. Правові аспекти</w:t>
      </w:r>
    </w:p>
    <w:p w:rsidR="004709BF" w:rsidRDefault="004709BF" w:rsidP="004709BF">
      <w:pPr>
        <w:tabs>
          <w:tab w:val="left" w:pos="993"/>
        </w:tabs>
        <w:ind w:firstLine="567"/>
        <w:jc w:val="both"/>
        <w:rPr>
          <w:color w:val="000000" w:themeColor="text1"/>
          <w:sz w:val="28"/>
          <w:szCs w:val="28"/>
        </w:rPr>
      </w:pPr>
      <w:r>
        <w:rPr>
          <w:color w:val="000000" w:themeColor="text1"/>
          <w:sz w:val="28"/>
          <w:szCs w:val="28"/>
        </w:rPr>
        <w:t>Нормативно-правовими актами, що діють у відповідній сфері суспільних відносин, є: Директива (ЄС) 2015/849,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ратифікована Законом України від 16.09.2014 № 1678-VII, Закони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державну реєстрацію юридичних осіб, фізичних осіб – підприємців та громадських формувань».</w:t>
      </w:r>
    </w:p>
    <w:p w:rsidR="004709BF" w:rsidRDefault="004709BF" w:rsidP="004709BF">
      <w:pPr>
        <w:tabs>
          <w:tab w:val="left" w:pos="993"/>
        </w:tabs>
        <w:ind w:firstLine="567"/>
        <w:jc w:val="both"/>
        <w:rPr>
          <w:color w:val="000000" w:themeColor="text1"/>
          <w:sz w:val="28"/>
          <w:szCs w:val="28"/>
        </w:rPr>
      </w:pPr>
    </w:p>
    <w:p w:rsidR="004709BF" w:rsidRDefault="004709BF" w:rsidP="004709BF">
      <w:pPr>
        <w:tabs>
          <w:tab w:val="left" w:pos="993"/>
        </w:tabs>
        <w:ind w:firstLine="567"/>
        <w:jc w:val="both"/>
        <w:rPr>
          <w:color w:val="000000" w:themeColor="text1"/>
          <w:sz w:val="28"/>
          <w:szCs w:val="28"/>
        </w:rPr>
      </w:pPr>
      <w:r>
        <w:rPr>
          <w:b/>
          <w:color w:val="000000" w:themeColor="text1"/>
          <w:sz w:val="28"/>
          <w:szCs w:val="28"/>
        </w:rPr>
        <w:t>5. Фінансово-економічне обґрунтування</w:t>
      </w:r>
    </w:p>
    <w:p w:rsidR="004709BF" w:rsidRDefault="004709BF" w:rsidP="004709BF">
      <w:pPr>
        <w:tabs>
          <w:tab w:val="left" w:pos="993"/>
        </w:tabs>
        <w:ind w:firstLine="567"/>
        <w:jc w:val="both"/>
        <w:rPr>
          <w:color w:val="000000" w:themeColor="text1"/>
          <w:sz w:val="28"/>
          <w:szCs w:val="28"/>
        </w:rPr>
      </w:pPr>
      <w:r>
        <w:rPr>
          <w:color w:val="000000" w:themeColor="text1"/>
          <w:sz w:val="28"/>
          <w:szCs w:val="28"/>
        </w:rPr>
        <w:t>Реалізація положень постанови не потребуватиме додаткових витрат з Державного бюджету України та місцевих бюджетів.</w:t>
      </w:r>
    </w:p>
    <w:p w:rsidR="004709BF" w:rsidRDefault="004709BF" w:rsidP="004709BF">
      <w:pPr>
        <w:tabs>
          <w:tab w:val="left" w:pos="993"/>
        </w:tabs>
        <w:ind w:firstLine="567"/>
        <w:jc w:val="both"/>
        <w:rPr>
          <w:color w:val="000000" w:themeColor="text1"/>
          <w:sz w:val="28"/>
          <w:szCs w:val="28"/>
        </w:rPr>
      </w:pPr>
    </w:p>
    <w:p w:rsidR="004709BF" w:rsidRDefault="004709BF" w:rsidP="004709BF">
      <w:pPr>
        <w:tabs>
          <w:tab w:val="left" w:pos="993"/>
        </w:tabs>
        <w:ind w:firstLine="567"/>
        <w:jc w:val="both"/>
        <w:rPr>
          <w:color w:val="000000" w:themeColor="text1"/>
          <w:sz w:val="28"/>
          <w:szCs w:val="28"/>
        </w:rPr>
      </w:pPr>
      <w:r>
        <w:rPr>
          <w:b/>
          <w:color w:val="000000" w:themeColor="text1"/>
          <w:sz w:val="28"/>
          <w:szCs w:val="28"/>
        </w:rPr>
        <w:t>6. Позиція заінтересованих сторін</w:t>
      </w:r>
    </w:p>
    <w:p w:rsidR="004709BF" w:rsidRDefault="004709BF" w:rsidP="004709BF">
      <w:pPr>
        <w:ind w:firstLine="567"/>
        <w:jc w:val="both"/>
        <w:rPr>
          <w:color w:val="000000" w:themeColor="text1"/>
          <w:sz w:val="28"/>
          <w:szCs w:val="28"/>
          <w:lang w:eastAsia="uk-UA"/>
        </w:rPr>
      </w:pPr>
      <w:r>
        <w:rPr>
          <w:color w:val="000000" w:themeColor="text1"/>
          <w:sz w:val="28"/>
          <w:szCs w:val="28"/>
          <w:lang w:eastAsia="uk-UA"/>
        </w:rPr>
        <w:t>Проект постанови потребує погодження з Міністерством цифрової трансформації України, Міністерством економіки України, Національним банком України, Національною комісією з цінних паперів та фондового ринку, Державною службою фінансового моніторингу України, а також проведення правової експертизи Міністерством юстиції України.</w:t>
      </w:r>
    </w:p>
    <w:p w:rsidR="004709BF" w:rsidRDefault="004709BF" w:rsidP="004709BF">
      <w:pPr>
        <w:ind w:firstLine="567"/>
        <w:jc w:val="both"/>
        <w:rPr>
          <w:color w:val="000000" w:themeColor="text1"/>
          <w:sz w:val="28"/>
          <w:szCs w:val="28"/>
          <w:lang w:eastAsia="uk-UA"/>
        </w:rPr>
      </w:pPr>
      <w:r>
        <w:rPr>
          <w:color w:val="000000" w:themeColor="text1"/>
          <w:sz w:val="28"/>
          <w:szCs w:val="28"/>
          <w:lang w:eastAsia="uk-UA"/>
        </w:rPr>
        <w:t>Водночас зазначаємо, що нормами частини першої статті 4 Господарського кодексу України (розмежування відносин у сфері господарювання з іншими видами відносин) встановлено, що не є предметом регулювання цього Кодексу відносини за участю суб’єктів господарювання, що виникають у процесі виконання вимог законодавства, яке регулює відносини у сфері запобігання та протидії. Зазначені норми Господарського кодексу України відокремлюють суспільні правовідносини у сфері запобігання та протидії від господарських правовідносин.</w:t>
      </w:r>
    </w:p>
    <w:p w:rsidR="004709BF" w:rsidRDefault="004709BF" w:rsidP="004709BF">
      <w:pPr>
        <w:ind w:firstLine="567"/>
        <w:jc w:val="both"/>
        <w:rPr>
          <w:color w:val="000000" w:themeColor="text1"/>
          <w:sz w:val="28"/>
          <w:szCs w:val="28"/>
        </w:rPr>
      </w:pPr>
      <w:r>
        <w:rPr>
          <w:color w:val="000000" w:themeColor="text1"/>
          <w:sz w:val="28"/>
          <w:szCs w:val="28"/>
        </w:rPr>
        <w:t xml:space="preserve">Крім того, проект постанови має положення, що є складовою міжнародних зобов’язань України у сфері європейської інтеграції, зокрема щодо забезпечення відповідності національного законодавства стандартам FATF, імплементацію яких передбачено статтею 20 Угоди про асоціацію між Україною, з однієї </w:t>
      </w:r>
      <w:r>
        <w:rPr>
          <w:color w:val="000000" w:themeColor="text1"/>
          <w:sz w:val="28"/>
          <w:szCs w:val="28"/>
        </w:rPr>
        <w:lastRenderedPageBreak/>
        <w:t>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16.09.2014 № 1678-VII.</w:t>
      </w:r>
    </w:p>
    <w:p w:rsidR="004709BF" w:rsidRDefault="004709BF" w:rsidP="004709BF">
      <w:pPr>
        <w:ind w:firstLine="567"/>
        <w:jc w:val="both"/>
        <w:rPr>
          <w:bCs/>
          <w:color w:val="000000" w:themeColor="text1"/>
          <w:sz w:val="28"/>
          <w:szCs w:val="28"/>
        </w:rPr>
      </w:pPr>
      <w:r>
        <w:rPr>
          <w:color w:val="000000" w:themeColor="text1"/>
          <w:sz w:val="28"/>
          <w:szCs w:val="28"/>
        </w:rPr>
        <w:t>Разом з тим звертаємо увагу, що відповідно до статті 3 Закону України від 11.09.2003 № </w:t>
      </w:r>
      <w:r>
        <w:rPr>
          <w:bCs/>
          <w:color w:val="000000" w:themeColor="text1"/>
          <w:sz w:val="28"/>
          <w:szCs w:val="28"/>
        </w:rPr>
        <w:t>1160-IV</w:t>
      </w:r>
      <w:r>
        <w:rPr>
          <w:color w:val="000000" w:themeColor="text1"/>
          <w:sz w:val="28"/>
          <w:szCs w:val="28"/>
        </w:rPr>
        <w:t xml:space="preserve"> «</w:t>
      </w:r>
      <w:r>
        <w:rPr>
          <w:bCs/>
          <w:color w:val="000000" w:themeColor="text1"/>
          <w:sz w:val="28"/>
          <w:szCs w:val="28"/>
        </w:rPr>
        <w:t>Про засади державної регуляторної політики у сфері господарської діяльності» дія Закону № 1160 не поширюється на здійснення регуляторної діяльності, пов’язаної з прийняттям нормативно-правових актів, що містять положення, спрямовані на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у тому числі додатків до неї.</w:t>
      </w:r>
    </w:p>
    <w:p w:rsidR="004709BF" w:rsidRDefault="004709BF" w:rsidP="004709BF">
      <w:pPr>
        <w:ind w:firstLine="567"/>
        <w:jc w:val="both"/>
        <w:rPr>
          <w:color w:val="000000" w:themeColor="text1"/>
          <w:sz w:val="28"/>
          <w:szCs w:val="28"/>
        </w:rPr>
      </w:pPr>
      <w:r>
        <w:rPr>
          <w:color w:val="000000" w:themeColor="text1"/>
          <w:sz w:val="28"/>
          <w:szCs w:val="28"/>
          <w:lang w:eastAsia="uk-UA"/>
        </w:rPr>
        <w:t xml:space="preserve">Водночас проект постанови з метою забезпечення громадського обговорення буде розміщено на офіційному </w:t>
      </w:r>
      <w:proofErr w:type="spellStart"/>
      <w:r>
        <w:rPr>
          <w:color w:val="000000" w:themeColor="text1"/>
          <w:sz w:val="28"/>
          <w:szCs w:val="28"/>
          <w:lang w:eastAsia="uk-UA"/>
        </w:rPr>
        <w:t>вебсайті</w:t>
      </w:r>
      <w:proofErr w:type="spellEnd"/>
      <w:r>
        <w:rPr>
          <w:color w:val="000000" w:themeColor="text1"/>
          <w:sz w:val="28"/>
          <w:szCs w:val="28"/>
          <w:lang w:eastAsia="uk-UA"/>
        </w:rPr>
        <w:t xml:space="preserve"> Міністерства фінансів України (</w:t>
      </w:r>
      <w:hyperlink r:id="rId8" w:history="1">
        <w:r>
          <w:rPr>
            <w:rStyle w:val="af5"/>
            <w:color w:val="000000" w:themeColor="text1"/>
            <w:sz w:val="28"/>
            <w:szCs w:val="28"/>
            <w:lang w:eastAsia="uk-UA"/>
          </w:rPr>
          <w:t>www.mof.gov.ua</w:t>
        </w:r>
      </w:hyperlink>
      <w:r>
        <w:rPr>
          <w:color w:val="000000" w:themeColor="text1"/>
          <w:sz w:val="28"/>
          <w:szCs w:val="28"/>
          <w:lang w:eastAsia="uk-UA"/>
        </w:rPr>
        <w:t>).</w:t>
      </w:r>
    </w:p>
    <w:p w:rsidR="004709BF" w:rsidRDefault="004709BF" w:rsidP="004709BF">
      <w:pPr>
        <w:ind w:firstLine="567"/>
        <w:jc w:val="both"/>
        <w:rPr>
          <w:color w:val="000000" w:themeColor="text1"/>
          <w:sz w:val="28"/>
          <w:szCs w:val="28"/>
        </w:rPr>
      </w:pPr>
      <w:r>
        <w:rPr>
          <w:color w:val="000000" w:themeColor="text1"/>
          <w:sz w:val="28"/>
          <w:szCs w:val="28"/>
        </w:rPr>
        <w:t>Проект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сфери наукової та науково-технічної діяльності.</w:t>
      </w:r>
    </w:p>
    <w:p w:rsidR="004709BF" w:rsidRDefault="004709BF" w:rsidP="004709BF">
      <w:pPr>
        <w:ind w:firstLine="567"/>
        <w:jc w:val="both"/>
        <w:rPr>
          <w:color w:val="000000" w:themeColor="text1"/>
          <w:sz w:val="28"/>
          <w:szCs w:val="28"/>
        </w:rPr>
      </w:pPr>
      <w:r>
        <w:rPr>
          <w:color w:val="000000" w:themeColor="text1"/>
          <w:sz w:val="28"/>
          <w:szCs w:val="28"/>
        </w:rPr>
        <w:t>Проект постанови не потребує направлення на погодження до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4709BF" w:rsidRDefault="004709BF" w:rsidP="004709BF">
      <w:pPr>
        <w:ind w:firstLine="567"/>
        <w:jc w:val="both"/>
        <w:rPr>
          <w:color w:val="000000" w:themeColor="text1"/>
          <w:sz w:val="28"/>
          <w:szCs w:val="28"/>
        </w:rPr>
      </w:pPr>
      <w:r>
        <w:rPr>
          <w:color w:val="000000" w:themeColor="text1"/>
          <w:sz w:val="28"/>
          <w:szCs w:val="28"/>
        </w:rPr>
        <w:t xml:space="preserve">Проект постанови не стосується сфери наукової та науково-технічної діяльності і не потребує зазначення позиції Наукового комітету Національної ради України з питань розвитку науки і технологій.   </w:t>
      </w:r>
    </w:p>
    <w:p w:rsidR="004709BF" w:rsidRDefault="004709BF" w:rsidP="004709BF">
      <w:pPr>
        <w:ind w:firstLine="567"/>
        <w:jc w:val="both"/>
        <w:rPr>
          <w:b/>
          <w:color w:val="000000" w:themeColor="text1"/>
          <w:sz w:val="28"/>
          <w:szCs w:val="28"/>
          <w:lang w:eastAsia="uk-UA"/>
        </w:rPr>
      </w:pPr>
      <w:r>
        <w:rPr>
          <w:color w:val="000000" w:themeColor="text1"/>
          <w:sz w:val="28"/>
          <w:szCs w:val="28"/>
          <w:lang w:eastAsia="uk-UA"/>
        </w:rPr>
        <w:t>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Pr>
          <w:color w:val="000000" w:themeColor="text1"/>
          <w:sz w:val="28"/>
          <w:szCs w:val="28"/>
          <w:lang w:eastAsia="uk-UA"/>
        </w:rPr>
        <w:t>acquis</w:t>
      </w:r>
      <w:proofErr w:type="spellEnd"/>
      <w:r>
        <w:rPr>
          <w:color w:val="000000" w:themeColor="text1"/>
          <w:sz w:val="28"/>
          <w:szCs w:val="28"/>
          <w:lang w:eastAsia="uk-UA"/>
        </w:rPr>
        <w:t xml:space="preserve"> ЄС) проект </w:t>
      </w:r>
      <w:proofErr w:type="spellStart"/>
      <w:r>
        <w:rPr>
          <w:color w:val="000000" w:themeColor="text1"/>
          <w:sz w:val="28"/>
          <w:szCs w:val="28"/>
          <w:lang w:eastAsia="uk-UA"/>
        </w:rPr>
        <w:t>акта</w:t>
      </w:r>
      <w:proofErr w:type="spellEnd"/>
      <w:r>
        <w:rPr>
          <w:color w:val="000000" w:themeColor="text1"/>
          <w:sz w:val="28"/>
          <w:szCs w:val="28"/>
          <w:lang w:eastAsia="uk-UA"/>
        </w:rPr>
        <w:t xml:space="preserve"> потребує подання до Урядового офісу координації європейської та євроатлантичної інтеграції Секретаріату Кабінету Міністрів України.</w:t>
      </w:r>
      <w:r>
        <w:rPr>
          <w:b/>
          <w:color w:val="000000" w:themeColor="text1"/>
          <w:sz w:val="28"/>
          <w:szCs w:val="28"/>
          <w:lang w:eastAsia="uk-UA"/>
        </w:rPr>
        <w:t xml:space="preserve"> </w:t>
      </w:r>
    </w:p>
    <w:p w:rsidR="004709BF" w:rsidRDefault="004709BF" w:rsidP="004709BF">
      <w:pPr>
        <w:ind w:firstLine="567"/>
        <w:jc w:val="both"/>
        <w:rPr>
          <w:b/>
          <w:color w:val="000000" w:themeColor="text1"/>
          <w:sz w:val="28"/>
          <w:szCs w:val="28"/>
          <w:lang w:eastAsia="uk-UA"/>
        </w:rPr>
      </w:pPr>
    </w:p>
    <w:p w:rsidR="004709BF" w:rsidRDefault="004709BF" w:rsidP="004709BF">
      <w:pPr>
        <w:ind w:firstLine="567"/>
        <w:jc w:val="both"/>
        <w:rPr>
          <w:color w:val="000000" w:themeColor="text1"/>
          <w:sz w:val="28"/>
          <w:szCs w:val="28"/>
        </w:rPr>
      </w:pPr>
      <w:r>
        <w:rPr>
          <w:b/>
          <w:color w:val="000000" w:themeColor="text1"/>
          <w:sz w:val="28"/>
          <w:szCs w:val="28"/>
        </w:rPr>
        <w:t>7. Оцінка відповідності</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t>Проектом постанови передбачено положення, що стосуються зобов’язань України у сфері європейської інтеграції, зокрема стандартам FATF, імплементацію яких передбачено статтею 20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16.09.2014 № 1678-VII.</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t>У проекті постанови відсутні положення, що:</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lastRenderedPageBreak/>
        <w:t>стосуються прав та свобод, гарантованих Конвенцією про захист прав людини і основоположних свобод;</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t>впливають на забезпечення рівних прав та можливостей жінок і чоловіків;</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t>містять ризики вчинення корупційних правопорушень та правопорушень, пов’язаних з корупцією;</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t>містять ознаки дискримінації чи створюють підстави для дискримінації.</w:t>
      </w:r>
    </w:p>
    <w:p w:rsidR="004709BF" w:rsidRDefault="004709BF" w:rsidP="004709BF">
      <w:pPr>
        <w:tabs>
          <w:tab w:val="left" w:pos="851"/>
        </w:tabs>
        <w:ind w:firstLine="567"/>
        <w:jc w:val="both"/>
        <w:rPr>
          <w:b/>
          <w:color w:val="000000" w:themeColor="text1"/>
          <w:sz w:val="28"/>
          <w:szCs w:val="28"/>
        </w:rPr>
      </w:pPr>
      <w:r>
        <w:rPr>
          <w:color w:val="000000" w:themeColor="text1"/>
          <w:sz w:val="28"/>
          <w:szCs w:val="28"/>
        </w:rPr>
        <w:t>Проект постанови не передбачає надання державної допомоги суб’єктам господарювання та підтримки суб’єктів господарювання, відповідно дія Закону України «Про державну допомогу суб’єктам господарювання» не поширюється на проект постанови. Отже, відповідне рішення Антимонопольного комітету України, передбачене цим Законом, не вимагається.</w:t>
      </w:r>
      <w:r>
        <w:rPr>
          <w:b/>
          <w:color w:val="000000" w:themeColor="text1"/>
          <w:sz w:val="28"/>
          <w:szCs w:val="28"/>
        </w:rPr>
        <w:t xml:space="preserve"> </w:t>
      </w:r>
    </w:p>
    <w:p w:rsidR="00702B81" w:rsidRPr="00702B81" w:rsidRDefault="00702B81" w:rsidP="004709BF">
      <w:pPr>
        <w:tabs>
          <w:tab w:val="left" w:pos="851"/>
        </w:tabs>
        <w:ind w:firstLine="567"/>
        <w:jc w:val="both"/>
        <w:rPr>
          <w:color w:val="000000" w:themeColor="text1"/>
          <w:sz w:val="28"/>
          <w:szCs w:val="28"/>
        </w:rPr>
      </w:pPr>
      <w:r>
        <w:rPr>
          <w:color w:val="000000" w:themeColor="text1"/>
          <w:sz w:val="28"/>
          <w:szCs w:val="28"/>
        </w:rPr>
        <w:t xml:space="preserve">Проект постанови </w:t>
      </w:r>
      <w:bookmarkStart w:id="0" w:name="_GoBack"/>
      <w:bookmarkEnd w:id="0"/>
      <w:r w:rsidRPr="00702B81">
        <w:rPr>
          <w:color w:val="000000" w:themeColor="text1"/>
          <w:sz w:val="28"/>
          <w:szCs w:val="28"/>
        </w:rPr>
        <w:t>потребує визначення необхідності проведення антикорупційної експертизи Національним агентством з питань запобігання корупції.</w:t>
      </w:r>
    </w:p>
    <w:p w:rsidR="004709BF" w:rsidRDefault="004709BF" w:rsidP="004709BF">
      <w:pPr>
        <w:tabs>
          <w:tab w:val="left" w:pos="851"/>
        </w:tabs>
        <w:ind w:firstLine="567"/>
        <w:jc w:val="both"/>
        <w:rPr>
          <w:b/>
          <w:color w:val="000000" w:themeColor="text1"/>
          <w:sz w:val="28"/>
          <w:szCs w:val="28"/>
        </w:rPr>
      </w:pPr>
    </w:p>
    <w:p w:rsidR="004709BF" w:rsidRDefault="004709BF" w:rsidP="004709BF">
      <w:pPr>
        <w:tabs>
          <w:tab w:val="left" w:pos="851"/>
        </w:tabs>
        <w:ind w:firstLine="567"/>
        <w:jc w:val="both"/>
        <w:rPr>
          <w:color w:val="000000" w:themeColor="text1"/>
          <w:sz w:val="28"/>
          <w:szCs w:val="28"/>
        </w:rPr>
      </w:pPr>
      <w:r>
        <w:rPr>
          <w:b/>
          <w:color w:val="000000" w:themeColor="text1"/>
          <w:sz w:val="28"/>
          <w:szCs w:val="28"/>
        </w:rPr>
        <w:t>8. Прогноз результатів</w:t>
      </w:r>
    </w:p>
    <w:p w:rsidR="004709BF" w:rsidRDefault="004709BF" w:rsidP="004709BF">
      <w:pPr>
        <w:ind w:firstLine="567"/>
        <w:jc w:val="both"/>
        <w:rPr>
          <w:color w:val="000000" w:themeColor="text1"/>
          <w:sz w:val="28"/>
          <w:szCs w:val="28"/>
        </w:rPr>
      </w:pPr>
      <w:r>
        <w:rPr>
          <w:color w:val="000000" w:themeColor="text1"/>
          <w:sz w:val="28"/>
          <w:szCs w:val="28"/>
        </w:rPr>
        <w:t>Запровадження проекту постанови дозволить привести нормативно-правові акти у відповідність до норм чинного законодавства, створити ефективну систему у сфері розкриття інформації про КБВ та удосконалити процес визначення юридичними особами КБВ.</w:t>
      </w:r>
    </w:p>
    <w:p w:rsidR="004709BF" w:rsidRDefault="004709BF" w:rsidP="004709BF">
      <w:pPr>
        <w:tabs>
          <w:tab w:val="left" w:pos="851"/>
        </w:tabs>
        <w:ind w:firstLine="567"/>
        <w:jc w:val="both"/>
        <w:rPr>
          <w:color w:val="000000" w:themeColor="text1"/>
          <w:sz w:val="28"/>
          <w:szCs w:val="28"/>
        </w:rPr>
      </w:pPr>
      <w:r>
        <w:rPr>
          <w:color w:val="000000" w:themeColor="text1"/>
          <w:sz w:val="28"/>
          <w:szCs w:val="28"/>
        </w:rPr>
        <w:t xml:space="preserve">Реалізація </w:t>
      </w:r>
      <w:proofErr w:type="spellStart"/>
      <w:r>
        <w:rPr>
          <w:color w:val="000000" w:themeColor="text1"/>
          <w:sz w:val="28"/>
          <w:szCs w:val="28"/>
        </w:rPr>
        <w:t>акта</w:t>
      </w:r>
      <w:proofErr w:type="spellEnd"/>
      <w:r>
        <w:rPr>
          <w:color w:val="000000" w:themeColor="text1"/>
          <w:sz w:val="28"/>
          <w:szCs w:val="28"/>
        </w:rPr>
        <w:t xml:space="preserve"> не матиме негативного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rsidR="004709BF" w:rsidRDefault="004709BF" w:rsidP="004709BF">
      <w:pPr>
        <w:tabs>
          <w:tab w:val="left" w:pos="851"/>
        </w:tabs>
        <w:ind w:firstLine="567"/>
        <w:jc w:val="both"/>
        <w:rPr>
          <w:b/>
          <w:color w:val="000000" w:themeColor="text1"/>
          <w:sz w:val="28"/>
          <w:szCs w:val="28"/>
        </w:rPr>
      </w:pPr>
    </w:p>
    <w:p w:rsidR="004709BF" w:rsidRDefault="004709BF" w:rsidP="004709BF">
      <w:pPr>
        <w:tabs>
          <w:tab w:val="left" w:pos="851"/>
        </w:tabs>
        <w:ind w:firstLine="567"/>
        <w:jc w:val="both"/>
        <w:rPr>
          <w:b/>
          <w:color w:val="000000" w:themeColor="text1"/>
          <w:sz w:val="28"/>
          <w:szCs w:val="28"/>
        </w:rPr>
      </w:pPr>
    </w:p>
    <w:p w:rsidR="004709BF" w:rsidRDefault="004709BF" w:rsidP="004709BF">
      <w:pPr>
        <w:tabs>
          <w:tab w:val="left" w:pos="851"/>
          <w:tab w:val="left" w:pos="6804"/>
        </w:tabs>
        <w:jc w:val="both"/>
        <w:rPr>
          <w:b/>
          <w:color w:val="000000" w:themeColor="text1"/>
          <w:sz w:val="28"/>
          <w:szCs w:val="28"/>
        </w:rPr>
      </w:pPr>
      <w:r>
        <w:rPr>
          <w:b/>
          <w:color w:val="000000" w:themeColor="text1"/>
          <w:sz w:val="28"/>
          <w:szCs w:val="28"/>
        </w:rPr>
        <w:t>Міністр фінансів України</w:t>
      </w:r>
      <w:r>
        <w:rPr>
          <w:b/>
          <w:color w:val="000000" w:themeColor="text1"/>
          <w:sz w:val="28"/>
          <w:szCs w:val="28"/>
        </w:rPr>
        <w:tab/>
        <w:t xml:space="preserve">   Сергій МАРЧЕНКО</w:t>
      </w:r>
    </w:p>
    <w:p w:rsidR="004709BF" w:rsidRDefault="004709BF" w:rsidP="004709BF">
      <w:pPr>
        <w:jc w:val="both"/>
        <w:rPr>
          <w:color w:val="000000" w:themeColor="text1"/>
          <w:sz w:val="28"/>
          <w:szCs w:val="28"/>
        </w:rPr>
      </w:pPr>
    </w:p>
    <w:p w:rsidR="004709BF" w:rsidRDefault="004709BF" w:rsidP="004709BF">
      <w:pPr>
        <w:jc w:val="both"/>
        <w:rPr>
          <w:color w:val="000000" w:themeColor="text1"/>
          <w:sz w:val="28"/>
          <w:szCs w:val="28"/>
        </w:rPr>
      </w:pPr>
      <w:r>
        <w:rPr>
          <w:color w:val="000000" w:themeColor="text1"/>
          <w:sz w:val="28"/>
          <w:szCs w:val="28"/>
        </w:rPr>
        <w:t>«____» _____________ 2023 року</w:t>
      </w:r>
    </w:p>
    <w:p w:rsidR="00472FF8" w:rsidRPr="004709BF" w:rsidRDefault="00472FF8" w:rsidP="004709BF"/>
    <w:sectPr w:rsidR="00472FF8" w:rsidRPr="004709BF" w:rsidSect="00034FE1">
      <w:headerReference w:type="default" r:id="rId9"/>
      <w:pgSz w:w="11906" w:h="16838"/>
      <w:pgMar w:top="1134" w:right="567" w:bottom="1588" w:left="1701" w:header="70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DE" w:rsidRDefault="004C63DE"/>
  </w:endnote>
  <w:endnote w:type="continuationSeparator" w:id="0">
    <w:p w:rsidR="004C63DE" w:rsidRDefault="004C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DE" w:rsidRDefault="004C63DE"/>
  </w:footnote>
  <w:footnote w:type="continuationSeparator" w:id="0">
    <w:p w:rsidR="004C63DE" w:rsidRDefault="004C63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F8" w:rsidRPr="007770E1" w:rsidRDefault="0033617A">
    <w:pPr>
      <w:pStyle w:val="a4"/>
      <w:jc w:val="center"/>
    </w:pPr>
    <w:r w:rsidRPr="007770E1">
      <w:rPr>
        <w:rStyle w:val="af6"/>
      </w:rPr>
      <w:fldChar w:fldCharType="begin"/>
    </w:r>
    <w:r w:rsidRPr="007770E1">
      <w:rPr>
        <w:rStyle w:val="af6"/>
      </w:rPr>
      <w:instrText xml:space="preserve"> PAGE </w:instrText>
    </w:r>
    <w:r w:rsidRPr="007770E1">
      <w:rPr>
        <w:rStyle w:val="af6"/>
      </w:rPr>
      <w:fldChar w:fldCharType="separate"/>
    </w:r>
    <w:r w:rsidR="00702B81">
      <w:rPr>
        <w:rStyle w:val="af6"/>
        <w:noProof/>
      </w:rPr>
      <w:t>6</w:t>
    </w:r>
    <w:r w:rsidRPr="007770E1">
      <w:rPr>
        <w:rStyle w:val="af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1DDD"/>
    <w:multiLevelType w:val="hybridMultilevel"/>
    <w:tmpl w:val="CDDABC66"/>
    <w:lvl w:ilvl="0" w:tplc="ED4C07EE">
      <w:start w:val="1"/>
      <w:numFmt w:val="decimal"/>
      <w:lvlText w:val="%1."/>
      <w:lvlJc w:val="left"/>
      <w:pPr>
        <w:ind w:left="927"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27897682"/>
    <w:multiLevelType w:val="hybridMultilevel"/>
    <w:tmpl w:val="74B6EC5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EF65F03"/>
    <w:multiLevelType w:val="hybridMultilevel"/>
    <w:tmpl w:val="BDD62C84"/>
    <w:lvl w:ilvl="0" w:tplc="6712A63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3DC274FB"/>
    <w:multiLevelType w:val="hybridMultilevel"/>
    <w:tmpl w:val="17A20BC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42021B41"/>
    <w:multiLevelType w:val="hybridMultilevel"/>
    <w:tmpl w:val="2B4E9B7E"/>
    <w:lvl w:ilvl="0" w:tplc="43B84B0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5" w15:restartNumberingAfterBreak="0">
    <w:nsid w:val="4F7B747A"/>
    <w:multiLevelType w:val="hybridMultilevel"/>
    <w:tmpl w:val="709202C6"/>
    <w:lvl w:ilvl="0" w:tplc="05083C14">
      <w:start w:val="1"/>
      <w:numFmt w:val="decimal"/>
      <w:lvlText w:val="%1."/>
      <w:lvlJc w:val="left"/>
      <w:pPr>
        <w:ind w:left="927" w:hanging="360"/>
      </w:pPr>
      <w:rPr>
        <w:sz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6" w15:restartNumberingAfterBreak="0">
    <w:nsid w:val="52E433BA"/>
    <w:multiLevelType w:val="hybridMultilevel"/>
    <w:tmpl w:val="664248C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53691CE0"/>
    <w:multiLevelType w:val="hybridMultilevel"/>
    <w:tmpl w:val="E2F4553C"/>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D80341D"/>
    <w:multiLevelType w:val="hybridMultilevel"/>
    <w:tmpl w:val="FB3CC4B4"/>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729A5720"/>
    <w:multiLevelType w:val="hybridMultilevel"/>
    <w:tmpl w:val="A8B6F118"/>
    <w:lvl w:ilvl="0" w:tplc="D8966A9C">
      <w:start w:val="3"/>
      <w:numFmt w:val="bullet"/>
      <w:lvlText w:val="–"/>
      <w:lvlJc w:val="left"/>
      <w:pPr>
        <w:ind w:left="1069" w:hanging="360"/>
      </w:pPr>
      <w:rPr>
        <w:rFonts w:ascii="Times New Roman" w:hAnsi="Times New Roman"/>
      </w:rPr>
    </w:lvl>
    <w:lvl w:ilvl="1" w:tplc="04220003">
      <w:start w:val="1"/>
      <w:numFmt w:val="bullet"/>
      <w:lvlText w:val="o"/>
      <w:lvlJc w:val="left"/>
      <w:pPr>
        <w:ind w:left="1789" w:hanging="360"/>
      </w:pPr>
      <w:rPr>
        <w:rFonts w:ascii="Courier New" w:hAnsi="Courier New"/>
      </w:rPr>
    </w:lvl>
    <w:lvl w:ilvl="2" w:tplc="04220005">
      <w:start w:val="1"/>
      <w:numFmt w:val="bullet"/>
      <w:lvlText w:val=""/>
      <w:lvlJc w:val="left"/>
      <w:pPr>
        <w:ind w:left="2509" w:hanging="360"/>
      </w:pPr>
      <w:rPr>
        <w:rFonts w:ascii="Wingdings" w:hAnsi="Wingdings"/>
      </w:rPr>
    </w:lvl>
    <w:lvl w:ilvl="3" w:tplc="04220001">
      <w:start w:val="1"/>
      <w:numFmt w:val="bullet"/>
      <w:lvlText w:val=""/>
      <w:lvlJc w:val="left"/>
      <w:pPr>
        <w:ind w:left="3229" w:hanging="360"/>
      </w:pPr>
      <w:rPr>
        <w:rFonts w:ascii="Symbol" w:hAnsi="Symbol"/>
      </w:rPr>
    </w:lvl>
    <w:lvl w:ilvl="4" w:tplc="04220003">
      <w:start w:val="1"/>
      <w:numFmt w:val="bullet"/>
      <w:lvlText w:val="o"/>
      <w:lvlJc w:val="left"/>
      <w:pPr>
        <w:ind w:left="3949" w:hanging="360"/>
      </w:pPr>
      <w:rPr>
        <w:rFonts w:ascii="Courier New" w:hAnsi="Courier New"/>
      </w:rPr>
    </w:lvl>
    <w:lvl w:ilvl="5" w:tplc="04220005">
      <w:start w:val="1"/>
      <w:numFmt w:val="bullet"/>
      <w:lvlText w:val=""/>
      <w:lvlJc w:val="left"/>
      <w:pPr>
        <w:ind w:left="4669" w:hanging="360"/>
      </w:pPr>
      <w:rPr>
        <w:rFonts w:ascii="Wingdings" w:hAnsi="Wingdings"/>
      </w:rPr>
    </w:lvl>
    <w:lvl w:ilvl="6" w:tplc="04220001">
      <w:start w:val="1"/>
      <w:numFmt w:val="bullet"/>
      <w:lvlText w:val=""/>
      <w:lvlJc w:val="left"/>
      <w:pPr>
        <w:ind w:left="5389" w:hanging="360"/>
      </w:pPr>
      <w:rPr>
        <w:rFonts w:ascii="Symbol" w:hAnsi="Symbol"/>
      </w:rPr>
    </w:lvl>
    <w:lvl w:ilvl="7" w:tplc="04220003">
      <w:start w:val="1"/>
      <w:numFmt w:val="bullet"/>
      <w:lvlText w:val="o"/>
      <w:lvlJc w:val="left"/>
      <w:pPr>
        <w:ind w:left="6109" w:hanging="360"/>
      </w:pPr>
      <w:rPr>
        <w:rFonts w:ascii="Courier New" w:hAnsi="Courier New"/>
      </w:rPr>
    </w:lvl>
    <w:lvl w:ilvl="8" w:tplc="04220005">
      <w:start w:val="1"/>
      <w:numFmt w:val="bullet"/>
      <w:lvlText w:val=""/>
      <w:lvlJc w:val="left"/>
      <w:pPr>
        <w:ind w:left="6829" w:hanging="360"/>
      </w:pPr>
      <w:rPr>
        <w:rFonts w:ascii="Wingdings" w:hAnsi="Wingdings"/>
      </w:rPr>
    </w:lvl>
  </w:abstractNum>
  <w:abstractNum w:abstractNumId="10" w15:restartNumberingAfterBreak="0">
    <w:nsid w:val="759F1CA7"/>
    <w:multiLevelType w:val="hybridMultilevel"/>
    <w:tmpl w:val="4CDE4092"/>
    <w:lvl w:ilvl="0" w:tplc="244C021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15:restartNumberingAfterBreak="0">
    <w:nsid w:val="7D6D086E"/>
    <w:multiLevelType w:val="hybridMultilevel"/>
    <w:tmpl w:val="8840943E"/>
    <w:lvl w:ilvl="0" w:tplc="3D288B92">
      <w:start w:val="3"/>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5"/>
  </w:num>
  <w:num w:numId="2">
    <w:abstractNumId w:val="2"/>
  </w:num>
  <w:num w:numId="3">
    <w:abstractNumId w:val="9"/>
  </w:num>
  <w:num w:numId="4">
    <w:abstractNumId w:val="0"/>
  </w:num>
  <w:num w:numId="5">
    <w:abstractNumId w:val="4"/>
  </w:num>
  <w:num w:numId="6">
    <w:abstractNumId w:val="11"/>
  </w:num>
  <w:num w:numId="7">
    <w:abstractNumId w:val="10"/>
  </w:num>
  <w:num w:numId="8">
    <w:abstractNumId w:val="1"/>
  </w:num>
  <w:num w:numId="9">
    <w:abstractNumId w:val="8"/>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F8"/>
    <w:rsid w:val="00007BFF"/>
    <w:rsid w:val="00023222"/>
    <w:rsid w:val="00030FD7"/>
    <w:rsid w:val="00034FE1"/>
    <w:rsid w:val="00052E86"/>
    <w:rsid w:val="00053E72"/>
    <w:rsid w:val="000720AE"/>
    <w:rsid w:val="00075054"/>
    <w:rsid w:val="000755C4"/>
    <w:rsid w:val="00083108"/>
    <w:rsid w:val="000A4241"/>
    <w:rsid w:val="000E208F"/>
    <w:rsid w:val="000E4615"/>
    <w:rsid w:val="000F6E65"/>
    <w:rsid w:val="00102DC1"/>
    <w:rsid w:val="00105A7B"/>
    <w:rsid w:val="00106B22"/>
    <w:rsid w:val="00110048"/>
    <w:rsid w:val="00111AF8"/>
    <w:rsid w:val="00113BE5"/>
    <w:rsid w:val="00116BD4"/>
    <w:rsid w:val="001523AC"/>
    <w:rsid w:val="00175690"/>
    <w:rsid w:val="00181FA0"/>
    <w:rsid w:val="00187795"/>
    <w:rsid w:val="001A0DC9"/>
    <w:rsid w:val="001A37CF"/>
    <w:rsid w:val="001A765D"/>
    <w:rsid w:val="001A7956"/>
    <w:rsid w:val="001C4189"/>
    <w:rsid w:val="001C76FF"/>
    <w:rsid w:val="001F50B3"/>
    <w:rsid w:val="002333DD"/>
    <w:rsid w:val="00233421"/>
    <w:rsid w:val="002467AD"/>
    <w:rsid w:val="00250450"/>
    <w:rsid w:val="002522FC"/>
    <w:rsid w:val="00273EAD"/>
    <w:rsid w:val="00275B22"/>
    <w:rsid w:val="00284316"/>
    <w:rsid w:val="00286F4F"/>
    <w:rsid w:val="002927D8"/>
    <w:rsid w:val="002A25B2"/>
    <w:rsid w:val="002A590F"/>
    <w:rsid w:val="002D53AE"/>
    <w:rsid w:val="00300DEC"/>
    <w:rsid w:val="00305B86"/>
    <w:rsid w:val="0033617A"/>
    <w:rsid w:val="003402DB"/>
    <w:rsid w:val="00345D80"/>
    <w:rsid w:val="0035775A"/>
    <w:rsid w:val="003600D8"/>
    <w:rsid w:val="0036097F"/>
    <w:rsid w:val="00363EC7"/>
    <w:rsid w:val="003861EB"/>
    <w:rsid w:val="003877D4"/>
    <w:rsid w:val="0039016F"/>
    <w:rsid w:val="00392CCF"/>
    <w:rsid w:val="003939AE"/>
    <w:rsid w:val="003967AF"/>
    <w:rsid w:val="00396ADC"/>
    <w:rsid w:val="003A192E"/>
    <w:rsid w:val="003A29C5"/>
    <w:rsid w:val="003C0885"/>
    <w:rsid w:val="003C573F"/>
    <w:rsid w:val="003C5A06"/>
    <w:rsid w:val="003D48A5"/>
    <w:rsid w:val="00403D24"/>
    <w:rsid w:val="004070CA"/>
    <w:rsid w:val="00407731"/>
    <w:rsid w:val="0040796E"/>
    <w:rsid w:val="00412408"/>
    <w:rsid w:val="00445B2E"/>
    <w:rsid w:val="00464371"/>
    <w:rsid w:val="004709BF"/>
    <w:rsid w:val="004712CD"/>
    <w:rsid w:val="00472FF8"/>
    <w:rsid w:val="00494333"/>
    <w:rsid w:val="004C63DE"/>
    <w:rsid w:val="004D3BD0"/>
    <w:rsid w:val="004E2303"/>
    <w:rsid w:val="004E46E8"/>
    <w:rsid w:val="004F48A2"/>
    <w:rsid w:val="005302F1"/>
    <w:rsid w:val="005347DE"/>
    <w:rsid w:val="005512A9"/>
    <w:rsid w:val="00552B5A"/>
    <w:rsid w:val="00563E3F"/>
    <w:rsid w:val="0056710A"/>
    <w:rsid w:val="00595354"/>
    <w:rsid w:val="005A7A34"/>
    <w:rsid w:val="005B2B90"/>
    <w:rsid w:val="005B36FD"/>
    <w:rsid w:val="005B5DC8"/>
    <w:rsid w:val="005F1FBC"/>
    <w:rsid w:val="005F581A"/>
    <w:rsid w:val="00601065"/>
    <w:rsid w:val="00607AD0"/>
    <w:rsid w:val="0062093E"/>
    <w:rsid w:val="00627181"/>
    <w:rsid w:val="00634BF3"/>
    <w:rsid w:val="00641D8E"/>
    <w:rsid w:val="0064368C"/>
    <w:rsid w:val="00661015"/>
    <w:rsid w:val="00675E2B"/>
    <w:rsid w:val="00682914"/>
    <w:rsid w:val="006C5C62"/>
    <w:rsid w:val="006D4D46"/>
    <w:rsid w:val="006D5F2E"/>
    <w:rsid w:val="006E534D"/>
    <w:rsid w:val="00702B81"/>
    <w:rsid w:val="007048C4"/>
    <w:rsid w:val="00713EC8"/>
    <w:rsid w:val="00716559"/>
    <w:rsid w:val="00721911"/>
    <w:rsid w:val="00767B36"/>
    <w:rsid w:val="0077326A"/>
    <w:rsid w:val="0077692B"/>
    <w:rsid w:val="007770E1"/>
    <w:rsid w:val="00780EB3"/>
    <w:rsid w:val="00783312"/>
    <w:rsid w:val="007910B7"/>
    <w:rsid w:val="007A1116"/>
    <w:rsid w:val="007B0C64"/>
    <w:rsid w:val="007C0D33"/>
    <w:rsid w:val="007C2BEE"/>
    <w:rsid w:val="007D0F52"/>
    <w:rsid w:val="007D13A5"/>
    <w:rsid w:val="007D1968"/>
    <w:rsid w:val="007E5D57"/>
    <w:rsid w:val="007F2CA1"/>
    <w:rsid w:val="007F51CF"/>
    <w:rsid w:val="008037D7"/>
    <w:rsid w:val="008048EB"/>
    <w:rsid w:val="00810062"/>
    <w:rsid w:val="00822DDB"/>
    <w:rsid w:val="0084424D"/>
    <w:rsid w:val="00845183"/>
    <w:rsid w:val="00851D06"/>
    <w:rsid w:val="008527F7"/>
    <w:rsid w:val="00862428"/>
    <w:rsid w:val="008641BC"/>
    <w:rsid w:val="0088157E"/>
    <w:rsid w:val="008A03F3"/>
    <w:rsid w:val="008A4101"/>
    <w:rsid w:val="008A4DE4"/>
    <w:rsid w:val="008B4C30"/>
    <w:rsid w:val="008C0BFF"/>
    <w:rsid w:val="008D43F1"/>
    <w:rsid w:val="008D7FBB"/>
    <w:rsid w:val="008E4510"/>
    <w:rsid w:val="00914414"/>
    <w:rsid w:val="00916FA3"/>
    <w:rsid w:val="00917110"/>
    <w:rsid w:val="00935748"/>
    <w:rsid w:val="00937117"/>
    <w:rsid w:val="009605FB"/>
    <w:rsid w:val="00965FEF"/>
    <w:rsid w:val="00975372"/>
    <w:rsid w:val="009769D3"/>
    <w:rsid w:val="00982C3F"/>
    <w:rsid w:val="00985064"/>
    <w:rsid w:val="00987171"/>
    <w:rsid w:val="009A1F89"/>
    <w:rsid w:val="009B26A0"/>
    <w:rsid w:val="009C1CB9"/>
    <w:rsid w:val="009C6909"/>
    <w:rsid w:val="009F2968"/>
    <w:rsid w:val="009F4322"/>
    <w:rsid w:val="009F7977"/>
    <w:rsid w:val="00A00D6A"/>
    <w:rsid w:val="00A06864"/>
    <w:rsid w:val="00A1013F"/>
    <w:rsid w:val="00A1262C"/>
    <w:rsid w:val="00A40CAB"/>
    <w:rsid w:val="00A424B0"/>
    <w:rsid w:val="00A50DE3"/>
    <w:rsid w:val="00A60CC5"/>
    <w:rsid w:val="00A6433E"/>
    <w:rsid w:val="00A67317"/>
    <w:rsid w:val="00A73ED3"/>
    <w:rsid w:val="00A742B2"/>
    <w:rsid w:val="00A7653B"/>
    <w:rsid w:val="00A97752"/>
    <w:rsid w:val="00AA0AD4"/>
    <w:rsid w:val="00AA0C04"/>
    <w:rsid w:val="00AA5D59"/>
    <w:rsid w:val="00AB503E"/>
    <w:rsid w:val="00AC6568"/>
    <w:rsid w:val="00AD411A"/>
    <w:rsid w:val="00AD4B7B"/>
    <w:rsid w:val="00AE76D3"/>
    <w:rsid w:val="00B001DB"/>
    <w:rsid w:val="00B04945"/>
    <w:rsid w:val="00B0642D"/>
    <w:rsid w:val="00B07CF6"/>
    <w:rsid w:val="00B13476"/>
    <w:rsid w:val="00B13D11"/>
    <w:rsid w:val="00B16EFD"/>
    <w:rsid w:val="00B241FF"/>
    <w:rsid w:val="00B30346"/>
    <w:rsid w:val="00B4293D"/>
    <w:rsid w:val="00B43501"/>
    <w:rsid w:val="00B50988"/>
    <w:rsid w:val="00B528E3"/>
    <w:rsid w:val="00B57B23"/>
    <w:rsid w:val="00B6006F"/>
    <w:rsid w:val="00B60DFC"/>
    <w:rsid w:val="00B71582"/>
    <w:rsid w:val="00B87926"/>
    <w:rsid w:val="00B87BBD"/>
    <w:rsid w:val="00B92D5F"/>
    <w:rsid w:val="00BA0C15"/>
    <w:rsid w:val="00BB2BB9"/>
    <w:rsid w:val="00BB3C03"/>
    <w:rsid w:val="00BB7562"/>
    <w:rsid w:val="00BC399F"/>
    <w:rsid w:val="00BC714D"/>
    <w:rsid w:val="00BC7DA5"/>
    <w:rsid w:val="00BD3BFF"/>
    <w:rsid w:val="00BE1329"/>
    <w:rsid w:val="00BE5DF2"/>
    <w:rsid w:val="00BE6E89"/>
    <w:rsid w:val="00BF7695"/>
    <w:rsid w:val="00C06676"/>
    <w:rsid w:val="00C12412"/>
    <w:rsid w:val="00C1249B"/>
    <w:rsid w:val="00C22FBA"/>
    <w:rsid w:val="00C63562"/>
    <w:rsid w:val="00C636EB"/>
    <w:rsid w:val="00C65D24"/>
    <w:rsid w:val="00C927C5"/>
    <w:rsid w:val="00C9641A"/>
    <w:rsid w:val="00CA00BF"/>
    <w:rsid w:val="00CA07B0"/>
    <w:rsid w:val="00CA59BB"/>
    <w:rsid w:val="00CB55B3"/>
    <w:rsid w:val="00CC0F23"/>
    <w:rsid w:val="00CE192E"/>
    <w:rsid w:val="00D003DE"/>
    <w:rsid w:val="00D02DDB"/>
    <w:rsid w:val="00D224B7"/>
    <w:rsid w:val="00D46009"/>
    <w:rsid w:val="00D50670"/>
    <w:rsid w:val="00D634E3"/>
    <w:rsid w:val="00D66C2E"/>
    <w:rsid w:val="00D74432"/>
    <w:rsid w:val="00D74CDD"/>
    <w:rsid w:val="00D950CB"/>
    <w:rsid w:val="00DB4E5D"/>
    <w:rsid w:val="00DC0FA0"/>
    <w:rsid w:val="00DC61B7"/>
    <w:rsid w:val="00DD17BE"/>
    <w:rsid w:val="00DD4362"/>
    <w:rsid w:val="00DD5BC6"/>
    <w:rsid w:val="00DD7900"/>
    <w:rsid w:val="00DE664A"/>
    <w:rsid w:val="00DF673F"/>
    <w:rsid w:val="00DF745F"/>
    <w:rsid w:val="00E13C44"/>
    <w:rsid w:val="00E21D1C"/>
    <w:rsid w:val="00E36495"/>
    <w:rsid w:val="00E422E3"/>
    <w:rsid w:val="00E54A17"/>
    <w:rsid w:val="00E64FF3"/>
    <w:rsid w:val="00E80C47"/>
    <w:rsid w:val="00E839C3"/>
    <w:rsid w:val="00E84BCF"/>
    <w:rsid w:val="00E91A28"/>
    <w:rsid w:val="00E96C17"/>
    <w:rsid w:val="00EA471F"/>
    <w:rsid w:val="00EE0B63"/>
    <w:rsid w:val="00EE6A88"/>
    <w:rsid w:val="00EF27E4"/>
    <w:rsid w:val="00EF40D7"/>
    <w:rsid w:val="00F0557A"/>
    <w:rsid w:val="00F055C8"/>
    <w:rsid w:val="00F06055"/>
    <w:rsid w:val="00F155A7"/>
    <w:rsid w:val="00F15C8C"/>
    <w:rsid w:val="00F2056B"/>
    <w:rsid w:val="00F31563"/>
    <w:rsid w:val="00F33FBC"/>
    <w:rsid w:val="00F357D0"/>
    <w:rsid w:val="00F37919"/>
    <w:rsid w:val="00F524CC"/>
    <w:rsid w:val="00F55E39"/>
    <w:rsid w:val="00F70AEA"/>
    <w:rsid w:val="00F80615"/>
    <w:rsid w:val="00F8505C"/>
    <w:rsid w:val="00F97E4E"/>
    <w:rsid w:val="00FA4421"/>
    <w:rsid w:val="00FA547C"/>
    <w:rsid w:val="00FB2D74"/>
    <w:rsid w:val="00FC09C0"/>
    <w:rsid w:val="00FD316A"/>
    <w:rsid w:val="00FD63C3"/>
    <w:rsid w:val="00FE3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0612B"/>
  <w15:docId w15:val="{784970AA-E53A-4B70-AB48-B318FF61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2">
    <w:name w:val="Body Text Indent 2"/>
    <w:basedOn w:val="a"/>
    <w:link w:val="20"/>
    <w:pPr>
      <w:shd w:val="clear" w:color="auto" w:fill="FFFFFF"/>
      <w:tabs>
        <w:tab w:val="left" w:pos="-2340"/>
      </w:tabs>
      <w:ind w:firstLine="1080"/>
      <w:jc w:val="both"/>
    </w:pPr>
    <w:rPr>
      <w:color w:val="000000"/>
      <w:sz w:val="28"/>
      <w:szCs w:val="28"/>
    </w:rPr>
  </w:style>
  <w:style w:type="paragraph" w:styleId="21">
    <w:name w:val="Body Text 2"/>
    <w:basedOn w:val="a"/>
    <w:link w:val="22"/>
    <w:pPr>
      <w:ind w:firstLine="1080"/>
      <w:jc w:val="both"/>
    </w:pPr>
    <w:rPr>
      <w:sz w:val="28"/>
      <w:szCs w:val="28"/>
    </w:rPr>
  </w:style>
  <w:style w:type="paragraph" w:styleId="a4">
    <w:name w:val="header"/>
    <w:basedOn w:val="a"/>
    <w:link w:val="a5"/>
    <w:pPr>
      <w:tabs>
        <w:tab w:val="center" w:pos="4677"/>
        <w:tab w:val="right" w:pos="9355"/>
      </w:tabs>
    </w:pPr>
  </w:style>
  <w:style w:type="paragraph" w:styleId="a6">
    <w:name w:val="Body Text Indent"/>
    <w:basedOn w:val="a"/>
    <w:link w:val="a7"/>
    <w:pPr>
      <w:spacing w:after="120"/>
      <w:ind w:left="283"/>
    </w:pPr>
  </w:style>
  <w:style w:type="paragraph" w:styleId="a8">
    <w:name w:val="Body Text"/>
    <w:basedOn w:val="a"/>
    <w:link w:val="a9"/>
    <w:pPr>
      <w:spacing w:after="120"/>
    </w:pPr>
  </w:style>
  <w:style w:type="paragraph" w:styleId="aa">
    <w:name w:val="No Spacing"/>
    <w:qFormat/>
    <w:pPr>
      <w:spacing w:after="0" w:line="240" w:lineRule="auto"/>
    </w:pPr>
  </w:style>
  <w:style w:type="paragraph" w:customStyle="1" w:styleId="tjbmf">
    <w:name w:val="tj bmf"/>
    <w:basedOn w:val="a"/>
    <w:pPr>
      <w:spacing w:before="100" w:beforeAutospacing="1" w:after="100" w:afterAutospacing="1"/>
    </w:pPr>
    <w:rPr>
      <w:lang w:val="ru-RU"/>
    </w:rPr>
  </w:style>
  <w:style w:type="paragraph" w:styleId="ab">
    <w:name w:val="List Paragraph"/>
    <w:basedOn w:val="a"/>
    <w:qFormat/>
    <w:pPr>
      <w:ind w:left="720"/>
      <w:contextualSpacing/>
    </w:pPr>
  </w:style>
  <w:style w:type="paragraph" w:styleId="ac">
    <w:name w:val="Balloon Text"/>
    <w:basedOn w:val="a"/>
    <w:link w:val="ad"/>
    <w:semiHidden/>
    <w:rPr>
      <w:rFonts w:ascii="Segoe UI" w:hAnsi="Segoe UI"/>
      <w:sz w:val="18"/>
      <w:szCs w:val="18"/>
    </w:rPr>
  </w:style>
  <w:style w:type="paragraph" w:customStyle="1" w:styleId="StyleZakonu">
    <w:name w:val="StyleZakonu"/>
    <w:basedOn w:val="a"/>
    <w:link w:val="StyleZakonu0"/>
    <w:pPr>
      <w:spacing w:after="60" w:line="220" w:lineRule="exact"/>
      <w:ind w:firstLine="284"/>
      <w:jc w:val="both"/>
    </w:pPr>
    <w:rPr>
      <w:sz w:val="20"/>
      <w:szCs w:val="20"/>
    </w:rPr>
  </w:style>
  <w:style w:type="paragraph" w:styleId="ae">
    <w:name w:val="footer"/>
    <w:basedOn w:val="a"/>
    <w:link w:val="af"/>
    <w:pPr>
      <w:tabs>
        <w:tab w:val="center" w:pos="4819"/>
        <w:tab w:val="right" w:pos="9639"/>
      </w:tabs>
    </w:pPr>
  </w:style>
  <w:style w:type="paragraph" w:styleId="af0">
    <w:name w:val="footnote text"/>
    <w:link w:val="af1"/>
    <w:semiHidden/>
    <w:pPr>
      <w:spacing w:after="0" w:line="240" w:lineRule="auto"/>
    </w:pPr>
    <w:rPr>
      <w:sz w:val="20"/>
      <w:szCs w:val="20"/>
    </w:rPr>
  </w:style>
  <w:style w:type="paragraph" w:styleId="af2">
    <w:name w:val="endnote text"/>
    <w:link w:val="af3"/>
    <w:semiHidden/>
    <w:pPr>
      <w:spacing w:after="0" w:line="240" w:lineRule="auto"/>
    </w:pPr>
    <w:rPr>
      <w:sz w:val="20"/>
      <w:szCs w:val="20"/>
    </w:rPr>
  </w:style>
  <w:style w:type="character" w:styleId="af4">
    <w:name w:val="line number"/>
    <w:basedOn w:val="a0"/>
    <w:semiHidden/>
  </w:style>
  <w:style w:type="character" w:styleId="af5">
    <w:name w:val="Hyperlink"/>
    <w:rPr>
      <w:color w:val="0000FF"/>
      <w:u w:val="single"/>
    </w:rPr>
  </w:style>
  <w:style w:type="character" w:customStyle="1" w:styleId="20">
    <w:name w:val="Основний текст з відступом 2 Знак"/>
    <w:basedOn w:val="a0"/>
    <w:link w:val="2"/>
    <w:rPr>
      <w:rFonts w:ascii="Times New Roman" w:hAnsi="Times New Roman"/>
      <w:color w:val="000000"/>
      <w:sz w:val="28"/>
      <w:szCs w:val="28"/>
      <w:shd w:val="clear" w:color="auto" w:fill="FFFFFF"/>
      <w:lang w:eastAsia="ru-RU"/>
    </w:rPr>
  </w:style>
  <w:style w:type="character" w:customStyle="1" w:styleId="22">
    <w:name w:val="Основний текст 2 Знак"/>
    <w:basedOn w:val="a0"/>
    <w:link w:val="21"/>
    <w:rPr>
      <w:rFonts w:ascii="Times New Roman" w:hAnsi="Times New Roman"/>
      <w:sz w:val="28"/>
      <w:szCs w:val="28"/>
      <w:lang w:eastAsia="ru-RU"/>
    </w:rPr>
  </w:style>
  <w:style w:type="character" w:customStyle="1" w:styleId="a5">
    <w:name w:val="Верхній колонтитул Знак"/>
    <w:basedOn w:val="a0"/>
    <w:link w:val="a4"/>
    <w:rPr>
      <w:rFonts w:ascii="Times New Roman" w:hAnsi="Times New Roman"/>
      <w:sz w:val="24"/>
      <w:szCs w:val="24"/>
      <w:lang w:eastAsia="ru-RU"/>
    </w:rPr>
  </w:style>
  <w:style w:type="character" w:styleId="af6">
    <w:name w:val="page number"/>
    <w:basedOn w:val="a0"/>
  </w:style>
  <w:style w:type="character" w:customStyle="1" w:styleId="a7">
    <w:name w:val="Основний текст з відступом Знак"/>
    <w:basedOn w:val="a0"/>
    <w:link w:val="a6"/>
    <w:rPr>
      <w:rFonts w:ascii="Times New Roman" w:hAnsi="Times New Roman"/>
      <w:sz w:val="24"/>
      <w:szCs w:val="24"/>
    </w:rPr>
  </w:style>
  <w:style w:type="character" w:customStyle="1" w:styleId="a9">
    <w:name w:val="Основний текст Знак"/>
    <w:basedOn w:val="a0"/>
    <w:link w:val="a8"/>
    <w:rPr>
      <w:rFonts w:ascii="Times New Roman" w:hAnsi="Times New Roman"/>
      <w:sz w:val="24"/>
      <w:szCs w:val="24"/>
      <w:lang w:eastAsia="ru-RU"/>
    </w:rPr>
  </w:style>
  <w:style w:type="character" w:styleId="af7">
    <w:name w:val="Emphasis"/>
    <w:qFormat/>
    <w:rPr>
      <w:i/>
      <w:iCs/>
    </w:rPr>
  </w:style>
  <w:style w:type="character" w:customStyle="1" w:styleId="ad">
    <w:name w:val="Текст у виносці Знак"/>
    <w:basedOn w:val="a0"/>
    <w:link w:val="ac"/>
    <w:semiHidden/>
    <w:rPr>
      <w:rFonts w:ascii="Segoe UI" w:hAnsi="Segoe UI"/>
      <w:sz w:val="18"/>
      <w:szCs w:val="18"/>
      <w:lang w:eastAsia="ru-RU"/>
    </w:rPr>
  </w:style>
  <w:style w:type="character" w:customStyle="1" w:styleId="StyleZakonu0">
    <w:name w:val="StyleZakonu Знак"/>
    <w:link w:val="StyleZakonu"/>
    <w:rPr>
      <w:rFonts w:ascii="Times New Roman" w:hAnsi="Times New Roman"/>
      <w:sz w:val="20"/>
      <w:szCs w:val="20"/>
      <w:lang w:eastAsia="ru-RU"/>
    </w:rPr>
  </w:style>
  <w:style w:type="character" w:customStyle="1" w:styleId="af">
    <w:name w:val="Нижній колонтитул Знак"/>
    <w:basedOn w:val="a0"/>
    <w:link w:val="ae"/>
    <w:rPr>
      <w:rFonts w:ascii="Times New Roman" w:hAnsi="Times New Roman"/>
      <w:sz w:val="24"/>
      <w:szCs w:val="24"/>
      <w:lang w:eastAsia="ru-RU"/>
    </w:rPr>
  </w:style>
  <w:style w:type="character" w:styleId="af8">
    <w:name w:val="footnote reference"/>
    <w:semiHidden/>
    <w:rPr>
      <w:vertAlign w:val="superscript"/>
    </w:rPr>
  </w:style>
  <w:style w:type="character" w:customStyle="1" w:styleId="af1">
    <w:name w:val="Текст виноски Знак"/>
    <w:link w:val="af0"/>
    <w:semiHidden/>
    <w:rPr>
      <w:sz w:val="20"/>
      <w:szCs w:val="20"/>
    </w:rPr>
  </w:style>
  <w:style w:type="character" w:styleId="af9">
    <w:name w:val="endnote reference"/>
    <w:semiHidden/>
    <w:rPr>
      <w:vertAlign w:val="superscript"/>
    </w:rPr>
  </w:style>
  <w:style w:type="character" w:customStyle="1" w:styleId="af3">
    <w:name w:val="Текст кінцевої виноски Знак"/>
    <w:link w:val="af2"/>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5511">
      <w:bodyDiv w:val="1"/>
      <w:marLeft w:val="0"/>
      <w:marRight w:val="0"/>
      <w:marTop w:val="0"/>
      <w:marBottom w:val="0"/>
      <w:divBdr>
        <w:top w:val="none" w:sz="0" w:space="0" w:color="auto"/>
        <w:left w:val="none" w:sz="0" w:space="0" w:color="auto"/>
        <w:bottom w:val="none" w:sz="0" w:space="0" w:color="auto"/>
        <w:right w:val="none" w:sz="0" w:space="0" w:color="auto"/>
      </w:divBdr>
    </w:div>
    <w:div w:id="656154850">
      <w:bodyDiv w:val="1"/>
      <w:marLeft w:val="0"/>
      <w:marRight w:val="0"/>
      <w:marTop w:val="0"/>
      <w:marBottom w:val="0"/>
      <w:divBdr>
        <w:top w:val="none" w:sz="0" w:space="0" w:color="auto"/>
        <w:left w:val="none" w:sz="0" w:space="0" w:color="auto"/>
        <w:bottom w:val="none" w:sz="0" w:space="0" w:color="auto"/>
        <w:right w:val="none" w:sz="0" w:space="0" w:color="auto"/>
      </w:divBdr>
    </w:div>
    <w:div w:id="179320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CDD85-7F50-40BF-A1D9-3FB6E091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9702</Words>
  <Characters>5531</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Геращенко Ігор Володимирович</dc:creator>
  <cp:lastModifiedBy>Хохлов Денис Миколайович</cp:lastModifiedBy>
  <cp:revision>17</cp:revision>
  <cp:lastPrinted>2022-01-18T10:07:00Z</cp:lastPrinted>
  <dcterms:created xsi:type="dcterms:W3CDTF">2023-09-07T09:38:00Z</dcterms:created>
  <dcterms:modified xsi:type="dcterms:W3CDTF">2023-09-11T14:05:00Z</dcterms:modified>
</cp:coreProperties>
</file>