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48" w:rsidRDefault="00D51248" w:rsidP="00D51248">
      <w:pPr>
        <w:spacing w:before="120"/>
        <w:ind w:firstLine="567"/>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ПРОЄКТ</w:t>
      </w:r>
    </w:p>
    <w:p w:rsidR="00D51248" w:rsidRDefault="00D51248" w:rsidP="00D51248">
      <w:pPr>
        <w:spacing w:before="120"/>
        <w:ind w:firstLine="567"/>
        <w:jc w:val="center"/>
        <w:rPr>
          <w:rFonts w:ascii="Times New Roman" w:hAnsi="Times New Roman" w:cs="Times New Roman"/>
          <w:b/>
          <w:sz w:val="28"/>
          <w:szCs w:val="28"/>
        </w:rPr>
      </w:pPr>
    </w:p>
    <w:p w:rsidR="00D51248" w:rsidRDefault="00D51248" w:rsidP="00D51248">
      <w:pPr>
        <w:spacing w:before="12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КАБІНЕТ МІНІСТРІВ УКРАЇНИ </w:t>
      </w:r>
    </w:p>
    <w:p w:rsidR="00D51248" w:rsidRDefault="00D51248" w:rsidP="00D51248">
      <w:pPr>
        <w:spacing w:before="120"/>
        <w:ind w:firstLine="567"/>
        <w:jc w:val="center"/>
        <w:rPr>
          <w:rFonts w:ascii="Times New Roman" w:hAnsi="Times New Roman" w:cs="Times New Roman"/>
          <w:b/>
          <w:sz w:val="28"/>
          <w:szCs w:val="28"/>
        </w:rPr>
      </w:pPr>
      <w:r>
        <w:rPr>
          <w:rFonts w:ascii="Times New Roman" w:hAnsi="Times New Roman" w:cs="Times New Roman"/>
          <w:b/>
          <w:sz w:val="28"/>
          <w:szCs w:val="28"/>
        </w:rPr>
        <w:t>ПОСТАНОВА</w:t>
      </w:r>
    </w:p>
    <w:p w:rsidR="00D51248" w:rsidRDefault="00D51248" w:rsidP="00D51248">
      <w:pPr>
        <w:spacing w:before="120"/>
        <w:ind w:firstLine="567"/>
        <w:jc w:val="center"/>
        <w:rPr>
          <w:rFonts w:ascii="Times New Roman" w:hAnsi="Times New Roman" w:cs="Times New Roman"/>
          <w:b/>
          <w:sz w:val="28"/>
          <w:szCs w:val="28"/>
        </w:rPr>
      </w:pPr>
    </w:p>
    <w:p w:rsidR="00D51248" w:rsidRDefault="00D51248" w:rsidP="00D51248">
      <w:pPr>
        <w:spacing w:before="120"/>
        <w:ind w:firstLine="567"/>
        <w:jc w:val="center"/>
        <w:rPr>
          <w:rFonts w:ascii="Times New Roman" w:hAnsi="Times New Roman" w:cs="Times New Roman"/>
          <w:sz w:val="28"/>
          <w:szCs w:val="28"/>
        </w:rPr>
      </w:pPr>
      <w:r>
        <w:rPr>
          <w:rFonts w:ascii="Times New Roman" w:hAnsi="Times New Roman" w:cs="Times New Roman"/>
          <w:sz w:val="28"/>
          <w:szCs w:val="28"/>
        </w:rPr>
        <w:t>від __ ___________ 2020 р. № ___</w:t>
      </w:r>
    </w:p>
    <w:p w:rsidR="00D51248" w:rsidRDefault="00D51248" w:rsidP="00D51248">
      <w:pPr>
        <w:spacing w:before="120"/>
        <w:ind w:firstLine="567"/>
        <w:jc w:val="center"/>
        <w:rPr>
          <w:rFonts w:ascii="Times New Roman" w:hAnsi="Times New Roman" w:cs="Times New Roman"/>
          <w:sz w:val="28"/>
          <w:szCs w:val="28"/>
        </w:rPr>
      </w:pPr>
    </w:p>
    <w:p w:rsidR="00D51248" w:rsidRDefault="00D51248" w:rsidP="00D51248">
      <w:pPr>
        <w:spacing w:before="120"/>
        <w:ind w:firstLine="567"/>
        <w:jc w:val="center"/>
        <w:rPr>
          <w:rFonts w:ascii="Times New Roman" w:hAnsi="Times New Roman" w:cs="Times New Roman"/>
          <w:sz w:val="28"/>
          <w:szCs w:val="28"/>
        </w:rPr>
      </w:pPr>
      <w:r>
        <w:rPr>
          <w:rFonts w:ascii="Times New Roman" w:hAnsi="Times New Roman" w:cs="Times New Roman"/>
          <w:sz w:val="28"/>
          <w:szCs w:val="28"/>
        </w:rPr>
        <w:t xml:space="preserve">м. Київ </w:t>
      </w:r>
    </w:p>
    <w:p w:rsidR="00D51248" w:rsidRDefault="00D51248" w:rsidP="00D51248">
      <w:pPr>
        <w:spacing w:before="120"/>
        <w:ind w:firstLine="567"/>
        <w:jc w:val="center"/>
        <w:rPr>
          <w:rFonts w:ascii="Times New Roman" w:hAnsi="Times New Roman" w:cs="Times New Roman"/>
          <w:b/>
          <w:sz w:val="28"/>
          <w:szCs w:val="28"/>
        </w:rPr>
      </w:pPr>
      <w:r>
        <w:rPr>
          <w:rFonts w:ascii="Times New Roman" w:hAnsi="Times New Roman" w:cs="Times New Roman"/>
          <w:b/>
          <w:sz w:val="28"/>
          <w:szCs w:val="28"/>
        </w:rPr>
        <w:t>Про затвердження Порядку функціонування системи автоматичного зіставлення показників обсягів обігу та залишків пального, показників обсягів обігу спирту етилового</w:t>
      </w:r>
    </w:p>
    <w:p w:rsidR="00D51248" w:rsidRDefault="00D51248" w:rsidP="00D51248">
      <w:pPr>
        <w:spacing w:before="120"/>
        <w:ind w:firstLine="567"/>
        <w:jc w:val="both"/>
        <w:rPr>
          <w:rFonts w:ascii="Times New Roman" w:hAnsi="Times New Roman" w:cs="Times New Roman"/>
          <w:b/>
          <w:sz w:val="28"/>
          <w:szCs w:val="28"/>
        </w:rPr>
      </w:pPr>
    </w:p>
    <w:p w:rsidR="00D51248" w:rsidRDefault="00D51248" w:rsidP="00D51248">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233 Податкового кодексу України Кабінет Міністрів України </w:t>
      </w:r>
      <w:r>
        <w:rPr>
          <w:rFonts w:ascii="Times New Roman" w:hAnsi="Times New Roman" w:cs="Times New Roman"/>
          <w:b/>
          <w:sz w:val="28"/>
          <w:szCs w:val="28"/>
        </w:rPr>
        <w:t>постановляє:</w:t>
      </w:r>
    </w:p>
    <w:p w:rsidR="00D51248" w:rsidRDefault="00D51248" w:rsidP="00D51248">
      <w:pPr>
        <w:spacing w:before="120"/>
        <w:ind w:firstLine="567"/>
        <w:jc w:val="both"/>
        <w:rPr>
          <w:rFonts w:ascii="Times New Roman" w:hAnsi="Times New Roman" w:cs="Times New Roman"/>
          <w:sz w:val="28"/>
          <w:szCs w:val="28"/>
        </w:rPr>
      </w:pPr>
      <w:r>
        <w:rPr>
          <w:rFonts w:ascii="Times New Roman" w:hAnsi="Times New Roman" w:cs="Times New Roman"/>
          <w:sz w:val="28"/>
          <w:szCs w:val="28"/>
        </w:rPr>
        <w:t>1. Затвердити Порядок функціонування системи автоматичного зіставлення показників обсягів обігу та залишків пального, показників обсягів обігу спирту етилового, що додається.</w:t>
      </w:r>
    </w:p>
    <w:p w:rsidR="00D51248" w:rsidRDefault="00D51248" w:rsidP="00D51248">
      <w:pPr>
        <w:spacing w:before="120"/>
        <w:ind w:firstLine="567"/>
        <w:jc w:val="both"/>
        <w:rPr>
          <w:rFonts w:ascii="Times New Roman" w:hAnsi="Times New Roman" w:cs="Times New Roman"/>
          <w:sz w:val="28"/>
          <w:szCs w:val="28"/>
        </w:rPr>
      </w:pPr>
      <w:r>
        <w:rPr>
          <w:rFonts w:ascii="Times New Roman" w:hAnsi="Times New Roman" w:cs="Times New Roman"/>
          <w:sz w:val="28"/>
          <w:szCs w:val="28"/>
        </w:rPr>
        <w:t>2. Ця постанова набирає чинності з 1 квітня 2020 р., але не раніше дня її опублікування.</w:t>
      </w:r>
    </w:p>
    <w:p w:rsidR="00D51248" w:rsidRDefault="00D51248" w:rsidP="00D51248">
      <w:pPr>
        <w:pStyle w:val="a3"/>
        <w:spacing w:before="120"/>
        <w:ind w:firstLine="567"/>
        <w:jc w:val="both"/>
        <w:rPr>
          <w:rFonts w:ascii="Times New Roman" w:hAnsi="Times New Roman" w:cs="Times New Roman"/>
          <w:sz w:val="28"/>
          <w:szCs w:val="28"/>
        </w:rPr>
      </w:pPr>
    </w:p>
    <w:p w:rsidR="00D51248" w:rsidRDefault="00D51248" w:rsidP="00D51248">
      <w:pPr>
        <w:spacing w:before="120"/>
        <w:jc w:val="both"/>
        <w:rPr>
          <w:rFonts w:ascii="Times New Roman" w:hAnsi="Times New Roman" w:cs="Times New Roman"/>
          <w:b/>
          <w:sz w:val="28"/>
          <w:szCs w:val="28"/>
        </w:rPr>
      </w:pPr>
      <w:r>
        <w:rPr>
          <w:rFonts w:ascii="Times New Roman" w:hAnsi="Times New Roman" w:cs="Times New Roman"/>
          <w:b/>
          <w:sz w:val="28"/>
          <w:szCs w:val="28"/>
        </w:rPr>
        <w:t>Прем'єр-міністр України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О. ГОНЧАРУК</w:t>
      </w:r>
    </w:p>
    <w:p w:rsidR="00D51248" w:rsidRDefault="00D51248" w:rsidP="00D51248">
      <w:pPr>
        <w:spacing w:before="120"/>
        <w:ind w:firstLine="567"/>
        <w:jc w:val="both"/>
        <w:rPr>
          <w:rFonts w:ascii="Times New Roman" w:hAnsi="Times New Roman" w:cs="Times New Roman"/>
          <w:b/>
          <w:sz w:val="28"/>
          <w:szCs w:val="28"/>
        </w:rPr>
      </w:pPr>
    </w:p>
    <w:p w:rsidR="00D51248" w:rsidRDefault="00D51248" w:rsidP="00D51248">
      <w:pPr>
        <w:spacing w:before="120"/>
        <w:rPr>
          <w:rFonts w:ascii="Times New Roman" w:hAnsi="Times New Roman" w:cs="Times New Roman"/>
          <w:sz w:val="28"/>
          <w:szCs w:val="28"/>
        </w:rPr>
      </w:pPr>
    </w:p>
    <w:p w:rsidR="00D437D8" w:rsidRDefault="00D437D8"/>
    <w:p w:rsidR="002D0247" w:rsidRDefault="002D0247"/>
    <w:p w:rsidR="002D0247" w:rsidRDefault="002D0247"/>
    <w:p w:rsidR="002D0247" w:rsidRDefault="002D0247"/>
    <w:p w:rsidR="002D0247" w:rsidRDefault="002D0247"/>
    <w:p w:rsidR="002D0247" w:rsidRDefault="002D0247"/>
    <w:p w:rsidR="002D0247" w:rsidRDefault="002D0247" w:rsidP="002D0247">
      <w:pPr>
        <w:spacing w:before="120"/>
        <w:ind w:firstLine="567"/>
        <w:jc w:val="right"/>
        <w:rPr>
          <w:rFonts w:ascii="Times New Roman" w:hAnsi="Times New Roman" w:cs="Times New Roman"/>
          <w:sz w:val="28"/>
          <w:szCs w:val="28"/>
        </w:rPr>
      </w:pPr>
    </w:p>
    <w:p w:rsidR="002D0247" w:rsidRDefault="002D0247" w:rsidP="002D0247">
      <w:pPr>
        <w:spacing w:before="120"/>
        <w:ind w:firstLine="567"/>
        <w:jc w:val="right"/>
        <w:rPr>
          <w:rFonts w:ascii="Times New Roman" w:hAnsi="Times New Roman" w:cs="Times New Roman"/>
          <w:sz w:val="28"/>
          <w:szCs w:val="28"/>
        </w:rPr>
      </w:pPr>
      <w:r>
        <w:rPr>
          <w:rFonts w:ascii="Times New Roman" w:hAnsi="Times New Roman" w:cs="Times New Roman"/>
          <w:sz w:val="28"/>
          <w:szCs w:val="28"/>
        </w:rPr>
        <w:t>ПРОЄКТ</w:t>
      </w:r>
    </w:p>
    <w:p w:rsidR="002D0247" w:rsidRDefault="002D0247" w:rsidP="002D0247">
      <w:pPr>
        <w:spacing w:before="120" w:after="0"/>
        <w:ind w:left="5103"/>
        <w:rPr>
          <w:rFonts w:ascii="Times New Roman" w:hAnsi="Times New Roman" w:cs="Times New Roman"/>
          <w:sz w:val="28"/>
          <w:szCs w:val="28"/>
        </w:rPr>
      </w:pPr>
      <w:r>
        <w:rPr>
          <w:rFonts w:ascii="Times New Roman" w:hAnsi="Times New Roman" w:cs="Times New Roman"/>
          <w:sz w:val="28"/>
          <w:szCs w:val="28"/>
        </w:rPr>
        <w:t xml:space="preserve">ЗАТВЕРДЖЕНО </w:t>
      </w:r>
    </w:p>
    <w:p w:rsidR="002D0247" w:rsidRDefault="002D0247" w:rsidP="002D0247">
      <w:pPr>
        <w:spacing w:before="120" w:after="0"/>
        <w:ind w:left="5103"/>
        <w:rPr>
          <w:rFonts w:ascii="Times New Roman" w:hAnsi="Times New Roman" w:cs="Times New Roman"/>
          <w:sz w:val="28"/>
          <w:szCs w:val="28"/>
        </w:rPr>
      </w:pPr>
      <w:r>
        <w:rPr>
          <w:rFonts w:ascii="Times New Roman" w:hAnsi="Times New Roman" w:cs="Times New Roman"/>
          <w:sz w:val="28"/>
          <w:szCs w:val="28"/>
        </w:rPr>
        <w:t>постановою Кабінету Міністрів України</w:t>
      </w:r>
    </w:p>
    <w:p w:rsidR="002D0247" w:rsidRDefault="002D0247" w:rsidP="002D0247">
      <w:pPr>
        <w:spacing w:before="120" w:after="0"/>
        <w:ind w:left="5103"/>
        <w:rPr>
          <w:rFonts w:ascii="Times New Roman" w:hAnsi="Times New Roman" w:cs="Times New Roman"/>
          <w:sz w:val="28"/>
          <w:szCs w:val="28"/>
        </w:rPr>
      </w:pPr>
      <w:r>
        <w:rPr>
          <w:rFonts w:ascii="Times New Roman" w:hAnsi="Times New Roman" w:cs="Times New Roman"/>
          <w:sz w:val="28"/>
          <w:szCs w:val="28"/>
        </w:rPr>
        <w:t xml:space="preserve">від                         2020 р. №          </w:t>
      </w:r>
    </w:p>
    <w:p w:rsidR="002D0247" w:rsidRDefault="002D0247" w:rsidP="002D0247">
      <w:pPr>
        <w:spacing w:before="120" w:after="0"/>
        <w:ind w:firstLine="567"/>
        <w:jc w:val="both"/>
        <w:rPr>
          <w:rFonts w:ascii="Times New Roman" w:hAnsi="Times New Roman" w:cs="Times New Roman"/>
          <w:b/>
          <w:sz w:val="28"/>
          <w:szCs w:val="28"/>
        </w:rPr>
      </w:pPr>
    </w:p>
    <w:p w:rsidR="002D0247" w:rsidRDefault="002D0247" w:rsidP="002D0247">
      <w:pPr>
        <w:spacing w:before="120" w:after="0"/>
        <w:ind w:firstLine="567"/>
        <w:jc w:val="both"/>
        <w:rPr>
          <w:rFonts w:ascii="Times New Roman" w:hAnsi="Times New Roman" w:cs="Times New Roman"/>
          <w:b/>
          <w:sz w:val="28"/>
          <w:szCs w:val="28"/>
        </w:rPr>
      </w:pPr>
    </w:p>
    <w:p w:rsidR="002D0247" w:rsidRDefault="002D0247" w:rsidP="002D0247">
      <w:pPr>
        <w:spacing w:before="120" w:after="0"/>
        <w:ind w:firstLine="567"/>
        <w:jc w:val="both"/>
        <w:rPr>
          <w:rFonts w:ascii="Times New Roman" w:hAnsi="Times New Roman" w:cs="Times New Roman"/>
          <w:b/>
          <w:sz w:val="28"/>
          <w:szCs w:val="28"/>
        </w:rPr>
      </w:pPr>
    </w:p>
    <w:p w:rsidR="002D0247" w:rsidRDefault="002D0247" w:rsidP="002D0247">
      <w:pPr>
        <w:spacing w:before="120" w:after="0"/>
        <w:ind w:firstLine="567"/>
        <w:jc w:val="both"/>
        <w:rPr>
          <w:rFonts w:ascii="Times New Roman" w:hAnsi="Times New Roman" w:cs="Times New Roman"/>
          <w:b/>
          <w:sz w:val="28"/>
          <w:szCs w:val="28"/>
        </w:rPr>
      </w:pPr>
    </w:p>
    <w:p w:rsidR="002D0247" w:rsidRDefault="002D0247" w:rsidP="002D0247">
      <w:pPr>
        <w:spacing w:before="120" w:after="0"/>
        <w:ind w:firstLine="567"/>
        <w:jc w:val="both"/>
        <w:rPr>
          <w:rFonts w:ascii="Times New Roman" w:hAnsi="Times New Roman" w:cs="Times New Roman"/>
          <w:b/>
          <w:sz w:val="28"/>
          <w:szCs w:val="28"/>
        </w:rPr>
      </w:pPr>
    </w:p>
    <w:p w:rsidR="002D0247" w:rsidRDefault="002D0247" w:rsidP="002D0247">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p>
    <w:p w:rsidR="002D0247" w:rsidRDefault="002D0247" w:rsidP="002D0247">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функціонування системи автоматичного зіставлення показників обсягів обігу та залишків пального, показників обсягів обігу спирту етилового</w:t>
      </w:r>
    </w:p>
    <w:p w:rsidR="002D0247" w:rsidRDefault="002D0247" w:rsidP="002D0247">
      <w:pPr>
        <w:spacing w:before="120" w:after="0"/>
        <w:ind w:firstLine="567"/>
        <w:jc w:val="center"/>
        <w:rPr>
          <w:rFonts w:ascii="Times New Roman" w:hAnsi="Times New Roman" w:cs="Times New Roman"/>
          <w:b/>
          <w:sz w:val="28"/>
          <w:szCs w:val="28"/>
        </w:rPr>
      </w:pPr>
    </w:p>
    <w:p w:rsidR="002D0247" w:rsidRDefault="002D0247" w:rsidP="002D0247">
      <w:pPr>
        <w:spacing w:before="120" w:after="0"/>
        <w:ind w:firstLine="567"/>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1. Цей Порядок визначає механізм функціонування системи автоматичного зіставлення показників обсягів обігу та залишків пального, показників обсягів обігу спирту етилового (далі – система зіставлення) для забезпечення перевірки повноти декларування та сплати акцизного податку платниками податку з обсягів ввезеного на митну територію України, виробленого та реалізованого на митній території України пального або спирту етилового.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2. Зіставлення здійснюється ДПС.</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3. У цьому Порядку терміни вживаються у значенні, наведеному в Податковому кодексі України (далі – Кодекс), Законі України «Про державне регулювання виробництва і обігу спирту етилового, коньячного і плодового, алкогольних напоїв, тютюнових виробів та пального» (далі – Закон) та пункті 2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зв’язку до контролюючих органів, затвердженому постановою Кабінету Міністрів України від 22 листопада 2017 р. № 891 </w:t>
      </w:r>
      <w:r>
        <w:rPr>
          <w:rFonts w:ascii="Times New Roman" w:hAnsi="Times New Roman"/>
          <w:sz w:val="28"/>
          <w:szCs w:val="28"/>
          <w:lang w:eastAsia="uk-UA"/>
        </w:rPr>
        <w:t>(Офіційний вісник України, 2017 р., № 95, ст. 2901)</w:t>
      </w:r>
      <w:r>
        <w:rPr>
          <w:rFonts w:ascii="Times New Roman" w:hAnsi="Times New Roman" w:cs="Times New Roman"/>
          <w:sz w:val="28"/>
          <w:szCs w:val="28"/>
        </w:rPr>
        <w:t>.</w:t>
      </w:r>
    </w:p>
    <w:p w:rsidR="002D0247" w:rsidRDefault="002D0247" w:rsidP="002D0247">
      <w:pPr>
        <w:spacing w:before="120" w:after="0"/>
        <w:ind w:firstLine="567"/>
        <w:jc w:val="center"/>
        <w:rPr>
          <w:rFonts w:ascii="Times New Roman" w:hAnsi="Times New Roman" w:cs="Times New Roman"/>
          <w:b/>
          <w:sz w:val="28"/>
          <w:szCs w:val="28"/>
        </w:rPr>
      </w:pPr>
      <w:r>
        <w:rPr>
          <w:rFonts w:ascii="Times New Roman" w:hAnsi="Times New Roman" w:cs="Times New Roman"/>
          <w:b/>
          <w:sz w:val="28"/>
          <w:szCs w:val="28"/>
        </w:rPr>
        <w:t>Зіставлення показників обсягів обігу та залишків пального, показників обсягів обігу спирту етилового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При зіставленні здійснюється порівняння у розрізі кодів згідно з УКТ ЗЕД (для скрапленого газу – умовного коду 2711 (пропан або суміші пропану з бутаном), інших газів, бутану, ізобутану), акцизних складів та розпорядників акцизних складів показників із системи електронного адміністрування реалізації пального та спирту етилового, які сформовані згідно з пунктом 232.3 статті 232 Кодексу за зареєстрованими документами, складеними у звітному місяці, за який проводиться зіставлення показників, та:</w:t>
      </w:r>
    </w:p>
    <w:p w:rsidR="002D0247" w:rsidRDefault="002D0247" w:rsidP="002D0247">
      <w:pPr>
        <w:ind w:firstLine="567"/>
        <w:jc w:val="both"/>
        <w:rPr>
          <w:rFonts w:ascii="Times New Roman" w:hAnsi="Times New Roman" w:cs="Times New Roman"/>
          <w:sz w:val="28"/>
          <w:szCs w:val="28"/>
        </w:rPr>
      </w:pPr>
      <w:r>
        <w:rPr>
          <w:rFonts w:ascii="Times New Roman" w:hAnsi="Times New Roman" w:cs="Times New Roman"/>
          <w:sz w:val="28"/>
          <w:szCs w:val="28"/>
        </w:rPr>
        <w:t xml:space="preserve">Єдиного державного реєстру витратомірів-лічильників та рівнемірів-лічильників рівня пального у резервуарі щодо обсягів обігу та залишків пального, порядок ведення якого затверджено постановою Кабінету Міністрів України від 22 листопада 2017 року № 891 </w:t>
      </w:r>
      <w:r>
        <w:rPr>
          <w:rFonts w:ascii="Times New Roman" w:hAnsi="Times New Roman"/>
          <w:sz w:val="28"/>
          <w:szCs w:val="28"/>
          <w:lang w:eastAsia="uk-UA"/>
        </w:rPr>
        <w:t>(Офіційний вісник України, 2017 р., № 95, ст. 2901)</w:t>
      </w:r>
      <w:r>
        <w:rPr>
          <w:rFonts w:ascii="Times New Roman" w:hAnsi="Times New Roman" w:cs="Times New Roman"/>
          <w:sz w:val="28"/>
          <w:szCs w:val="28"/>
        </w:rPr>
        <w:t>;</w:t>
      </w:r>
    </w:p>
    <w:p w:rsidR="002D0247" w:rsidRDefault="002D0247" w:rsidP="002D0247">
      <w:pPr>
        <w:ind w:firstLine="567"/>
        <w:jc w:val="both"/>
        <w:rPr>
          <w:rFonts w:ascii="Times New Roman" w:hAnsi="Times New Roman" w:cs="Times New Roman"/>
          <w:sz w:val="28"/>
          <w:szCs w:val="28"/>
        </w:rPr>
      </w:pPr>
      <w:r>
        <w:rPr>
          <w:rFonts w:ascii="Times New Roman" w:hAnsi="Times New Roman" w:cs="Times New Roman"/>
          <w:sz w:val="28"/>
          <w:szCs w:val="28"/>
        </w:rPr>
        <w:t xml:space="preserve">Єдиного державного реєстру витратомірів-лічильників обсягу виробленого спирту етилового щодо обсягів обігу спирту етилового, Порядок ведення якого затверджено постановою Кабінету Міністрів України від 09 жовтня 2013 року № 806 </w:t>
      </w:r>
      <w:r>
        <w:rPr>
          <w:rFonts w:ascii="Times New Roman" w:hAnsi="Times New Roman"/>
          <w:sz w:val="28"/>
          <w:szCs w:val="28"/>
          <w:lang w:eastAsia="uk-UA"/>
        </w:rPr>
        <w:t>(Офіційний вісник України, 2013 р., № 87, ст. 3219)</w:t>
      </w:r>
      <w:r>
        <w:rPr>
          <w:rFonts w:ascii="Times New Roman" w:hAnsi="Times New Roman" w:cs="Times New Roman"/>
          <w:sz w:val="28"/>
          <w:szCs w:val="28"/>
        </w:rPr>
        <w:t>.</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5. При проведенні зіставлення використовуються такі показники:</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1) із системи електронного адміністрування реалізації пального та спирту етилового: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обсяги пального/спирту етилового за отриманими акцизними накладними/розрахунками коригування (∑</w:t>
      </w:r>
      <w:proofErr w:type="spellStart"/>
      <w:r>
        <w:rPr>
          <w:rFonts w:ascii="Times New Roman" w:hAnsi="Times New Roman" w:cs="Times New Roman"/>
          <w:sz w:val="28"/>
          <w:szCs w:val="28"/>
        </w:rPr>
        <w:t>АНаклОтр</w:t>
      </w:r>
      <w:proofErr w:type="spellEnd"/>
      <w:r>
        <w:rPr>
          <w:rFonts w:ascii="Times New Roman" w:hAnsi="Times New Roman" w:cs="Times New Roman"/>
          <w:sz w:val="28"/>
          <w:szCs w:val="28"/>
        </w:rPr>
        <w:t>) та/або за заявками на поповнення обсягу залишку пального або спирту етилового  (∑</w:t>
      </w:r>
      <w:proofErr w:type="spellStart"/>
      <w:r>
        <w:rPr>
          <w:rFonts w:ascii="Times New Roman" w:hAnsi="Times New Roman" w:cs="Times New Roman"/>
          <w:sz w:val="28"/>
          <w:szCs w:val="28"/>
        </w:rPr>
        <w:t>ЗаявкиПоповн</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КоригЗаявкиПоповн</w:t>
      </w:r>
      <w:proofErr w:type="spellEnd"/>
      <w:r>
        <w:rPr>
          <w:rFonts w:ascii="Times New Roman" w:hAnsi="Times New Roman" w:cs="Times New Roman"/>
          <w:sz w:val="28"/>
          <w:szCs w:val="28"/>
        </w:rPr>
        <w:t>);</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обсяги пального/спирту етилового за виданими акцизними накладними/розрахунками коригування (∑</w:t>
      </w:r>
      <w:proofErr w:type="spellStart"/>
      <w:r>
        <w:rPr>
          <w:rFonts w:ascii="Times New Roman" w:hAnsi="Times New Roman" w:cs="Times New Roman"/>
          <w:sz w:val="28"/>
          <w:szCs w:val="28"/>
        </w:rPr>
        <w:t>АНаклВид</w:t>
      </w:r>
      <w:proofErr w:type="spellEnd"/>
      <w:r>
        <w:rPr>
          <w:rFonts w:ascii="Times New Roman" w:hAnsi="Times New Roman" w:cs="Times New Roman"/>
          <w:sz w:val="28"/>
          <w:szCs w:val="28"/>
        </w:rPr>
        <w:t>, ∑Втрат);</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ліміти пального/спирту етилового (∑</w:t>
      </w:r>
      <w:proofErr w:type="spellStart"/>
      <w:r>
        <w:rPr>
          <w:rFonts w:ascii="Times New Roman" w:hAnsi="Times New Roman" w:cs="Times New Roman"/>
          <w:sz w:val="28"/>
          <w:szCs w:val="28"/>
        </w:rPr>
        <w:t>АНакл</w:t>
      </w:r>
      <w:proofErr w:type="spellEnd"/>
      <w:r>
        <w:rPr>
          <w:rFonts w:ascii="Times New Roman" w:hAnsi="Times New Roman" w:cs="Times New Roman"/>
          <w:sz w:val="28"/>
          <w:szCs w:val="28"/>
        </w:rPr>
        <w:t>) на кінець звітного місяця за зареєстрованими документами, які складені не пізніше дати періоду, за який проводиться зіставлення;</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2) з Єдиного державного реєстру витратомірів-лічильників та рівнемірів – лічильників рівня пального у резервуарі/Єдиного державного реєстру витратомірів-лічильників обсягу виробленого спирту етилового: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обсяги  отриманого протягом звітного місяця пального/спирту етилового за щодобовими показниками;</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обсяги реалізованого протягом звітного місяця пального/спирту етилового за щодобовими показниками;</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залишки пального на акцизному складі, на перше число місяця, наступного за звітним, за показниками зазначених реєстрів.</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6. При зіставленні допускаються розбіжності не більше ніж на 5 відсотків обсягу обігу або залишків пального (для скрапленого газу (пропану або суміші пропану з бутаном), інших газів, бутану, ізобутану, на які встановлено однакові ставки акцизного податку, – не  більше ніж на 15 відсотків) чи не більше ніж на 2 відсотки об’єму відповідного резервуара.</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7. При зіставленні допускаються розбіжності не більше ніж на 1 відсоток обсягу обігу або залишків спирту етилового.</w:t>
      </w:r>
    </w:p>
    <w:p w:rsidR="002D0247" w:rsidRDefault="002D0247" w:rsidP="002D0247">
      <w:pPr>
        <w:spacing w:before="120" w:after="0"/>
        <w:ind w:firstLine="567"/>
        <w:jc w:val="center"/>
        <w:rPr>
          <w:rFonts w:ascii="Times New Roman" w:hAnsi="Times New Roman" w:cs="Times New Roman"/>
          <w:b/>
          <w:sz w:val="28"/>
          <w:szCs w:val="28"/>
        </w:rPr>
      </w:pPr>
      <w:r>
        <w:rPr>
          <w:rFonts w:ascii="Times New Roman" w:hAnsi="Times New Roman" w:cs="Times New Roman"/>
          <w:b/>
          <w:sz w:val="28"/>
          <w:szCs w:val="28"/>
        </w:rPr>
        <w:t>Терміни запровадження та періодичність проведення зіставлення</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8. Звітний період дорівнює календарному місяцю. Система зіставлення починає працювати з першого звітного періоду, за який проводиться зіставлення – квітень 2020 року. До 30 червня 2020 року включно система зіставлення працюватиме у тестовому режимі.</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9. Зіставлення здійснюється за показниками станом на 01 число місяця, наступного за звітним. Зіставлення проводиться, починаючи із 16 числа кожного місяця, наступного за звітним. Зіставлення по одному звітному періоду може проводитись протягом трьох років.</w:t>
      </w:r>
    </w:p>
    <w:p w:rsidR="002D0247" w:rsidRDefault="002D0247" w:rsidP="002D0247">
      <w:pPr>
        <w:spacing w:before="120"/>
        <w:ind w:firstLine="567"/>
        <w:jc w:val="center"/>
        <w:rPr>
          <w:rFonts w:ascii="Times New Roman" w:hAnsi="Times New Roman" w:cs="Times New Roman"/>
          <w:b/>
          <w:sz w:val="28"/>
          <w:szCs w:val="28"/>
        </w:rPr>
      </w:pPr>
      <w:r>
        <w:rPr>
          <w:rFonts w:ascii="Times New Roman" w:hAnsi="Times New Roman" w:cs="Times New Roman"/>
          <w:b/>
          <w:sz w:val="28"/>
          <w:szCs w:val="28"/>
        </w:rPr>
        <w:t>Результати зіставлення</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10. Інформація  за результатами зіставлення розміщується для платників в Електронному кабінеті, а для контролюючого органу формується електронний Журнал результатів зіставлення.</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Журнал результатів зіставлення містить таку інформацію:</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ідентифікаційні дані:</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для юридичних осіб, постійних представництв – найменування та код згідно з ЄДРПОУ;</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для юридичних осіб, що уповноважені на ведення обліку діяльності за договорами про спільну діяльність без утворення юридичної особи та є відповідальними за утримання і внесення податків до бюджету під час виконання договорів, – назва  договору, найменування уповноваженої особи та податковий номер, наданий такій особі під час взяття на облік договору згідно з пунктом 63.6 статті 63 та пунктом 64.6 статті 64 Кодексу;</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для фізичних осіб – підприємців – прізвище, ім’я, по батькові (за наявності) та реєстраційний номер облікової картки платника податків або серія (за </w:t>
      </w:r>
      <w:r>
        <w:rPr>
          <w:rFonts w:ascii="Times New Roman" w:hAnsi="Times New Roman" w:cs="Times New Roman"/>
          <w:sz w:val="28"/>
          <w:szCs w:val="28"/>
        </w:rPr>
        <w:lastRenderedPageBreak/>
        <w:t>наявності) та номер паспорта (для фізичних осіб, які мають відмітку в паспорті про право здійснювати будь-які платежі за серією (за наявності) та номером паспорта);</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дата та період проведення зіставлення;</w:t>
      </w:r>
    </w:p>
    <w:p w:rsidR="002D0247" w:rsidRDefault="002D0247" w:rsidP="002D0247">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уніфікований номер акцизного складу пального/спирту етилового в системі електронного адміністрування реалізації пального та спирту етилового;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загальний об’єм </w:t>
      </w:r>
      <w:proofErr w:type="spellStart"/>
      <w:r>
        <w:rPr>
          <w:rFonts w:ascii="Times New Roman" w:hAnsi="Times New Roman" w:cs="Times New Roman"/>
          <w:sz w:val="28"/>
          <w:szCs w:val="28"/>
        </w:rPr>
        <w:t>ємностей</w:t>
      </w:r>
      <w:proofErr w:type="spellEnd"/>
      <w:r>
        <w:rPr>
          <w:rFonts w:ascii="Times New Roman" w:hAnsi="Times New Roman" w:cs="Times New Roman"/>
          <w:sz w:val="28"/>
          <w:szCs w:val="28"/>
        </w:rPr>
        <w:t xml:space="preserve"> резервуарів на акцизному складі;</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коди товару згідно з УКТ ЗЕД (умовний код 2711);</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показники із системи електронного адміністрування реалізації пального та спирту етилового згідно з підпунктом 5.1 пункту 5 цього Порядку;</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показники з Єдиного державного реєстру витратомірів-лічильників та рівнемірів-лічильників рівня пального у резервуарі/Єдиного державного реєстру витратомірів-лічильників обсягу виробленого спирту етилового згідно з підпунктом 5.2 пункту 5 цього Порядку;</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відхилення по отриманому/реалізованому протягом звітного місяця пальному/спирту етиловому (у відсотках), відхилення по залишках пального/спирту етилового (у відсотках)  без урахування обсягів пального, яке вилучено з господарського обігу на підставі постанови слідчого, рішення суду (тощо).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11. У Журналі результатів зіставлення фіксуються суб’єкти господарювання (розпорядники акцизних складів) у розрізі акцизних складів та кодів згідно з УКТ ЗЕД (умовного коду 2711), у яких наявні розбіжності між показниками системи електронного адміністрування реалізації пального та спирту етилового та Єдиного державного реєстру витратомірів-лічильників та рівнемірів-лічильників рівня пального/Єдиного державного реєстру витратомірів-лічильників обсягу виробленого спирту етилового, понад встановлені допустимі значення.</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t>12. На підставі результатів зіставлення платники можуть скласти та зареєструвати документи (акцизна накладна, коригуюча акцизна накладна, заявка на поповнення, коригуюча довідка тощо), необхідні для усунення розбіжностей у Системі електронного адміністрування реалізації пального та спирту етилового та/або Єдиному державному реєстрі витратомірів-лічильників та рівнемірів-лічильників рівня пального у резервуарі/Єдиному державному реєстрі витратомірів-лічильників обсягу виробленого спирту етилового.</w:t>
      </w:r>
    </w:p>
    <w:p w:rsidR="002D0247" w:rsidRDefault="002D0247" w:rsidP="002D0247">
      <w:pPr>
        <w:spacing w:before="120"/>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Контролюючі органи використовують результати зіставлення при перевірках дотримання норм Кодексу та Закону з питань виробництва та обігу  пального та спирту етилового.</w:t>
      </w:r>
    </w:p>
    <w:p w:rsidR="002D0247" w:rsidRDefault="002D0247" w:rsidP="002D0247">
      <w:pPr>
        <w:spacing w:before="120"/>
        <w:ind w:firstLine="567"/>
        <w:jc w:val="center"/>
        <w:rPr>
          <w:rFonts w:ascii="Times New Roman" w:hAnsi="Times New Roman" w:cs="Times New Roman"/>
          <w:sz w:val="28"/>
          <w:szCs w:val="28"/>
        </w:rPr>
      </w:pPr>
      <w:r>
        <w:rPr>
          <w:rFonts w:ascii="Times New Roman" w:hAnsi="Times New Roman" w:cs="Times New Roman"/>
          <w:sz w:val="28"/>
          <w:szCs w:val="28"/>
        </w:rPr>
        <w:t>___________</w:t>
      </w:r>
    </w:p>
    <w:p w:rsidR="002D0247" w:rsidRDefault="002D0247"/>
    <w:sectPr w:rsidR="002D02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99"/>
    <w:rsid w:val="002D0247"/>
    <w:rsid w:val="00B76986"/>
    <w:rsid w:val="00BA0C99"/>
    <w:rsid w:val="00D437D8"/>
    <w:rsid w:val="00D51248"/>
    <w:rsid w:val="00DF3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D2B33-5303-484D-B4B2-EB46F6A3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6744">
      <w:bodyDiv w:val="1"/>
      <w:marLeft w:val="0"/>
      <w:marRight w:val="0"/>
      <w:marTop w:val="0"/>
      <w:marBottom w:val="0"/>
      <w:divBdr>
        <w:top w:val="none" w:sz="0" w:space="0" w:color="auto"/>
        <w:left w:val="none" w:sz="0" w:space="0" w:color="auto"/>
        <w:bottom w:val="none" w:sz="0" w:space="0" w:color="auto"/>
        <w:right w:val="none" w:sz="0" w:space="0" w:color="auto"/>
      </w:divBdr>
    </w:div>
    <w:div w:id="13716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5545</Words>
  <Characters>3162</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Ганнисик Людмила Василівна</cp:lastModifiedBy>
  <cp:revision>2</cp:revision>
  <dcterms:created xsi:type="dcterms:W3CDTF">2020-03-04T12:53:00Z</dcterms:created>
  <dcterms:modified xsi:type="dcterms:W3CDTF">2020-03-04T12:53:00Z</dcterms:modified>
</cp:coreProperties>
</file>