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D00" w:rsidRPr="00E12FC4" w:rsidRDefault="008A4D00" w:rsidP="008A4D00">
      <w:pPr>
        <w:widowControl w:val="0"/>
        <w:shd w:val="clear" w:color="auto" w:fill="FFFFFF"/>
        <w:spacing w:after="0" w:line="240" w:lineRule="auto"/>
        <w:jc w:val="center"/>
        <w:rPr>
          <w:rFonts w:ascii="Times New Roman" w:eastAsia="Times New Roman" w:hAnsi="Times New Roman" w:cs="Times New Roman"/>
          <w:b/>
          <w:caps/>
          <w:spacing w:val="-4"/>
          <w:sz w:val="28"/>
          <w:szCs w:val="28"/>
          <w:lang w:eastAsia="ru-RU"/>
        </w:rPr>
      </w:pPr>
      <w:r w:rsidRPr="00E12FC4">
        <w:rPr>
          <w:rFonts w:ascii="Times New Roman" w:eastAsia="Times New Roman" w:hAnsi="Times New Roman" w:cs="Times New Roman"/>
          <w:b/>
          <w:caps/>
          <w:spacing w:val="-4"/>
          <w:sz w:val="28"/>
          <w:szCs w:val="28"/>
          <w:lang w:eastAsia="ru-RU"/>
        </w:rPr>
        <w:t>Порівняльна таблиця</w:t>
      </w:r>
    </w:p>
    <w:p w:rsidR="0057591A" w:rsidRPr="00E12FC4" w:rsidRDefault="008A4D00" w:rsidP="008A4D00">
      <w:pPr>
        <w:widowControl w:val="0"/>
        <w:spacing w:after="0" w:line="240" w:lineRule="auto"/>
        <w:jc w:val="center"/>
        <w:rPr>
          <w:rFonts w:ascii="Times New Roman" w:eastAsia="Times New Roman" w:hAnsi="Times New Roman" w:cs="Times New Roman"/>
          <w:b/>
          <w:spacing w:val="-4"/>
          <w:sz w:val="28"/>
          <w:szCs w:val="28"/>
          <w:lang w:eastAsia="ru-RU"/>
        </w:rPr>
      </w:pPr>
      <w:r w:rsidRPr="00E12FC4">
        <w:rPr>
          <w:rFonts w:ascii="Times New Roman" w:eastAsia="Times New Roman" w:hAnsi="Times New Roman" w:cs="Times New Roman"/>
          <w:b/>
          <w:spacing w:val="-4"/>
          <w:sz w:val="28"/>
          <w:szCs w:val="28"/>
          <w:lang w:eastAsia="ru-RU"/>
        </w:rPr>
        <w:t>до проекту</w:t>
      </w:r>
      <w:r w:rsidR="008D57FA" w:rsidRPr="00E12FC4">
        <w:rPr>
          <w:rFonts w:ascii="Times New Roman" w:eastAsia="Times New Roman" w:hAnsi="Times New Roman" w:cs="Times New Roman"/>
          <w:b/>
          <w:spacing w:val="-4"/>
          <w:sz w:val="28"/>
          <w:szCs w:val="28"/>
          <w:lang w:eastAsia="ru-RU"/>
        </w:rPr>
        <w:t xml:space="preserve"> наказу Міністерства фінансів України</w:t>
      </w:r>
      <w:r w:rsidRPr="00E12FC4">
        <w:rPr>
          <w:rFonts w:ascii="Times New Roman" w:eastAsia="Times New Roman" w:hAnsi="Times New Roman" w:cs="Times New Roman"/>
          <w:b/>
          <w:spacing w:val="-4"/>
          <w:sz w:val="28"/>
          <w:szCs w:val="28"/>
          <w:lang w:eastAsia="ru-RU"/>
        </w:rPr>
        <w:t xml:space="preserve"> </w:t>
      </w:r>
      <w:r w:rsidR="008D57FA" w:rsidRPr="00E12FC4">
        <w:rPr>
          <w:rFonts w:ascii="Times New Roman" w:eastAsia="Times New Roman" w:hAnsi="Times New Roman" w:cs="Times New Roman"/>
          <w:b/>
          <w:spacing w:val="-4"/>
          <w:sz w:val="28"/>
          <w:szCs w:val="28"/>
          <w:lang w:eastAsia="ru-RU"/>
        </w:rPr>
        <w:t xml:space="preserve">«Про внесення </w:t>
      </w:r>
      <w:r w:rsidRPr="00E12FC4">
        <w:rPr>
          <w:rFonts w:ascii="Times New Roman" w:eastAsia="Times New Roman" w:hAnsi="Times New Roman" w:cs="Times New Roman"/>
          <w:b/>
          <w:spacing w:val="-4"/>
          <w:sz w:val="28"/>
          <w:szCs w:val="28"/>
          <w:lang w:eastAsia="ru-RU"/>
        </w:rPr>
        <w:t>змін</w:t>
      </w:r>
      <w:r w:rsidR="0057591A" w:rsidRPr="00E12FC4">
        <w:rPr>
          <w:rFonts w:ascii="Times New Roman" w:eastAsia="Times New Roman" w:hAnsi="Times New Roman" w:cs="Times New Roman"/>
          <w:b/>
          <w:spacing w:val="-4"/>
          <w:sz w:val="28"/>
          <w:szCs w:val="28"/>
          <w:lang w:eastAsia="ru-RU"/>
        </w:rPr>
        <w:t xml:space="preserve"> </w:t>
      </w:r>
      <w:r w:rsidRPr="00E12FC4">
        <w:rPr>
          <w:rFonts w:ascii="Times New Roman" w:eastAsia="Times New Roman" w:hAnsi="Times New Roman" w:cs="Times New Roman"/>
          <w:b/>
          <w:spacing w:val="-4"/>
          <w:sz w:val="28"/>
          <w:szCs w:val="28"/>
          <w:lang w:eastAsia="ru-RU"/>
        </w:rPr>
        <w:t xml:space="preserve">до </w:t>
      </w:r>
      <w:r w:rsidR="0057591A" w:rsidRPr="00E12FC4">
        <w:rPr>
          <w:rFonts w:ascii="Times New Roman" w:eastAsia="Times New Roman" w:hAnsi="Times New Roman" w:cs="Times New Roman"/>
          <w:b/>
          <w:spacing w:val="-4"/>
          <w:sz w:val="28"/>
          <w:szCs w:val="28"/>
          <w:lang w:eastAsia="ru-RU"/>
        </w:rPr>
        <w:t>Інструкції про застосування</w:t>
      </w:r>
    </w:p>
    <w:p w:rsidR="008A4D00" w:rsidRPr="00E12FC4" w:rsidRDefault="0057591A" w:rsidP="008A4D00">
      <w:pPr>
        <w:widowControl w:val="0"/>
        <w:spacing w:after="0" w:line="240" w:lineRule="auto"/>
        <w:jc w:val="center"/>
        <w:rPr>
          <w:rFonts w:ascii="Times New Roman" w:eastAsia="Times New Roman" w:hAnsi="Times New Roman" w:cs="Times New Roman"/>
          <w:b/>
          <w:spacing w:val="-4"/>
          <w:sz w:val="28"/>
          <w:szCs w:val="28"/>
          <w:lang w:eastAsia="ru-RU"/>
        </w:rPr>
      </w:pPr>
      <w:r w:rsidRPr="00E12FC4">
        <w:rPr>
          <w:rFonts w:ascii="Times New Roman" w:eastAsia="Times New Roman" w:hAnsi="Times New Roman" w:cs="Times New Roman"/>
          <w:b/>
          <w:spacing w:val="-4"/>
          <w:sz w:val="28"/>
          <w:szCs w:val="28"/>
          <w:lang w:eastAsia="ru-RU"/>
        </w:rPr>
        <w:t>Плану рахунків бухгалтерського обліку активів, капіталу, зобов’язань і господарських операцій підприємств і організацій</w:t>
      </w:r>
      <w:r w:rsidR="008D57FA" w:rsidRPr="00E12FC4">
        <w:rPr>
          <w:rFonts w:ascii="Times New Roman" w:eastAsia="Times New Roman" w:hAnsi="Times New Roman" w:cs="Times New Roman"/>
          <w:b/>
          <w:spacing w:val="-4"/>
          <w:sz w:val="28"/>
          <w:szCs w:val="28"/>
          <w:lang w:eastAsia="ru-RU"/>
        </w:rPr>
        <w:t>»</w:t>
      </w:r>
    </w:p>
    <w:p w:rsidR="008A4D00" w:rsidRPr="00E12FC4" w:rsidRDefault="008A4D00" w:rsidP="008A4D00">
      <w:pPr>
        <w:widowControl w:val="0"/>
        <w:spacing w:after="0" w:line="240" w:lineRule="auto"/>
        <w:jc w:val="center"/>
        <w:rPr>
          <w:rFonts w:ascii="Times New Roman" w:eastAsia="Times New Roman" w:hAnsi="Times New Roman" w:cs="Times New Roman"/>
          <w:spacing w:val="-4"/>
          <w:sz w:val="28"/>
          <w:szCs w:val="28"/>
          <w:lang w:eastAsia="ru-RU"/>
        </w:rPr>
      </w:pPr>
    </w:p>
    <w:tbl>
      <w:tblPr>
        <w:tblW w:w="157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0"/>
        <w:gridCol w:w="7880"/>
      </w:tblGrid>
      <w:tr w:rsidR="00DC5C0F" w:rsidRPr="00E12FC4" w:rsidTr="008D57FA">
        <w:trPr>
          <w:trHeight w:val="556"/>
        </w:trPr>
        <w:tc>
          <w:tcPr>
            <w:tcW w:w="7880" w:type="dxa"/>
            <w:tcBorders>
              <w:top w:val="single" w:sz="4" w:space="0" w:color="auto"/>
              <w:left w:val="single" w:sz="4" w:space="0" w:color="auto"/>
              <w:bottom w:val="single" w:sz="4" w:space="0" w:color="auto"/>
              <w:right w:val="single" w:sz="4" w:space="0" w:color="auto"/>
            </w:tcBorders>
            <w:vAlign w:val="center"/>
            <w:hideMark/>
          </w:tcPr>
          <w:p w:rsidR="008D57FA" w:rsidRPr="00E12FC4" w:rsidRDefault="008D57FA" w:rsidP="00511136">
            <w:pPr>
              <w:widowControl w:val="0"/>
              <w:spacing w:after="0" w:line="240" w:lineRule="auto"/>
              <w:jc w:val="center"/>
              <w:rPr>
                <w:rFonts w:ascii="Times New Roman" w:eastAsia="Times New Roman" w:hAnsi="Times New Roman" w:cs="Times New Roman"/>
                <w:b/>
                <w:spacing w:val="-4"/>
                <w:sz w:val="24"/>
                <w:szCs w:val="24"/>
                <w:lang w:eastAsia="ru-RU"/>
              </w:rPr>
            </w:pPr>
            <w:r w:rsidRPr="00E12FC4">
              <w:rPr>
                <w:rFonts w:ascii="Times New Roman" w:eastAsia="Times New Roman" w:hAnsi="Times New Roman" w:cs="Times New Roman"/>
                <w:b/>
                <w:spacing w:val="-4"/>
                <w:sz w:val="24"/>
                <w:szCs w:val="24"/>
                <w:lang w:eastAsia="ru-RU"/>
              </w:rPr>
              <w:t xml:space="preserve">Зміст положення (норми) чинного </w:t>
            </w:r>
            <w:proofErr w:type="spellStart"/>
            <w:r w:rsidRPr="00E12FC4">
              <w:rPr>
                <w:rFonts w:ascii="Times New Roman" w:eastAsia="Times New Roman" w:hAnsi="Times New Roman" w:cs="Times New Roman"/>
                <w:b/>
                <w:spacing w:val="-4"/>
                <w:sz w:val="24"/>
                <w:szCs w:val="24"/>
                <w:lang w:eastAsia="ru-RU"/>
              </w:rPr>
              <w:t>акта</w:t>
            </w:r>
            <w:proofErr w:type="spellEnd"/>
            <w:r w:rsidRPr="00E12FC4">
              <w:rPr>
                <w:rFonts w:ascii="Times New Roman" w:eastAsia="Times New Roman" w:hAnsi="Times New Roman" w:cs="Times New Roman"/>
                <w:b/>
                <w:spacing w:val="-4"/>
                <w:sz w:val="24"/>
                <w:szCs w:val="24"/>
                <w:lang w:eastAsia="ru-RU"/>
              </w:rPr>
              <w:t xml:space="preserve"> законодавства</w:t>
            </w:r>
          </w:p>
        </w:tc>
        <w:tc>
          <w:tcPr>
            <w:tcW w:w="7880" w:type="dxa"/>
            <w:tcBorders>
              <w:top w:val="single" w:sz="4" w:space="0" w:color="auto"/>
              <w:left w:val="single" w:sz="4" w:space="0" w:color="auto"/>
              <w:bottom w:val="single" w:sz="4" w:space="0" w:color="auto"/>
              <w:right w:val="single" w:sz="4" w:space="0" w:color="auto"/>
            </w:tcBorders>
            <w:vAlign w:val="center"/>
            <w:hideMark/>
          </w:tcPr>
          <w:p w:rsidR="008D57FA" w:rsidRPr="00E12FC4" w:rsidRDefault="008D57FA" w:rsidP="00511136">
            <w:pPr>
              <w:widowControl w:val="0"/>
              <w:spacing w:after="0" w:line="240" w:lineRule="auto"/>
              <w:jc w:val="center"/>
              <w:rPr>
                <w:rFonts w:ascii="Times New Roman" w:eastAsia="Times New Roman" w:hAnsi="Times New Roman" w:cs="Times New Roman"/>
                <w:b/>
                <w:spacing w:val="-4"/>
                <w:sz w:val="24"/>
                <w:szCs w:val="24"/>
                <w:lang w:eastAsia="ru-RU"/>
              </w:rPr>
            </w:pPr>
            <w:r w:rsidRPr="00E12FC4">
              <w:rPr>
                <w:rFonts w:ascii="Times New Roman" w:eastAsia="Times New Roman" w:hAnsi="Times New Roman" w:cs="Times New Roman"/>
                <w:b/>
                <w:spacing w:val="-4"/>
                <w:sz w:val="24"/>
                <w:szCs w:val="24"/>
                <w:lang w:eastAsia="ru-RU"/>
              </w:rPr>
              <w:t xml:space="preserve">Зміст положення (норми) змін до </w:t>
            </w:r>
            <w:proofErr w:type="spellStart"/>
            <w:r w:rsidRPr="00E12FC4">
              <w:rPr>
                <w:rFonts w:ascii="Times New Roman" w:eastAsia="Times New Roman" w:hAnsi="Times New Roman" w:cs="Times New Roman"/>
                <w:b/>
                <w:spacing w:val="-4"/>
                <w:sz w:val="24"/>
                <w:szCs w:val="24"/>
                <w:lang w:eastAsia="ru-RU"/>
              </w:rPr>
              <w:t>акта</w:t>
            </w:r>
            <w:proofErr w:type="spellEnd"/>
            <w:r w:rsidRPr="00E12FC4">
              <w:rPr>
                <w:rFonts w:ascii="Times New Roman" w:eastAsia="Times New Roman" w:hAnsi="Times New Roman" w:cs="Times New Roman"/>
                <w:b/>
                <w:spacing w:val="-4"/>
                <w:sz w:val="24"/>
                <w:szCs w:val="24"/>
                <w:lang w:eastAsia="ru-RU"/>
              </w:rPr>
              <w:t xml:space="preserve"> законодавства</w:t>
            </w:r>
          </w:p>
        </w:tc>
      </w:tr>
      <w:tr w:rsidR="008D57FA" w:rsidRPr="00E12FC4" w:rsidTr="002B211A">
        <w:trPr>
          <w:trHeight w:val="556"/>
        </w:trPr>
        <w:tc>
          <w:tcPr>
            <w:tcW w:w="15760" w:type="dxa"/>
            <w:gridSpan w:val="2"/>
            <w:tcBorders>
              <w:top w:val="single" w:sz="4" w:space="0" w:color="auto"/>
              <w:left w:val="single" w:sz="4" w:space="0" w:color="auto"/>
              <w:bottom w:val="single" w:sz="4" w:space="0" w:color="auto"/>
              <w:right w:val="single" w:sz="4" w:space="0" w:color="auto"/>
            </w:tcBorders>
          </w:tcPr>
          <w:p w:rsidR="00DC5C0F" w:rsidRPr="00E12FC4" w:rsidRDefault="008D57FA" w:rsidP="008D57FA">
            <w:pPr>
              <w:spacing w:after="0" w:line="240" w:lineRule="auto"/>
              <w:ind w:firstLine="284"/>
              <w:jc w:val="center"/>
              <w:rPr>
                <w:rFonts w:ascii="Times New Roman" w:hAnsi="Times New Roman" w:cs="Times New Roman"/>
                <w:b/>
                <w:bCs/>
                <w:sz w:val="24"/>
                <w:szCs w:val="24"/>
              </w:rPr>
            </w:pPr>
            <w:r w:rsidRPr="00E12FC4">
              <w:rPr>
                <w:rFonts w:ascii="Times New Roman" w:hAnsi="Times New Roman" w:cs="Times New Roman"/>
                <w:b/>
                <w:bCs/>
                <w:sz w:val="24"/>
                <w:szCs w:val="24"/>
              </w:rPr>
              <w:t xml:space="preserve">Інструкція </w:t>
            </w:r>
            <w:r w:rsidR="00DC5C0F" w:rsidRPr="00E12FC4">
              <w:rPr>
                <w:rFonts w:ascii="Times New Roman" w:hAnsi="Times New Roman" w:cs="Times New Roman"/>
                <w:b/>
                <w:bCs/>
                <w:sz w:val="24"/>
                <w:szCs w:val="24"/>
              </w:rPr>
              <w:t>про застосування Плану рахунків</w:t>
            </w:r>
          </w:p>
          <w:p w:rsidR="008D57FA" w:rsidRPr="00E12FC4" w:rsidRDefault="008D57FA" w:rsidP="008D57FA">
            <w:pPr>
              <w:spacing w:after="0" w:line="240" w:lineRule="auto"/>
              <w:ind w:firstLine="284"/>
              <w:jc w:val="center"/>
              <w:rPr>
                <w:rFonts w:ascii="Times New Roman" w:hAnsi="Times New Roman" w:cs="Times New Roman"/>
                <w:sz w:val="24"/>
                <w:szCs w:val="24"/>
              </w:rPr>
            </w:pPr>
            <w:r w:rsidRPr="00E12FC4">
              <w:rPr>
                <w:rFonts w:ascii="Times New Roman" w:hAnsi="Times New Roman" w:cs="Times New Roman"/>
                <w:b/>
                <w:bCs/>
                <w:sz w:val="24"/>
                <w:szCs w:val="24"/>
              </w:rPr>
              <w:t>бухгалтерського обліку активів, капіталу, зобов’язань і господарських операцій підприємств і організацій</w:t>
            </w:r>
          </w:p>
          <w:p w:rsidR="008D57FA" w:rsidRPr="00E12FC4" w:rsidRDefault="008D57FA" w:rsidP="008D57FA">
            <w:pPr>
              <w:widowControl w:val="0"/>
              <w:spacing w:after="0" w:line="240" w:lineRule="auto"/>
              <w:jc w:val="center"/>
              <w:rPr>
                <w:rFonts w:ascii="Times New Roman" w:eastAsia="Times New Roman" w:hAnsi="Times New Roman" w:cs="Times New Roman"/>
                <w:b/>
                <w:spacing w:val="-4"/>
                <w:sz w:val="24"/>
                <w:szCs w:val="24"/>
                <w:lang w:eastAsia="ru-RU"/>
              </w:rPr>
            </w:pPr>
            <w:r w:rsidRPr="00E12FC4">
              <w:rPr>
                <w:rFonts w:ascii="Times New Roman" w:hAnsi="Times New Roman" w:cs="Times New Roman"/>
                <w:sz w:val="24"/>
                <w:szCs w:val="24"/>
              </w:rPr>
              <w:t>(наказ Міністерства фінансів України від 30.11.1999 № 291)</w:t>
            </w:r>
          </w:p>
        </w:tc>
      </w:tr>
      <w:tr w:rsidR="007B41F4" w:rsidRPr="00E12FC4" w:rsidTr="007B41F4">
        <w:trPr>
          <w:trHeight w:val="4050"/>
        </w:trPr>
        <w:tc>
          <w:tcPr>
            <w:tcW w:w="7880" w:type="dxa"/>
            <w:tcBorders>
              <w:top w:val="single" w:sz="4" w:space="0" w:color="auto"/>
              <w:left w:val="single" w:sz="4" w:space="0" w:color="auto"/>
              <w:bottom w:val="single" w:sz="4" w:space="0" w:color="auto"/>
              <w:right w:val="single" w:sz="4" w:space="0" w:color="auto"/>
            </w:tcBorders>
            <w:shd w:val="clear" w:color="auto" w:fill="auto"/>
          </w:tcPr>
          <w:p w:rsidR="007B41F4" w:rsidRPr="00E12FC4" w:rsidRDefault="007B41F4" w:rsidP="007B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4"/>
              <w:jc w:val="center"/>
              <w:rPr>
                <w:rFonts w:ascii="Times New Roman" w:eastAsia="Times New Roman" w:hAnsi="Times New Roman"/>
                <w:b/>
                <w:bCs/>
                <w:sz w:val="24"/>
                <w:szCs w:val="24"/>
                <w:lang w:eastAsia="uk-UA"/>
              </w:rPr>
            </w:pPr>
            <w:r w:rsidRPr="00E12FC4">
              <w:rPr>
                <w:rFonts w:ascii="Times New Roman" w:eastAsia="Times New Roman" w:hAnsi="Times New Roman"/>
                <w:b/>
                <w:bCs/>
                <w:sz w:val="24"/>
                <w:szCs w:val="24"/>
                <w:lang w:eastAsia="uk-UA"/>
              </w:rPr>
              <w:t>Рахунок 28 «Товари»</w:t>
            </w:r>
          </w:p>
          <w:p w:rsidR="007B41F4" w:rsidRPr="00E12FC4" w:rsidRDefault="007B41F4" w:rsidP="007B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4"/>
              <w:jc w:val="both"/>
              <w:rPr>
                <w:rFonts w:ascii="Times New Roman" w:eastAsia="Times New Roman" w:hAnsi="Times New Roman"/>
                <w:bCs/>
                <w:sz w:val="24"/>
                <w:szCs w:val="24"/>
                <w:lang w:eastAsia="uk-UA"/>
              </w:rPr>
            </w:pPr>
            <w:r w:rsidRPr="00E12FC4">
              <w:rPr>
                <w:rFonts w:ascii="Times New Roman" w:eastAsia="Times New Roman" w:hAnsi="Times New Roman"/>
                <w:bCs/>
                <w:sz w:val="24"/>
                <w:szCs w:val="24"/>
                <w:lang w:eastAsia="uk-UA"/>
              </w:rPr>
              <w:t>На рахунку 28 «Товари» ведеться облік руху товарно-матеріальних цінностей, що надійшли на підприємство з метою продажу. Цей рахунок використовують в основному збутові, торгові та заготівельні підприємства і організації, а також підприємства громадського харчування.</w:t>
            </w:r>
          </w:p>
          <w:p w:rsidR="007B41F4" w:rsidRPr="00E12FC4" w:rsidRDefault="007B41F4" w:rsidP="007B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4"/>
              <w:jc w:val="both"/>
              <w:rPr>
                <w:rFonts w:ascii="Times New Roman" w:eastAsia="Times New Roman" w:hAnsi="Times New Roman"/>
                <w:bCs/>
                <w:sz w:val="24"/>
                <w:szCs w:val="24"/>
                <w:lang w:eastAsia="uk-UA"/>
              </w:rPr>
            </w:pPr>
            <w:r w:rsidRPr="00E12FC4">
              <w:rPr>
                <w:rFonts w:ascii="Times New Roman" w:eastAsia="Times New Roman" w:hAnsi="Times New Roman"/>
                <w:bCs/>
                <w:sz w:val="24"/>
                <w:szCs w:val="24"/>
                <w:lang w:eastAsia="uk-UA"/>
              </w:rPr>
              <w:t>…</w:t>
            </w:r>
          </w:p>
          <w:p w:rsidR="007B41F4" w:rsidRPr="00E12FC4" w:rsidRDefault="007B41F4" w:rsidP="007B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4"/>
              <w:jc w:val="both"/>
              <w:rPr>
                <w:rFonts w:ascii="Times New Roman" w:eastAsia="Times New Roman" w:hAnsi="Times New Roman"/>
                <w:bCs/>
                <w:sz w:val="24"/>
                <w:szCs w:val="24"/>
                <w:lang w:eastAsia="uk-UA"/>
              </w:rPr>
            </w:pPr>
            <w:r w:rsidRPr="00E12FC4">
              <w:rPr>
                <w:rFonts w:ascii="Times New Roman" w:eastAsia="Times New Roman" w:hAnsi="Times New Roman"/>
                <w:bCs/>
                <w:sz w:val="24"/>
                <w:szCs w:val="24"/>
                <w:lang w:eastAsia="uk-UA"/>
              </w:rPr>
              <w:t>Рахунок 28 «Товари» має такі субрахунки:</w:t>
            </w:r>
          </w:p>
          <w:p w:rsidR="007B41F4" w:rsidRPr="00E12FC4" w:rsidRDefault="007B41F4" w:rsidP="007B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4"/>
              <w:jc w:val="both"/>
              <w:rPr>
                <w:rFonts w:ascii="Times New Roman" w:eastAsia="Times New Roman" w:hAnsi="Times New Roman"/>
                <w:bCs/>
                <w:sz w:val="24"/>
                <w:szCs w:val="24"/>
                <w:lang w:eastAsia="uk-UA"/>
              </w:rPr>
            </w:pPr>
            <w:r w:rsidRPr="00E12FC4">
              <w:rPr>
                <w:rFonts w:ascii="Times New Roman" w:eastAsia="Times New Roman" w:hAnsi="Times New Roman"/>
                <w:bCs/>
                <w:sz w:val="24"/>
                <w:szCs w:val="24"/>
                <w:lang w:eastAsia="uk-UA"/>
              </w:rPr>
              <w:t>…</w:t>
            </w:r>
          </w:p>
          <w:p w:rsidR="007B41F4" w:rsidRPr="00E12FC4" w:rsidRDefault="007B41F4" w:rsidP="007B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4"/>
              <w:jc w:val="both"/>
              <w:rPr>
                <w:rFonts w:ascii="Times New Roman" w:eastAsia="Times New Roman" w:hAnsi="Times New Roman"/>
                <w:bCs/>
                <w:sz w:val="24"/>
                <w:szCs w:val="24"/>
                <w:lang w:eastAsia="uk-UA"/>
              </w:rPr>
            </w:pPr>
            <w:r w:rsidRPr="00E12FC4">
              <w:rPr>
                <w:rFonts w:ascii="Times New Roman" w:eastAsia="Times New Roman" w:hAnsi="Times New Roman"/>
                <w:bCs/>
                <w:sz w:val="24"/>
                <w:szCs w:val="24"/>
                <w:lang w:eastAsia="uk-UA"/>
              </w:rPr>
              <w:t>286 «Необоротні активи та групи вибуття, утримувані для продажу»</w:t>
            </w:r>
          </w:p>
          <w:p w:rsidR="007B41F4" w:rsidRPr="00E12FC4" w:rsidRDefault="007B41F4" w:rsidP="007B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4"/>
              <w:jc w:val="both"/>
              <w:rPr>
                <w:rFonts w:ascii="Times New Roman" w:eastAsia="Times New Roman" w:hAnsi="Times New Roman"/>
                <w:bCs/>
                <w:sz w:val="24"/>
                <w:szCs w:val="24"/>
                <w:lang w:eastAsia="uk-UA"/>
              </w:rPr>
            </w:pPr>
            <w:r w:rsidRPr="00E12FC4">
              <w:rPr>
                <w:rFonts w:ascii="Times New Roman" w:eastAsia="Times New Roman" w:hAnsi="Times New Roman"/>
                <w:bCs/>
                <w:sz w:val="24"/>
                <w:szCs w:val="24"/>
                <w:lang w:eastAsia="uk-UA"/>
              </w:rPr>
              <w:t>…</w:t>
            </w:r>
          </w:p>
          <w:p w:rsidR="007B41F4" w:rsidRPr="00E12FC4" w:rsidRDefault="007B41F4" w:rsidP="007B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4"/>
              <w:jc w:val="both"/>
              <w:rPr>
                <w:rFonts w:ascii="Times New Roman" w:eastAsia="Times New Roman" w:hAnsi="Times New Roman"/>
                <w:bCs/>
                <w:sz w:val="24"/>
                <w:szCs w:val="24"/>
                <w:lang w:eastAsia="uk-UA"/>
              </w:rPr>
            </w:pPr>
            <w:r w:rsidRPr="00E12FC4">
              <w:rPr>
                <w:rFonts w:ascii="Times New Roman" w:eastAsia="Times New Roman" w:hAnsi="Times New Roman"/>
                <w:bCs/>
                <w:sz w:val="24"/>
                <w:szCs w:val="24"/>
                <w:lang w:eastAsia="uk-UA"/>
              </w:rPr>
              <w:t>На субрахунку 286 «Необоротні активи та групи вибуття, утримувані для продажу» ведеться облік наявності та руху необоротних активів та груп вибуття, які визнаються утримуваними для продажу відповідно до Національного положення (стандарту) бухгалтерського обліку 27 «Необоротні активи, утримувані для продажу, та припинена діяльність».</w:t>
            </w:r>
          </w:p>
          <w:p w:rsidR="007B41F4" w:rsidRPr="00E12FC4" w:rsidRDefault="007B41F4" w:rsidP="007B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4"/>
              <w:jc w:val="both"/>
              <w:rPr>
                <w:rFonts w:ascii="Times New Roman" w:hAnsi="Times New Roman"/>
                <w:b/>
                <w:sz w:val="24"/>
                <w:szCs w:val="24"/>
              </w:rPr>
            </w:pPr>
          </w:p>
        </w:tc>
        <w:tc>
          <w:tcPr>
            <w:tcW w:w="7880" w:type="dxa"/>
            <w:tcBorders>
              <w:top w:val="single" w:sz="4" w:space="0" w:color="auto"/>
              <w:left w:val="single" w:sz="4" w:space="0" w:color="auto"/>
              <w:bottom w:val="single" w:sz="4" w:space="0" w:color="auto"/>
              <w:right w:val="single" w:sz="4" w:space="0" w:color="auto"/>
            </w:tcBorders>
            <w:shd w:val="clear" w:color="auto" w:fill="auto"/>
          </w:tcPr>
          <w:p w:rsidR="007B41F4" w:rsidRPr="00E12FC4" w:rsidRDefault="007B41F4" w:rsidP="007B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4"/>
              <w:jc w:val="center"/>
              <w:rPr>
                <w:rFonts w:ascii="Times New Roman" w:eastAsia="Times New Roman" w:hAnsi="Times New Roman"/>
                <w:b/>
                <w:bCs/>
                <w:sz w:val="24"/>
                <w:szCs w:val="24"/>
                <w:lang w:eastAsia="uk-UA"/>
              </w:rPr>
            </w:pPr>
            <w:r w:rsidRPr="00E12FC4">
              <w:rPr>
                <w:rFonts w:ascii="Times New Roman" w:eastAsia="Times New Roman" w:hAnsi="Times New Roman"/>
                <w:b/>
                <w:bCs/>
                <w:sz w:val="24"/>
                <w:szCs w:val="24"/>
                <w:lang w:eastAsia="uk-UA"/>
              </w:rPr>
              <w:t>Рахунок 28 «Товари»</w:t>
            </w:r>
          </w:p>
          <w:p w:rsidR="007B41F4" w:rsidRPr="00E12FC4" w:rsidRDefault="007B41F4" w:rsidP="007B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4"/>
              <w:jc w:val="both"/>
              <w:rPr>
                <w:rFonts w:ascii="Times New Roman" w:eastAsia="Times New Roman" w:hAnsi="Times New Roman"/>
                <w:bCs/>
                <w:sz w:val="24"/>
                <w:szCs w:val="24"/>
                <w:lang w:eastAsia="uk-UA"/>
              </w:rPr>
            </w:pPr>
            <w:r w:rsidRPr="00E12FC4">
              <w:rPr>
                <w:rFonts w:ascii="Times New Roman" w:eastAsia="Times New Roman" w:hAnsi="Times New Roman"/>
                <w:bCs/>
                <w:sz w:val="24"/>
                <w:szCs w:val="24"/>
                <w:lang w:eastAsia="uk-UA"/>
              </w:rPr>
              <w:t>На рахунку 28 «Товари» ведеться облік руху товарно-матеріальних цінностей, що надійшли на підприємство з метою продажу. Цей рахунок використовують в основному збутові, торгові та заготівельні підприємства і організації, а також підприємства громадського харчування.</w:t>
            </w:r>
          </w:p>
          <w:p w:rsidR="007B41F4" w:rsidRPr="00E12FC4" w:rsidRDefault="007B41F4" w:rsidP="007B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4"/>
              <w:jc w:val="both"/>
              <w:rPr>
                <w:rFonts w:ascii="Times New Roman" w:eastAsia="Times New Roman" w:hAnsi="Times New Roman"/>
                <w:bCs/>
                <w:sz w:val="24"/>
                <w:szCs w:val="24"/>
                <w:lang w:eastAsia="uk-UA"/>
              </w:rPr>
            </w:pPr>
            <w:r w:rsidRPr="00E12FC4">
              <w:rPr>
                <w:rFonts w:ascii="Times New Roman" w:eastAsia="Times New Roman" w:hAnsi="Times New Roman"/>
                <w:bCs/>
                <w:sz w:val="24"/>
                <w:szCs w:val="24"/>
                <w:lang w:eastAsia="uk-UA"/>
              </w:rPr>
              <w:t>…</w:t>
            </w:r>
          </w:p>
          <w:p w:rsidR="007B41F4" w:rsidRPr="00E12FC4" w:rsidRDefault="007B41F4" w:rsidP="007B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4"/>
              <w:jc w:val="both"/>
              <w:rPr>
                <w:rFonts w:ascii="Times New Roman" w:eastAsia="Times New Roman" w:hAnsi="Times New Roman"/>
                <w:bCs/>
                <w:sz w:val="24"/>
                <w:szCs w:val="24"/>
                <w:lang w:eastAsia="uk-UA"/>
              </w:rPr>
            </w:pPr>
            <w:r w:rsidRPr="00E12FC4">
              <w:rPr>
                <w:rFonts w:ascii="Times New Roman" w:eastAsia="Times New Roman" w:hAnsi="Times New Roman"/>
                <w:bCs/>
                <w:sz w:val="24"/>
                <w:szCs w:val="24"/>
                <w:lang w:eastAsia="uk-UA"/>
              </w:rPr>
              <w:t>Рахунок 28 «Товари» має такі субрахунки:</w:t>
            </w:r>
          </w:p>
          <w:p w:rsidR="007B41F4" w:rsidRPr="00E12FC4" w:rsidRDefault="007B41F4" w:rsidP="007B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4"/>
              <w:jc w:val="both"/>
              <w:rPr>
                <w:rFonts w:ascii="Times New Roman" w:eastAsia="Times New Roman" w:hAnsi="Times New Roman"/>
                <w:bCs/>
                <w:sz w:val="24"/>
                <w:szCs w:val="24"/>
                <w:lang w:eastAsia="uk-UA"/>
              </w:rPr>
            </w:pPr>
            <w:r w:rsidRPr="00E12FC4">
              <w:rPr>
                <w:rFonts w:ascii="Times New Roman" w:eastAsia="Times New Roman" w:hAnsi="Times New Roman"/>
                <w:bCs/>
                <w:sz w:val="24"/>
                <w:szCs w:val="24"/>
                <w:lang w:eastAsia="uk-UA"/>
              </w:rPr>
              <w:t>…</w:t>
            </w:r>
          </w:p>
          <w:p w:rsidR="007B41F4" w:rsidRPr="00E12FC4" w:rsidRDefault="007B41F4" w:rsidP="007B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4"/>
              <w:jc w:val="both"/>
              <w:rPr>
                <w:rFonts w:ascii="Times New Roman" w:eastAsia="Times New Roman" w:hAnsi="Times New Roman"/>
                <w:bCs/>
                <w:sz w:val="24"/>
                <w:szCs w:val="24"/>
                <w:lang w:eastAsia="uk-UA"/>
              </w:rPr>
            </w:pPr>
            <w:r w:rsidRPr="00E12FC4">
              <w:rPr>
                <w:rFonts w:ascii="Times New Roman" w:eastAsia="Times New Roman" w:hAnsi="Times New Roman"/>
                <w:bCs/>
                <w:sz w:val="24"/>
                <w:szCs w:val="24"/>
                <w:lang w:eastAsia="uk-UA"/>
              </w:rPr>
              <w:t>286 «Необоротні активи та групи вибуття, утримувані для продажу»</w:t>
            </w:r>
          </w:p>
          <w:p w:rsidR="007B41F4" w:rsidRPr="00E12FC4" w:rsidRDefault="007B41F4" w:rsidP="007B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4"/>
              <w:jc w:val="both"/>
              <w:rPr>
                <w:rFonts w:ascii="Times New Roman" w:eastAsia="Times New Roman" w:hAnsi="Times New Roman"/>
                <w:bCs/>
                <w:sz w:val="24"/>
                <w:szCs w:val="24"/>
                <w:lang w:eastAsia="uk-UA"/>
              </w:rPr>
            </w:pPr>
            <w:r w:rsidRPr="00E12FC4">
              <w:rPr>
                <w:rFonts w:ascii="Times New Roman" w:eastAsia="Times New Roman" w:hAnsi="Times New Roman"/>
                <w:bCs/>
                <w:sz w:val="24"/>
                <w:szCs w:val="24"/>
                <w:lang w:eastAsia="uk-UA"/>
              </w:rPr>
              <w:t>…</w:t>
            </w:r>
          </w:p>
          <w:p w:rsidR="007B41F4" w:rsidRPr="00E12FC4" w:rsidRDefault="007B41F4" w:rsidP="00760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4"/>
              <w:jc w:val="both"/>
              <w:rPr>
                <w:rFonts w:ascii="Times New Roman" w:eastAsia="Times New Roman" w:hAnsi="Times New Roman"/>
                <w:bCs/>
                <w:sz w:val="24"/>
                <w:szCs w:val="24"/>
                <w:lang w:eastAsia="uk-UA"/>
              </w:rPr>
            </w:pPr>
            <w:r w:rsidRPr="00E12FC4">
              <w:rPr>
                <w:rFonts w:ascii="Times New Roman" w:eastAsia="Times New Roman" w:hAnsi="Times New Roman"/>
                <w:bCs/>
                <w:sz w:val="24"/>
                <w:szCs w:val="24"/>
                <w:lang w:eastAsia="uk-UA"/>
              </w:rPr>
              <w:t xml:space="preserve">На субрахунку 286 «Необоротні активи та групи вибуття, утримувані для продажу» ведеться облік наявності та руху необоротних активів та груп вибуття, які визнаються утримуваними для продажу </w:t>
            </w:r>
            <w:r w:rsidRPr="00E12FC4">
              <w:rPr>
                <w:rFonts w:ascii="Times New Roman" w:eastAsia="Times New Roman" w:hAnsi="Times New Roman"/>
                <w:b/>
                <w:bCs/>
                <w:sz w:val="24"/>
                <w:szCs w:val="24"/>
                <w:lang w:eastAsia="uk-UA"/>
              </w:rPr>
              <w:t>або розподілу</w:t>
            </w:r>
            <w:r w:rsidRPr="00E12FC4">
              <w:rPr>
                <w:rFonts w:ascii="Times New Roman" w:eastAsia="Times New Roman" w:hAnsi="Times New Roman"/>
                <w:bCs/>
                <w:sz w:val="24"/>
                <w:szCs w:val="24"/>
                <w:lang w:eastAsia="uk-UA"/>
              </w:rPr>
              <w:t xml:space="preserve"> відповідно до Національного положення (стандарту) бухгалтерського обліку 27 «Необоротні активи, утримувані для продажу, та припинена діяльність».</w:t>
            </w:r>
          </w:p>
        </w:tc>
      </w:tr>
      <w:tr w:rsidR="007B41F4" w:rsidRPr="00E12FC4" w:rsidTr="007B41F4">
        <w:trPr>
          <w:trHeight w:val="111"/>
        </w:trPr>
        <w:tc>
          <w:tcPr>
            <w:tcW w:w="7880" w:type="dxa"/>
            <w:tcBorders>
              <w:top w:val="single" w:sz="4" w:space="0" w:color="auto"/>
              <w:left w:val="single" w:sz="4" w:space="0" w:color="auto"/>
              <w:bottom w:val="single" w:sz="4" w:space="0" w:color="auto"/>
              <w:right w:val="single" w:sz="4" w:space="0" w:color="auto"/>
            </w:tcBorders>
            <w:shd w:val="clear" w:color="auto" w:fill="auto"/>
          </w:tcPr>
          <w:p w:rsidR="007B41F4" w:rsidRPr="00E12FC4" w:rsidRDefault="007B41F4" w:rsidP="007B41F4">
            <w:pPr>
              <w:widowControl w:val="0"/>
              <w:spacing w:after="0" w:line="240" w:lineRule="auto"/>
              <w:jc w:val="center"/>
              <w:rPr>
                <w:rFonts w:ascii="Times New Roman" w:hAnsi="Times New Roman" w:cs="Times New Roman"/>
                <w:b/>
                <w:sz w:val="24"/>
                <w:szCs w:val="24"/>
              </w:rPr>
            </w:pPr>
            <w:r w:rsidRPr="00E12FC4">
              <w:rPr>
                <w:rFonts w:ascii="Times New Roman" w:hAnsi="Times New Roman" w:cs="Times New Roman"/>
                <w:b/>
                <w:sz w:val="24"/>
                <w:szCs w:val="24"/>
              </w:rPr>
              <w:t xml:space="preserve">Рахунок 67 «Розрахунки з учасниками та кошти клієнтів» </w:t>
            </w:r>
          </w:p>
          <w:p w:rsidR="007B41F4" w:rsidRPr="00E12FC4" w:rsidRDefault="007B41F4" w:rsidP="007B41F4">
            <w:pPr>
              <w:widowControl w:val="0"/>
              <w:spacing w:after="0" w:line="240" w:lineRule="auto"/>
              <w:ind w:firstLine="284"/>
              <w:jc w:val="both"/>
              <w:rPr>
                <w:rFonts w:ascii="Times New Roman" w:hAnsi="Times New Roman" w:cs="Times New Roman"/>
                <w:sz w:val="24"/>
                <w:szCs w:val="24"/>
              </w:rPr>
            </w:pPr>
            <w:r w:rsidRPr="00E12FC4">
              <w:rPr>
                <w:rFonts w:ascii="Times New Roman" w:hAnsi="Times New Roman" w:cs="Times New Roman"/>
                <w:sz w:val="24"/>
                <w:szCs w:val="24"/>
              </w:rPr>
              <w:t xml:space="preserve">Рахунок 67 «Розрахунки з учасниками та кошти клієнтів» призначено для узагальнення інформації про розрахунки з учасниками та засновниками підприємства, що пов'язані з розподілом власного капіталу (дивіденди, повернення часток тощо), а також про кошти клієнтів </w:t>
            </w:r>
            <w:r w:rsidRPr="00E12FC4">
              <w:rPr>
                <w:rFonts w:ascii="Times New Roman" w:hAnsi="Times New Roman" w:cs="Times New Roman"/>
                <w:sz w:val="24"/>
                <w:szCs w:val="24"/>
              </w:rPr>
              <w:lastRenderedPageBreak/>
              <w:t>надавачів фінансових послуг (крім банків) та зобов'язання за випущеними електронними грошима.</w:t>
            </w:r>
          </w:p>
          <w:p w:rsidR="007B41F4" w:rsidRPr="00E12FC4" w:rsidRDefault="007B41F4" w:rsidP="007B41F4">
            <w:pPr>
              <w:widowControl w:val="0"/>
              <w:spacing w:after="0" w:line="240" w:lineRule="auto"/>
              <w:ind w:firstLine="284"/>
              <w:jc w:val="both"/>
              <w:rPr>
                <w:rFonts w:ascii="Times New Roman" w:hAnsi="Times New Roman" w:cs="Times New Roman"/>
                <w:sz w:val="24"/>
                <w:szCs w:val="24"/>
              </w:rPr>
            </w:pPr>
            <w:r w:rsidRPr="00E12FC4">
              <w:rPr>
                <w:rFonts w:ascii="Times New Roman" w:hAnsi="Times New Roman" w:cs="Times New Roman"/>
                <w:sz w:val="24"/>
                <w:szCs w:val="24"/>
              </w:rPr>
              <w:t>За кредитом рахунку 67 «Розрахунки з учасниками та кошти клієнтів» відображається збільшення заборгованості підприємства перед засновниками і учасниками товариства та клієнтами надавачів фінансових послуг (крім банків), за дебетом - її зменшення (погашення), в тому числі реінвестування доходів тощо.</w:t>
            </w:r>
          </w:p>
          <w:p w:rsidR="007B41F4" w:rsidRPr="00E12FC4" w:rsidRDefault="007B41F4" w:rsidP="007B41F4">
            <w:pPr>
              <w:widowControl w:val="0"/>
              <w:spacing w:after="0" w:line="240" w:lineRule="auto"/>
              <w:ind w:firstLine="284"/>
              <w:jc w:val="both"/>
              <w:rPr>
                <w:rFonts w:ascii="Times New Roman" w:hAnsi="Times New Roman" w:cs="Times New Roman"/>
                <w:sz w:val="24"/>
                <w:szCs w:val="24"/>
              </w:rPr>
            </w:pPr>
            <w:r w:rsidRPr="00E12FC4">
              <w:rPr>
                <w:rFonts w:ascii="Times New Roman" w:hAnsi="Times New Roman" w:cs="Times New Roman"/>
                <w:sz w:val="24"/>
                <w:szCs w:val="24"/>
              </w:rPr>
              <w:t xml:space="preserve">Рахунок 67 «Розрахунки з учасниками та кошти клієнтів» має такі субрахунки: </w:t>
            </w:r>
          </w:p>
          <w:p w:rsidR="007B41F4" w:rsidRPr="00E12FC4" w:rsidRDefault="007B41F4" w:rsidP="007B41F4">
            <w:pPr>
              <w:widowControl w:val="0"/>
              <w:spacing w:after="0" w:line="240" w:lineRule="auto"/>
              <w:ind w:firstLine="284"/>
              <w:jc w:val="both"/>
              <w:rPr>
                <w:rFonts w:ascii="Times New Roman" w:hAnsi="Times New Roman" w:cs="Times New Roman"/>
                <w:sz w:val="24"/>
                <w:szCs w:val="24"/>
              </w:rPr>
            </w:pPr>
            <w:r w:rsidRPr="00E12FC4">
              <w:rPr>
                <w:rFonts w:ascii="Times New Roman" w:hAnsi="Times New Roman" w:cs="Times New Roman"/>
                <w:sz w:val="24"/>
                <w:szCs w:val="24"/>
              </w:rPr>
              <w:t>671 «Розрахунки за нарахованими дивідендами»</w:t>
            </w:r>
          </w:p>
          <w:p w:rsidR="007B41F4" w:rsidRPr="00E12FC4" w:rsidRDefault="007B41F4" w:rsidP="007B41F4">
            <w:pPr>
              <w:widowControl w:val="0"/>
              <w:spacing w:after="0" w:line="240" w:lineRule="auto"/>
              <w:ind w:firstLine="284"/>
              <w:jc w:val="both"/>
              <w:rPr>
                <w:rFonts w:ascii="Times New Roman" w:hAnsi="Times New Roman" w:cs="Times New Roman"/>
                <w:sz w:val="24"/>
                <w:szCs w:val="24"/>
              </w:rPr>
            </w:pPr>
            <w:r w:rsidRPr="00E12FC4">
              <w:rPr>
                <w:rFonts w:ascii="Times New Roman" w:hAnsi="Times New Roman" w:cs="Times New Roman"/>
                <w:sz w:val="24"/>
                <w:szCs w:val="24"/>
              </w:rPr>
              <w:t>672 «Розрахунки за іншими виплатами»</w:t>
            </w:r>
          </w:p>
          <w:p w:rsidR="007B41F4" w:rsidRPr="00E12FC4" w:rsidRDefault="007B41F4" w:rsidP="007B41F4">
            <w:pPr>
              <w:widowControl w:val="0"/>
              <w:spacing w:after="0" w:line="240" w:lineRule="auto"/>
              <w:ind w:firstLine="284"/>
              <w:jc w:val="both"/>
              <w:rPr>
                <w:rFonts w:ascii="Times New Roman" w:hAnsi="Times New Roman" w:cs="Times New Roman"/>
                <w:sz w:val="24"/>
                <w:szCs w:val="24"/>
              </w:rPr>
            </w:pPr>
            <w:r w:rsidRPr="00E12FC4">
              <w:rPr>
                <w:rFonts w:ascii="Times New Roman" w:hAnsi="Times New Roman" w:cs="Times New Roman"/>
                <w:sz w:val="24"/>
                <w:szCs w:val="24"/>
              </w:rPr>
              <w:t>673 «Кошти клієнтів - юридичних осіб надавачів фінансових послуг»</w:t>
            </w:r>
          </w:p>
          <w:p w:rsidR="007B41F4" w:rsidRPr="00E12FC4" w:rsidRDefault="007B41F4" w:rsidP="007B41F4">
            <w:pPr>
              <w:widowControl w:val="0"/>
              <w:spacing w:after="0" w:line="240" w:lineRule="auto"/>
              <w:ind w:firstLine="284"/>
              <w:jc w:val="both"/>
              <w:rPr>
                <w:rFonts w:ascii="Times New Roman" w:hAnsi="Times New Roman" w:cs="Times New Roman"/>
                <w:sz w:val="24"/>
                <w:szCs w:val="24"/>
              </w:rPr>
            </w:pPr>
            <w:r w:rsidRPr="00E12FC4">
              <w:rPr>
                <w:rFonts w:ascii="Times New Roman" w:hAnsi="Times New Roman" w:cs="Times New Roman"/>
                <w:sz w:val="24"/>
                <w:szCs w:val="24"/>
              </w:rPr>
              <w:t>674 «Кошти клієнтів - фізичних осіб надавачів фінансових послуг»</w:t>
            </w:r>
          </w:p>
          <w:p w:rsidR="007B41F4" w:rsidRPr="00E12FC4" w:rsidRDefault="007B41F4" w:rsidP="007B41F4">
            <w:pPr>
              <w:widowControl w:val="0"/>
              <w:spacing w:after="0" w:line="240" w:lineRule="auto"/>
              <w:ind w:firstLine="284"/>
              <w:jc w:val="both"/>
              <w:rPr>
                <w:rFonts w:ascii="Times New Roman" w:hAnsi="Times New Roman" w:cs="Times New Roman"/>
                <w:sz w:val="24"/>
                <w:szCs w:val="24"/>
              </w:rPr>
            </w:pPr>
            <w:r w:rsidRPr="00E12FC4">
              <w:rPr>
                <w:rFonts w:ascii="Times New Roman" w:hAnsi="Times New Roman" w:cs="Times New Roman"/>
                <w:sz w:val="24"/>
                <w:szCs w:val="24"/>
              </w:rPr>
              <w:t>675 «Зобов'язання надавачів фінансових послуг за випущеними електронним грошима»</w:t>
            </w:r>
          </w:p>
          <w:p w:rsidR="007B41F4" w:rsidRPr="00E12FC4" w:rsidRDefault="007B41F4" w:rsidP="007B41F4">
            <w:pPr>
              <w:widowControl w:val="0"/>
              <w:spacing w:after="0" w:line="240" w:lineRule="auto"/>
              <w:ind w:firstLine="284"/>
              <w:jc w:val="both"/>
              <w:rPr>
                <w:rFonts w:ascii="Times New Roman" w:hAnsi="Times New Roman" w:cs="Times New Roman"/>
                <w:b/>
                <w:i/>
                <w:sz w:val="24"/>
                <w:szCs w:val="24"/>
              </w:rPr>
            </w:pPr>
            <w:r w:rsidRPr="00E12FC4">
              <w:rPr>
                <w:rFonts w:ascii="Times New Roman" w:hAnsi="Times New Roman" w:cs="Times New Roman"/>
                <w:b/>
                <w:i/>
                <w:sz w:val="24"/>
                <w:szCs w:val="24"/>
              </w:rPr>
              <w:t>Відсутній</w:t>
            </w:r>
          </w:p>
          <w:p w:rsidR="007B41F4" w:rsidRPr="00E12FC4" w:rsidRDefault="007B41F4" w:rsidP="007B41F4">
            <w:pPr>
              <w:widowControl w:val="0"/>
              <w:spacing w:after="0" w:line="240" w:lineRule="auto"/>
              <w:ind w:firstLine="284"/>
              <w:jc w:val="both"/>
              <w:rPr>
                <w:rFonts w:ascii="Times New Roman" w:hAnsi="Times New Roman" w:cs="Times New Roman"/>
                <w:sz w:val="24"/>
                <w:szCs w:val="24"/>
              </w:rPr>
            </w:pPr>
            <w:r w:rsidRPr="00E12FC4">
              <w:rPr>
                <w:rFonts w:ascii="Times New Roman" w:hAnsi="Times New Roman" w:cs="Times New Roman"/>
                <w:sz w:val="24"/>
                <w:szCs w:val="24"/>
              </w:rPr>
              <w:t>На субрахунку 671 «Розрахунки за нарахованими дивідендами» обліковують дивіденди, нараховані власникам простих та привілейованих акцій (часток у статутному капіталі) за рахунок прибутку або інших, передбачених установчими документами, джерел.</w:t>
            </w:r>
          </w:p>
          <w:p w:rsidR="007B41F4" w:rsidRPr="00E12FC4" w:rsidRDefault="007B41F4" w:rsidP="007B41F4">
            <w:pPr>
              <w:widowControl w:val="0"/>
              <w:spacing w:after="0" w:line="240" w:lineRule="auto"/>
              <w:ind w:firstLine="284"/>
              <w:jc w:val="both"/>
              <w:rPr>
                <w:rFonts w:ascii="Times New Roman" w:hAnsi="Times New Roman" w:cs="Times New Roman"/>
                <w:sz w:val="24"/>
                <w:szCs w:val="24"/>
              </w:rPr>
            </w:pPr>
            <w:r w:rsidRPr="00E12FC4">
              <w:rPr>
                <w:rFonts w:ascii="Times New Roman" w:hAnsi="Times New Roman" w:cs="Times New Roman"/>
                <w:sz w:val="24"/>
                <w:szCs w:val="24"/>
              </w:rPr>
              <w:t>На субрахунку 672 «Розрахунки за іншими виплатами» підприємства ведуть облік інших виплат, нарахованих засновникам та учасникам за користування майном, зокрема земельним і майновим паєм, а також виплат у зв'язку з одержанням належної вибулому учаснику (засновнику) частини активів підприємства.</w:t>
            </w:r>
          </w:p>
          <w:p w:rsidR="007B41F4" w:rsidRPr="00E12FC4" w:rsidRDefault="007B41F4" w:rsidP="007B41F4">
            <w:pPr>
              <w:widowControl w:val="0"/>
              <w:spacing w:after="0" w:line="240" w:lineRule="auto"/>
              <w:ind w:firstLine="284"/>
              <w:jc w:val="both"/>
              <w:rPr>
                <w:rFonts w:ascii="Times New Roman" w:hAnsi="Times New Roman" w:cs="Times New Roman"/>
                <w:sz w:val="24"/>
                <w:szCs w:val="24"/>
              </w:rPr>
            </w:pPr>
            <w:r w:rsidRPr="00E12FC4">
              <w:rPr>
                <w:rFonts w:ascii="Times New Roman" w:hAnsi="Times New Roman" w:cs="Times New Roman"/>
                <w:sz w:val="24"/>
                <w:szCs w:val="24"/>
              </w:rPr>
              <w:t>На субрахунках 673 «Кошти клієнтів - юридичних осіб надавачів фінансових послуг» і 674 «Кошти клієнтів-фізичних осіб надавачів фінансових послуг» ведеться облік коштів клієнтів - юридичних осіб і клієнтів - фізичних осіб надавачів фінансових послуг (крім банків).</w:t>
            </w:r>
          </w:p>
          <w:p w:rsidR="007B41F4" w:rsidRPr="00E12FC4" w:rsidRDefault="007B41F4" w:rsidP="007B41F4">
            <w:pPr>
              <w:widowControl w:val="0"/>
              <w:spacing w:after="0" w:line="240" w:lineRule="auto"/>
              <w:ind w:firstLine="284"/>
              <w:jc w:val="both"/>
              <w:rPr>
                <w:rFonts w:ascii="Times New Roman" w:hAnsi="Times New Roman" w:cs="Times New Roman"/>
                <w:sz w:val="24"/>
                <w:szCs w:val="24"/>
              </w:rPr>
            </w:pPr>
            <w:r w:rsidRPr="00E12FC4">
              <w:rPr>
                <w:rFonts w:ascii="Times New Roman" w:hAnsi="Times New Roman" w:cs="Times New Roman"/>
                <w:sz w:val="24"/>
                <w:szCs w:val="24"/>
              </w:rPr>
              <w:t xml:space="preserve">На субрахунку 675 «Зобов'язання надавачів фінансових послуг за випущеними електронними грошима» ведеться облік зобов'язань за випущеними електронними грошима надавачем фінансових послуг (крім </w:t>
            </w:r>
            <w:r w:rsidRPr="00E12FC4">
              <w:rPr>
                <w:rFonts w:ascii="Times New Roman" w:hAnsi="Times New Roman" w:cs="Times New Roman"/>
                <w:sz w:val="24"/>
                <w:szCs w:val="24"/>
              </w:rPr>
              <w:lastRenderedPageBreak/>
              <w:t>банків).</w:t>
            </w:r>
          </w:p>
          <w:p w:rsidR="007B41F4" w:rsidRPr="00E12FC4" w:rsidRDefault="007B41F4" w:rsidP="007B41F4">
            <w:pPr>
              <w:widowControl w:val="0"/>
              <w:spacing w:after="0" w:line="240" w:lineRule="auto"/>
              <w:ind w:firstLine="321"/>
              <w:jc w:val="both"/>
              <w:rPr>
                <w:rFonts w:ascii="Times New Roman" w:hAnsi="Times New Roman" w:cs="Times New Roman"/>
                <w:b/>
                <w:i/>
                <w:sz w:val="24"/>
                <w:szCs w:val="24"/>
              </w:rPr>
            </w:pPr>
            <w:r w:rsidRPr="00E12FC4">
              <w:rPr>
                <w:rFonts w:ascii="Times New Roman" w:hAnsi="Times New Roman" w:cs="Times New Roman"/>
                <w:b/>
                <w:i/>
                <w:sz w:val="24"/>
                <w:szCs w:val="24"/>
              </w:rPr>
              <w:t>Відсутній</w:t>
            </w:r>
          </w:p>
          <w:p w:rsidR="007B41F4" w:rsidRPr="00E12FC4" w:rsidRDefault="007B41F4" w:rsidP="007B41F4">
            <w:pPr>
              <w:widowControl w:val="0"/>
              <w:spacing w:after="0" w:line="240" w:lineRule="auto"/>
              <w:ind w:firstLine="321"/>
              <w:jc w:val="both"/>
              <w:rPr>
                <w:rFonts w:ascii="Times New Roman" w:hAnsi="Times New Roman" w:cs="Times New Roman"/>
                <w:b/>
                <w:i/>
                <w:sz w:val="24"/>
                <w:szCs w:val="24"/>
              </w:rPr>
            </w:pPr>
          </w:p>
          <w:p w:rsidR="007B41F4" w:rsidRDefault="007B41F4" w:rsidP="007B41F4">
            <w:pPr>
              <w:widowControl w:val="0"/>
              <w:spacing w:after="0" w:line="240" w:lineRule="auto"/>
              <w:ind w:firstLine="284"/>
              <w:jc w:val="both"/>
              <w:rPr>
                <w:rFonts w:ascii="Times New Roman" w:hAnsi="Times New Roman" w:cs="Times New Roman"/>
                <w:sz w:val="24"/>
                <w:szCs w:val="24"/>
              </w:rPr>
            </w:pPr>
          </w:p>
          <w:p w:rsidR="00C22993" w:rsidRDefault="00C22993" w:rsidP="007B41F4">
            <w:pPr>
              <w:widowControl w:val="0"/>
              <w:spacing w:after="0" w:line="240" w:lineRule="auto"/>
              <w:ind w:firstLine="284"/>
              <w:jc w:val="both"/>
              <w:rPr>
                <w:rFonts w:ascii="Times New Roman" w:hAnsi="Times New Roman" w:cs="Times New Roman"/>
                <w:sz w:val="24"/>
                <w:szCs w:val="24"/>
              </w:rPr>
            </w:pPr>
          </w:p>
          <w:p w:rsidR="00C22993" w:rsidRDefault="00C22993" w:rsidP="007B41F4">
            <w:pPr>
              <w:widowControl w:val="0"/>
              <w:spacing w:after="0" w:line="240" w:lineRule="auto"/>
              <w:ind w:firstLine="284"/>
              <w:jc w:val="both"/>
              <w:rPr>
                <w:rFonts w:ascii="Times New Roman" w:hAnsi="Times New Roman" w:cs="Times New Roman"/>
                <w:sz w:val="24"/>
                <w:szCs w:val="24"/>
              </w:rPr>
            </w:pPr>
          </w:p>
          <w:p w:rsidR="00C22993" w:rsidRDefault="00C22993" w:rsidP="007B41F4">
            <w:pPr>
              <w:widowControl w:val="0"/>
              <w:spacing w:after="0" w:line="240" w:lineRule="auto"/>
              <w:ind w:firstLine="284"/>
              <w:jc w:val="both"/>
              <w:rPr>
                <w:rFonts w:ascii="Times New Roman" w:hAnsi="Times New Roman" w:cs="Times New Roman"/>
                <w:sz w:val="24"/>
                <w:szCs w:val="24"/>
              </w:rPr>
            </w:pPr>
          </w:p>
          <w:p w:rsidR="00C22993" w:rsidRDefault="00C22993" w:rsidP="007B41F4">
            <w:pPr>
              <w:widowControl w:val="0"/>
              <w:spacing w:after="0" w:line="240" w:lineRule="auto"/>
              <w:ind w:firstLine="284"/>
              <w:jc w:val="both"/>
              <w:rPr>
                <w:rFonts w:ascii="Times New Roman" w:hAnsi="Times New Roman" w:cs="Times New Roman"/>
                <w:sz w:val="24"/>
                <w:szCs w:val="24"/>
              </w:rPr>
            </w:pPr>
          </w:p>
          <w:p w:rsidR="00C22993" w:rsidRDefault="00C22993" w:rsidP="007B41F4">
            <w:pPr>
              <w:widowControl w:val="0"/>
              <w:spacing w:after="0" w:line="240" w:lineRule="auto"/>
              <w:ind w:firstLine="284"/>
              <w:jc w:val="both"/>
              <w:rPr>
                <w:rFonts w:ascii="Times New Roman" w:hAnsi="Times New Roman" w:cs="Times New Roman"/>
                <w:sz w:val="24"/>
                <w:szCs w:val="24"/>
              </w:rPr>
            </w:pPr>
          </w:p>
          <w:p w:rsidR="00C22993" w:rsidRDefault="00C22993" w:rsidP="007B41F4">
            <w:pPr>
              <w:widowControl w:val="0"/>
              <w:spacing w:after="0" w:line="240" w:lineRule="auto"/>
              <w:ind w:firstLine="284"/>
              <w:jc w:val="both"/>
              <w:rPr>
                <w:rFonts w:ascii="Times New Roman" w:hAnsi="Times New Roman" w:cs="Times New Roman"/>
                <w:sz w:val="24"/>
                <w:szCs w:val="24"/>
              </w:rPr>
            </w:pPr>
          </w:p>
          <w:p w:rsidR="00C22993" w:rsidRDefault="00C22993" w:rsidP="007B41F4">
            <w:pPr>
              <w:widowControl w:val="0"/>
              <w:spacing w:after="0" w:line="240" w:lineRule="auto"/>
              <w:ind w:firstLine="284"/>
              <w:jc w:val="both"/>
              <w:rPr>
                <w:rFonts w:ascii="Times New Roman" w:hAnsi="Times New Roman" w:cs="Times New Roman"/>
                <w:sz w:val="24"/>
                <w:szCs w:val="24"/>
              </w:rPr>
            </w:pPr>
          </w:p>
          <w:p w:rsidR="00C22993" w:rsidRPr="00E12FC4" w:rsidRDefault="00C22993" w:rsidP="007B41F4">
            <w:pPr>
              <w:widowControl w:val="0"/>
              <w:spacing w:after="0" w:line="240" w:lineRule="auto"/>
              <w:ind w:firstLine="284"/>
              <w:jc w:val="both"/>
              <w:rPr>
                <w:rFonts w:ascii="Times New Roman" w:hAnsi="Times New Roman" w:cs="Times New Roman"/>
                <w:sz w:val="24"/>
                <w:szCs w:val="24"/>
              </w:rPr>
            </w:pPr>
          </w:p>
          <w:p w:rsidR="007B41F4" w:rsidRPr="00E12FC4" w:rsidRDefault="007B41F4" w:rsidP="007B41F4">
            <w:pPr>
              <w:widowControl w:val="0"/>
              <w:spacing w:after="0" w:line="240" w:lineRule="auto"/>
              <w:ind w:firstLine="284"/>
              <w:jc w:val="both"/>
              <w:rPr>
                <w:rFonts w:ascii="Times New Roman" w:hAnsi="Times New Roman" w:cs="Times New Roman"/>
                <w:sz w:val="24"/>
                <w:szCs w:val="24"/>
              </w:rPr>
            </w:pPr>
          </w:p>
          <w:p w:rsidR="007B41F4" w:rsidRPr="00E12FC4" w:rsidRDefault="007B41F4" w:rsidP="007B41F4">
            <w:pPr>
              <w:widowControl w:val="0"/>
              <w:spacing w:after="0" w:line="240" w:lineRule="auto"/>
              <w:ind w:firstLine="284"/>
              <w:jc w:val="both"/>
              <w:rPr>
                <w:rFonts w:ascii="Times New Roman" w:hAnsi="Times New Roman" w:cs="Times New Roman"/>
                <w:sz w:val="24"/>
                <w:szCs w:val="24"/>
              </w:rPr>
            </w:pPr>
          </w:p>
          <w:p w:rsidR="007B41F4" w:rsidRPr="00E12FC4" w:rsidRDefault="007B41F4" w:rsidP="007B41F4">
            <w:pPr>
              <w:widowControl w:val="0"/>
              <w:spacing w:after="0" w:line="240" w:lineRule="auto"/>
              <w:ind w:firstLine="284"/>
              <w:jc w:val="both"/>
              <w:rPr>
                <w:rFonts w:ascii="Times New Roman" w:hAnsi="Times New Roman" w:cs="Times New Roman"/>
                <w:sz w:val="24"/>
                <w:szCs w:val="24"/>
              </w:rPr>
            </w:pPr>
            <w:r w:rsidRPr="00E12FC4">
              <w:rPr>
                <w:rFonts w:ascii="Times New Roman" w:hAnsi="Times New Roman" w:cs="Times New Roman"/>
                <w:sz w:val="24"/>
                <w:szCs w:val="24"/>
              </w:rPr>
              <w:t>Аналітичний облік ведеться за кожним засновником і учасником та за видами виплат, за кожним клієнтом - юридичною особою і клієнтом - фізичною особою надавача фінансових послуг (крім банків), а також за кожним користувачем електронних грошей.</w:t>
            </w:r>
          </w:p>
          <w:p w:rsidR="00C22993" w:rsidRDefault="00C22993" w:rsidP="007B41F4">
            <w:pPr>
              <w:widowControl w:val="0"/>
              <w:spacing w:after="0" w:line="240" w:lineRule="auto"/>
              <w:ind w:firstLine="284"/>
              <w:jc w:val="both"/>
              <w:rPr>
                <w:rFonts w:ascii="Times New Roman" w:hAnsi="Times New Roman" w:cs="Times New Roman"/>
                <w:sz w:val="24"/>
                <w:szCs w:val="24"/>
              </w:rPr>
            </w:pPr>
          </w:p>
          <w:p w:rsidR="00C22993" w:rsidRPr="00E12FC4" w:rsidRDefault="00C22993" w:rsidP="007B41F4">
            <w:pPr>
              <w:widowControl w:val="0"/>
              <w:spacing w:after="0" w:line="240" w:lineRule="auto"/>
              <w:ind w:firstLine="284"/>
              <w:jc w:val="both"/>
              <w:rPr>
                <w:rFonts w:ascii="Times New Roman" w:hAnsi="Times New Roman" w:cs="Times New Roman"/>
                <w:sz w:val="24"/>
                <w:szCs w:val="24"/>
              </w:rPr>
            </w:pPr>
            <w:bookmarkStart w:id="0" w:name="_GoBack"/>
            <w:bookmarkEnd w:id="0"/>
          </w:p>
          <w:p w:rsidR="007B41F4" w:rsidRPr="00E12FC4" w:rsidRDefault="007B41F4" w:rsidP="007B41F4">
            <w:pPr>
              <w:widowControl w:val="0"/>
              <w:spacing w:after="0" w:line="240" w:lineRule="auto"/>
              <w:ind w:firstLine="284"/>
              <w:jc w:val="center"/>
              <w:rPr>
                <w:rFonts w:ascii="Times New Roman" w:hAnsi="Times New Roman" w:cs="Times New Roman"/>
                <w:sz w:val="24"/>
                <w:szCs w:val="24"/>
              </w:rPr>
            </w:pPr>
            <w:r w:rsidRPr="00E12FC4">
              <w:rPr>
                <w:rFonts w:ascii="Times New Roman" w:hAnsi="Times New Roman" w:cs="Times New Roman"/>
                <w:sz w:val="24"/>
                <w:szCs w:val="24"/>
              </w:rPr>
              <w:t>Рахунок 67 «Розрахунки з учасниками та кошти клієнтів»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4150"/>
              <w:gridCol w:w="3498"/>
            </w:tblGrid>
            <w:tr w:rsidR="007B41F4" w:rsidRPr="00E12FC4" w:rsidTr="008D7941">
              <w:tc>
                <w:tcPr>
                  <w:tcW w:w="2713" w:type="pct"/>
                  <w:shd w:val="clear" w:color="auto" w:fill="FFFFFF" w:themeFill="background1"/>
                  <w:vAlign w:val="center"/>
                  <w:hideMark/>
                </w:tcPr>
                <w:p w:rsidR="007B41F4" w:rsidRPr="00E12FC4" w:rsidRDefault="007B41F4" w:rsidP="007B41F4">
                  <w:pPr>
                    <w:widowControl w:val="0"/>
                    <w:spacing w:after="0" w:line="240" w:lineRule="auto"/>
                    <w:jc w:val="center"/>
                    <w:rPr>
                      <w:rFonts w:ascii="Times New Roman" w:eastAsia="Times New Roman" w:hAnsi="Times New Roman" w:cs="Times New Roman"/>
                      <w:sz w:val="24"/>
                      <w:szCs w:val="24"/>
                      <w:lang w:eastAsia="uk-UA"/>
                    </w:rPr>
                  </w:pPr>
                  <w:r w:rsidRPr="00E12FC4">
                    <w:rPr>
                      <w:rFonts w:ascii="Times New Roman" w:eastAsia="Times New Roman" w:hAnsi="Times New Roman" w:cs="Times New Roman"/>
                      <w:bCs/>
                      <w:sz w:val="24"/>
                      <w:szCs w:val="24"/>
                      <w:lang w:eastAsia="uk-UA"/>
                    </w:rPr>
                    <w:t>за дебетом з кредитом рахунків:</w:t>
                  </w:r>
                </w:p>
              </w:tc>
              <w:tc>
                <w:tcPr>
                  <w:tcW w:w="2287" w:type="pct"/>
                  <w:shd w:val="clear" w:color="auto" w:fill="FFFFFF" w:themeFill="background1"/>
                  <w:vAlign w:val="center"/>
                  <w:hideMark/>
                </w:tcPr>
                <w:p w:rsidR="007B41F4" w:rsidRPr="00E12FC4" w:rsidRDefault="007B41F4" w:rsidP="007B41F4">
                  <w:pPr>
                    <w:widowControl w:val="0"/>
                    <w:spacing w:after="0" w:line="240" w:lineRule="auto"/>
                    <w:jc w:val="center"/>
                    <w:rPr>
                      <w:rFonts w:ascii="Times New Roman" w:eastAsia="Times New Roman" w:hAnsi="Times New Roman" w:cs="Times New Roman"/>
                      <w:sz w:val="24"/>
                      <w:szCs w:val="24"/>
                      <w:lang w:eastAsia="uk-UA"/>
                    </w:rPr>
                  </w:pPr>
                  <w:r w:rsidRPr="00E12FC4">
                    <w:rPr>
                      <w:rFonts w:ascii="Times New Roman" w:eastAsia="Times New Roman" w:hAnsi="Times New Roman" w:cs="Times New Roman"/>
                      <w:bCs/>
                      <w:sz w:val="24"/>
                      <w:szCs w:val="24"/>
                      <w:lang w:eastAsia="uk-UA"/>
                    </w:rPr>
                    <w:t>за кредитом з дебетом рахунків:</w:t>
                  </w:r>
                </w:p>
              </w:tc>
            </w:tr>
            <w:tr w:rsidR="007B41F4" w:rsidRPr="00E12FC4" w:rsidTr="008D7941">
              <w:tc>
                <w:tcPr>
                  <w:tcW w:w="2713"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sz w:val="24"/>
                      <w:szCs w:val="24"/>
                      <w:lang w:eastAsia="uk-UA"/>
                    </w:rPr>
                  </w:pPr>
                  <w:r w:rsidRPr="00E12FC4">
                    <w:rPr>
                      <w:rFonts w:ascii="Times New Roman" w:eastAsia="Times New Roman" w:hAnsi="Times New Roman" w:cs="Times New Roman"/>
                      <w:sz w:val="24"/>
                      <w:szCs w:val="24"/>
                      <w:lang w:eastAsia="uk-UA"/>
                    </w:rPr>
                    <w:t>30 «Готівка» </w:t>
                  </w:r>
                </w:p>
              </w:tc>
              <w:tc>
                <w:tcPr>
                  <w:tcW w:w="2287" w:type="pct"/>
                  <w:shd w:val="clear" w:color="auto" w:fill="FFFFFF" w:themeFill="background1"/>
                  <w:hideMark/>
                </w:tcPr>
                <w:p w:rsidR="007B41F4" w:rsidRPr="00E12FC4" w:rsidRDefault="007B41F4" w:rsidP="007B41F4">
                  <w:pPr>
                    <w:widowControl w:val="0"/>
                    <w:spacing w:after="0" w:line="240" w:lineRule="auto"/>
                    <w:rPr>
                      <w:rFonts w:ascii="Times New Roman" w:eastAsia="Times New Roman" w:hAnsi="Times New Roman" w:cs="Times New Roman"/>
                      <w:sz w:val="24"/>
                      <w:szCs w:val="24"/>
                      <w:lang w:eastAsia="uk-UA"/>
                    </w:rPr>
                  </w:pPr>
                  <w:r w:rsidRPr="00E12FC4">
                    <w:rPr>
                      <w:rFonts w:ascii="Times New Roman" w:eastAsia="Times New Roman" w:hAnsi="Times New Roman" w:cs="Times New Roman"/>
                      <w:sz w:val="24"/>
                      <w:szCs w:val="24"/>
                      <w:lang w:eastAsia="uk-UA"/>
                    </w:rPr>
                    <w:t>40 »Зареєстрований (пайовий) капітал» </w:t>
                  </w:r>
                </w:p>
              </w:tc>
            </w:tr>
            <w:tr w:rsidR="007B41F4" w:rsidRPr="00E12FC4" w:rsidTr="008D7941">
              <w:tc>
                <w:tcPr>
                  <w:tcW w:w="2713"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sz w:val="24"/>
                      <w:szCs w:val="24"/>
                      <w:lang w:eastAsia="uk-UA"/>
                    </w:rPr>
                  </w:pPr>
                  <w:r w:rsidRPr="00E12FC4">
                    <w:rPr>
                      <w:rFonts w:ascii="Times New Roman" w:eastAsia="Times New Roman" w:hAnsi="Times New Roman" w:cs="Times New Roman"/>
                      <w:sz w:val="24"/>
                      <w:szCs w:val="24"/>
                      <w:lang w:eastAsia="uk-UA"/>
                    </w:rPr>
                    <w:t>31 »Рахунки в банках» </w:t>
                  </w:r>
                </w:p>
              </w:tc>
              <w:tc>
                <w:tcPr>
                  <w:tcW w:w="2287"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sz w:val="24"/>
                      <w:szCs w:val="24"/>
                      <w:lang w:eastAsia="uk-UA"/>
                    </w:rPr>
                  </w:pPr>
                  <w:r w:rsidRPr="00E12FC4">
                    <w:rPr>
                      <w:rFonts w:ascii="Times New Roman" w:eastAsia="Times New Roman" w:hAnsi="Times New Roman" w:cs="Times New Roman"/>
                      <w:sz w:val="24"/>
                      <w:szCs w:val="24"/>
                      <w:lang w:eastAsia="uk-UA"/>
                    </w:rPr>
                    <w:t>43»Резервний капітал»</w:t>
                  </w:r>
                </w:p>
              </w:tc>
            </w:tr>
            <w:tr w:rsidR="007B41F4" w:rsidRPr="00E12FC4" w:rsidTr="008D7941">
              <w:tc>
                <w:tcPr>
                  <w:tcW w:w="2713"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sz w:val="24"/>
                      <w:szCs w:val="24"/>
                      <w:lang w:eastAsia="uk-UA"/>
                    </w:rPr>
                  </w:pPr>
                  <w:r w:rsidRPr="00E12FC4">
                    <w:rPr>
                      <w:rFonts w:ascii="Times New Roman" w:eastAsia="Times New Roman" w:hAnsi="Times New Roman" w:cs="Times New Roman"/>
                      <w:sz w:val="24"/>
                      <w:szCs w:val="24"/>
                      <w:lang w:eastAsia="uk-UA"/>
                    </w:rPr>
                    <w:t>37 »Розрахунки з різними дебіторами» </w:t>
                  </w:r>
                </w:p>
              </w:tc>
              <w:tc>
                <w:tcPr>
                  <w:tcW w:w="2287"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sz w:val="24"/>
                      <w:szCs w:val="24"/>
                      <w:lang w:eastAsia="uk-UA"/>
                    </w:rPr>
                  </w:pPr>
                  <w:r w:rsidRPr="00E12FC4">
                    <w:rPr>
                      <w:rFonts w:ascii="Times New Roman" w:eastAsia="Times New Roman" w:hAnsi="Times New Roman" w:cs="Times New Roman"/>
                      <w:sz w:val="24"/>
                      <w:szCs w:val="24"/>
                      <w:lang w:eastAsia="uk-UA"/>
                    </w:rPr>
                    <w:t>44 «Нерозподілені прибутки (непокриті збитки)» </w:t>
                  </w:r>
                </w:p>
              </w:tc>
            </w:tr>
            <w:tr w:rsidR="007B41F4" w:rsidRPr="00E12FC4" w:rsidTr="008D7941">
              <w:tc>
                <w:tcPr>
                  <w:tcW w:w="2713"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sz w:val="24"/>
                      <w:szCs w:val="24"/>
                      <w:lang w:eastAsia="uk-UA"/>
                    </w:rPr>
                  </w:pPr>
                  <w:r w:rsidRPr="00E12FC4">
                    <w:rPr>
                      <w:rFonts w:ascii="Times New Roman" w:eastAsia="Times New Roman" w:hAnsi="Times New Roman" w:cs="Times New Roman"/>
                      <w:sz w:val="24"/>
                      <w:szCs w:val="24"/>
                      <w:lang w:eastAsia="uk-UA"/>
                    </w:rPr>
                    <w:t>40 »Зареєстрований (пайовий) капітал» </w:t>
                  </w:r>
                </w:p>
              </w:tc>
              <w:tc>
                <w:tcPr>
                  <w:tcW w:w="2287"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b/>
                      <w:i/>
                      <w:sz w:val="24"/>
                      <w:szCs w:val="24"/>
                      <w:lang w:eastAsia="uk-UA"/>
                    </w:rPr>
                  </w:pPr>
                  <w:r w:rsidRPr="00E12FC4">
                    <w:rPr>
                      <w:rFonts w:ascii="Times New Roman" w:eastAsia="Times New Roman" w:hAnsi="Times New Roman" w:cs="Times New Roman"/>
                      <w:b/>
                      <w:i/>
                      <w:sz w:val="24"/>
                      <w:szCs w:val="24"/>
                      <w:lang w:eastAsia="uk-UA"/>
                    </w:rPr>
                    <w:t>Відсутній</w:t>
                  </w:r>
                </w:p>
              </w:tc>
            </w:tr>
            <w:tr w:rsidR="007B41F4" w:rsidRPr="00E12FC4" w:rsidTr="008D7941">
              <w:tc>
                <w:tcPr>
                  <w:tcW w:w="2713"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sz w:val="24"/>
                      <w:szCs w:val="24"/>
                      <w:lang w:eastAsia="uk-UA"/>
                    </w:rPr>
                  </w:pPr>
                  <w:r w:rsidRPr="00E12FC4">
                    <w:rPr>
                      <w:rFonts w:ascii="Times New Roman" w:eastAsia="Times New Roman" w:hAnsi="Times New Roman" w:cs="Times New Roman"/>
                      <w:sz w:val="24"/>
                      <w:szCs w:val="24"/>
                      <w:lang w:eastAsia="uk-UA"/>
                    </w:rPr>
                    <w:t>46 »Неоплачений капітал» </w:t>
                  </w:r>
                </w:p>
              </w:tc>
              <w:tc>
                <w:tcPr>
                  <w:tcW w:w="2287"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b/>
                      <w:i/>
                      <w:sz w:val="24"/>
                      <w:szCs w:val="24"/>
                      <w:lang w:eastAsia="uk-UA"/>
                    </w:rPr>
                  </w:pPr>
                </w:p>
              </w:tc>
            </w:tr>
            <w:tr w:rsidR="007B41F4" w:rsidRPr="00E12FC4" w:rsidTr="008D7941">
              <w:tc>
                <w:tcPr>
                  <w:tcW w:w="2713"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sz w:val="24"/>
                      <w:szCs w:val="24"/>
                      <w:lang w:eastAsia="uk-UA"/>
                    </w:rPr>
                  </w:pPr>
                  <w:r w:rsidRPr="00E12FC4">
                    <w:rPr>
                      <w:rFonts w:ascii="Times New Roman" w:eastAsia="Times New Roman" w:hAnsi="Times New Roman" w:cs="Times New Roman"/>
                      <w:sz w:val="24"/>
                      <w:szCs w:val="24"/>
                      <w:lang w:eastAsia="uk-UA"/>
                    </w:rPr>
                    <w:t xml:space="preserve">64 »Розрахунки за податками й </w:t>
                  </w:r>
                  <w:proofErr w:type="spellStart"/>
                  <w:r w:rsidRPr="00E12FC4">
                    <w:rPr>
                      <w:rFonts w:ascii="Times New Roman" w:eastAsia="Times New Roman" w:hAnsi="Times New Roman" w:cs="Times New Roman"/>
                      <w:sz w:val="24"/>
                      <w:szCs w:val="24"/>
                      <w:lang w:eastAsia="uk-UA"/>
                    </w:rPr>
                    <w:t>платежами</w:t>
                  </w:r>
                  <w:proofErr w:type="spellEnd"/>
                  <w:r w:rsidRPr="00E12FC4">
                    <w:rPr>
                      <w:rFonts w:ascii="Times New Roman" w:eastAsia="Times New Roman" w:hAnsi="Times New Roman" w:cs="Times New Roman"/>
                      <w:sz w:val="24"/>
                      <w:szCs w:val="24"/>
                      <w:lang w:eastAsia="uk-UA"/>
                    </w:rPr>
                    <w:t>» </w:t>
                  </w:r>
                </w:p>
              </w:tc>
              <w:tc>
                <w:tcPr>
                  <w:tcW w:w="2287"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b/>
                      <w:i/>
                      <w:sz w:val="24"/>
                      <w:szCs w:val="24"/>
                      <w:lang w:eastAsia="uk-UA"/>
                    </w:rPr>
                  </w:pPr>
                </w:p>
              </w:tc>
            </w:tr>
            <w:tr w:rsidR="007B41F4" w:rsidRPr="00E12FC4" w:rsidTr="008D7941">
              <w:tc>
                <w:tcPr>
                  <w:tcW w:w="2713"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b/>
                      <w:i/>
                      <w:sz w:val="24"/>
                      <w:szCs w:val="24"/>
                      <w:lang w:eastAsia="uk-UA"/>
                    </w:rPr>
                  </w:pPr>
                  <w:r w:rsidRPr="00E12FC4">
                    <w:rPr>
                      <w:rFonts w:ascii="Times New Roman" w:eastAsia="Times New Roman" w:hAnsi="Times New Roman" w:cs="Times New Roman"/>
                      <w:b/>
                      <w:i/>
                      <w:sz w:val="24"/>
                      <w:szCs w:val="24"/>
                      <w:lang w:eastAsia="uk-UA"/>
                    </w:rPr>
                    <w:lastRenderedPageBreak/>
                    <w:t>Відсутній</w:t>
                  </w:r>
                </w:p>
              </w:tc>
              <w:tc>
                <w:tcPr>
                  <w:tcW w:w="2287"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b/>
                      <w:i/>
                      <w:sz w:val="24"/>
                      <w:szCs w:val="24"/>
                      <w:lang w:eastAsia="uk-UA"/>
                    </w:rPr>
                  </w:pPr>
                </w:p>
              </w:tc>
            </w:tr>
            <w:tr w:rsidR="007B41F4" w:rsidRPr="00E12FC4" w:rsidTr="008D7941">
              <w:tc>
                <w:tcPr>
                  <w:tcW w:w="2713"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sz w:val="24"/>
                      <w:szCs w:val="24"/>
                      <w:lang w:eastAsia="uk-UA"/>
                    </w:rPr>
                  </w:pPr>
                  <w:r w:rsidRPr="00E12FC4">
                    <w:rPr>
                      <w:rFonts w:ascii="Times New Roman" w:eastAsia="Times New Roman" w:hAnsi="Times New Roman" w:cs="Times New Roman"/>
                      <w:sz w:val="24"/>
                      <w:szCs w:val="24"/>
                      <w:lang w:eastAsia="uk-UA"/>
                    </w:rPr>
                    <w:t>70 »Доходи від реалізації» </w:t>
                  </w:r>
                </w:p>
              </w:tc>
              <w:tc>
                <w:tcPr>
                  <w:tcW w:w="2287"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b/>
                      <w:i/>
                      <w:sz w:val="24"/>
                      <w:szCs w:val="24"/>
                      <w:lang w:eastAsia="uk-UA"/>
                    </w:rPr>
                  </w:pPr>
                </w:p>
              </w:tc>
            </w:tr>
            <w:tr w:rsidR="007B41F4" w:rsidRPr="00E12FC4" w:rsidTr="008D7941">
              <w:tc>
                <w:tcPr>
                  <w:tcW w:w="2713"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sz w:val="24"/>
                      <w:szCs w:val="24"/>
                      <w:lang w:eastAsia="uk-UA"/>
                    </w:rPr>
                  </w:pPr>
                  <w:r w:rsidRPr="00E12FC4">
                    <w:rPr>
                      <w:rFonts w:ascii="Times New Roman" w:eastAsia="Times New Roman" w:hAnsi="Times New Roman" w:cs="Times New Roman"/>
                      <w:sz w:val="24"/>
                      <w:szCs w:val="24"/>
                      <w:lang w:eastAsia="uk-UA"/>
                    </w:rPr>
                    <w:t>71 »Інший операційний дохід» </w:t>
                  </w:r>
                </w:p>
              </w:tc>
              <w:tc>
                <w:tcPr>
                  <w:tcW w:w="2287"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b/>
                      <w:i/>
                      <w:sz w:val="24"/>
                      <w:szCs w:val="24"/>
                      <w:lang w:eastAsia="uk-UA"/>
                    </w:rPr>
                  </w:pPr>
                </w:p>
              </w:tc>
            </w:tr>
            <w:tr w:rsidR="007B41F4" w:rsidRPr="00E12FC4" w:rsidTr="008D7941">
              <w:tc>
                <w:tcPr>
                  <w:tcW w:w="2713"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sz w:val="24"/>
                      <w:szCs w:val="24"/>
                      <w:lang w:eastAsia="uk-UA"/>
                    </w:rPr>
                  </w:pPr>
                  <w:r w:rsidRPr="00E12FC4">
                    <w:rPr>
                      <w:rFonts w:ascii="Times New Roman" w:eastAsia="Times New Roman" w:hAnsi="Times New Roman" w:cs="Times New Roman"/>
                      <w:sz w:val="24"/>
                      <w:szCs w:val="24"/>
                      <w:lang w:eastAsia="uk-UA"/>
                    </w:rPr>
                    <w:t>73 »Інші фінансові доходи» </w:t>
                  </w:r>
                </w:p>
              </w:tc>
              <w:tc>
                <w:tcPr>
                  <w:tcW w:w="2287"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b/>
                      <w:i/>
                      <w:sz w:val="24"/>
                      <w:szCs w:val="24"/>
                      <w:lang w:eastAsia="uk-UA"/>
                    </w:rPr>
                  </w:pPr>
                </w:p>
              </w:tc>
            </w:tr>
            <w:tr w:rsidR="007B41F4" w:rsidRPr="00E12FC4" w:rsidTr="008D7941">
              <w:tc>
                <w:tcPr>
                  <w:tcW w:w="2713"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sz w:val="24"/>
                      <w:szCs w:val="24"/>
                      <w:lang w:eastAsia="uk-UA"/>
                    </w:rPr>
                  </w:pPr>
                  <w:r w:rsidRPr="00E12FC4">
                    <w:rPr>
                      <w:rFonts w:ascii="Times New Roman" w:eastAsia="Times New Roman" w:hAnsi="Times New Roman" w:cs="Times New Roman"/>
                      <w:sz w:val="24"/>
                      <w:szCs w:val="24"/>
                      <w:lang w:eastAsia="uk-UA"/>
                    </w:rPr>
                    <w:t>74 »Інші доходи» </w:t>
                  </w:r>
                </w:p>
              </w:tc>
              <w:tc>
                <w:tcPr>
                  <w:tcW w:w="2287"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b/>
                      <w:i/>
                      <w:sz w:val="24"/>
                      <w:szCs w:val="24"/>
                      <w:lang w:eastAsia="uk-UA"/>
                    </w:rPr>
                  </w:pPr>
                </w:p>
              </w:tc>
            </w:tr>
          </w:tbl>
          <w:p w:rsidR="007B41F4" w:rsidRPr="00E12FC4" w:rsidRDefault="007B41F4" w:rsidP="007B41F4">
            <w:pPr>
              <w:widowControl w:val="0"/>
              <w:spacing w:after="0" w:line="240" w:lineRule="auto"/>
              <w:ind w:firstLine="284"/>
              <w:jc w:val="both"/>
              <w:rPr>
                <w:rFonts w:ascii="Times New Roman" w:hAnsi="Times New Roman" w:cs="Times New Roman"/>
                <w:sz w:val="24"/>
                <w:szCs w:val="24"/>
              </w:rPr>
            </w:pPr>
            <w:r w:rsidRPr="00E12FC4">
              <w:rPr>
                <w:rFonts w:ascii="Times New Roman" w:hAnsi="Times New Roman" w:cs="Times New Roman"/>
                <w:sz w:val="24"/>
                <w:szCs w:val="24"/>
              </w:rPr>
              <w:t xml:space="preserve">   </w:t>
            </w:r>
          </w:p>
        </w:tc>
        <w:tc>
          <w:tcPr>
            <w:tcW w:w="7880" w:type="dxa"/>
            <w:tcBorders>
              <w:top w:val="single" w:sz="4" w:space="0" w:color="auto"/>
              <w:left w:val="single" w:sz="4" w:space="0" w:color="auto"/>
              <w:bottom w:val="single" w:sz="4" w:space="0" w:color="auto"/>
              <w:right w:val="single" w:sz="4" w:space="0" w:color="auto"/>
            </w:tcBorders>
            <w:shd w:val="clear" w:color="auto" w:fill="auto"/>
          </w:tcPr>
          <w:p w:rsidR="007B41F4" w:rsidRPr="00E12FC4" w:rsidRDefault="007B41F4" w:rsidP="007B41F4">
            <w:pPr>
              <w:widowControl w:val="0"/>
              <w:spacing w:after="0" w:line="240" w:lineRule="auto"/>
              <w:jc w:val="center"/>
              <w:rPr>
                <w:rFonts w:ascii="Times New Roman" w:hAnsi="Times New Roman" w:cs="Times New Roman"/>
                <w:b/>
                <w:sz w:val="24"/>
                <w:szCs w:val="24"/>
              </w:rPr>
            </w:pPr>
            <w:r w:rsidRPr="00E12FC4">
              <w:rPr>
                <w:rFonts w:ascii="Times New Roman" w:hAnsi="Times New Roman" w:cs="Times New Roman"/>
                <w:b/>
                <w:sz w:val="24"/>
                <w:szCs w:val="24"/>
              </w:rPr>
              <w:lastRenderedPageBreak/>
              <w:t xml:space="preserve">Рахунок 67 «Розрахунки з учасниками та кошти клієнтів» </w:t>
            </w:r>
          </w:p>
          <w:p w:rsidR="007B41F4" w:rsidRPr="00E12FC4" w:rsidRDefault="007B41F4" w:rsidP="007B41F4">
            <w:pPr>
              <w:widowControl w:val="0"/>
              <w:spacing w:after="0" w:line="240" w:lineRule="auto"/>
              <w:ind w:firstLine="284"/>
              <w:jc w:val="both"/>
              <w:rPr>
                <w:rFonts w:ascii="Times New Roman" w:hAnsi="Times New Roman" w:cs="Times New Roman"/>
                <w:sz w:val="24"/>
                <w:szCs w:val="24"/>
              </w:rPr>
            </w:pPr>
            <w:r w:rsidRPr="00E12FC4">
              <w:rPr>
                <w:rFonts w:ascii="Times New Roman" w:hAnsi="Times New Roman" w:cs="Times New Roman"/>
                <w:sz w:val="24"/>
                <w:szCs w:val="24"/>
              </w:rPr>
              <w:t xml:space="preserve">Рахунок 67 «Розрахунки з учасниками та кошти клієнтів» призначено для узагальнення інформації про розрахунки з учасниками та засновниками підприємства, що пов'язані з розподілом власного капіталу (дивіденди, повернення часток тощо), а також про кошти клієнтів </w:t>
            </w:r>
            <w:r w:rsidRPr="00E12FC4">
              <w:rPr>
                <w:rFonts w:ascii="Times New Roman" w:hAnsi="Times New Roman" w:cs="Times New Roman"/>
                <w:sz w:val="24"/>
                <w:szCs w:val="24"/>
              </w:rPr>
              <w:lastRenderedPageBreak/>
              <w:t>надавачів фінансових послуг (крім банків) та зобов'язання за випущеними електронними грошима.</w:t>
            </w:r>
          </w:p>
          <w:p w:rsidR="007B41F4" w:rsidRPr="00E12FC4" w:rsidRDefault="007B41F4" w:rsidP="007B41F4">
            <w:pPr>
              <w:widowControl w:val="0"/>
              <w:spacing w:after="0" w:line="240" w:lineRule="auto"/>
              <w:ind w:firstLine="284"/>
              <w:jc w:val="both"/>
              <w:rPr>
                <w:rFonts w:ascii="Times New Roman" w:hAnsi="Times New Roman" w:cs="Times New Roman"/>
                <w:sz w:val="24"/>
                <w:szCs w:val="24"/>
              </w:rPr>
            </w:pPr>
            <w:r w:rsidRPr="00E12FC4">
              <w:rPr>
                <w:rFonts w:ascii="Times New Roman" w:hAnsi="Times New Roman" w:cs="Times New Roman"/>
                <w:sz w:val="24"/>
                <w:szCs w:val="24"/>
              </w:rPr>
              <w:t>За кредитом рахунку 67 «Розрахунки з учасниками та кошти клієнтів» відображається збільшення заборгованості підприємства перед засновниками і учасниками товариства та клієнтами надавачів фінансових послуг (крім банків), за дебетом - її зменшення (погашення), в тому числі реінвестування доходів тощо.</w:t>
            </w:r>
          </w:p>
          <w:p w:rsidR="007B41F4" w:rsidRPr="00E12FC4" w:rsidRDefault="007B41F4" w:rsidP="007B41F4">
            <w:pPr>
              <w:widowControl w:val="0"/>
              <w:spacing w:after="0" w:line="240" w:lineRule="auto"/>
              <w:ind w:firstLine="284"/>
              <w:jc w:val="both"/>
              <w:rPr>
                <w:rFonts w:ascii="Times New Roman" w:hAnsi="Times New Roman" w:cs="Times New Roman"/>
                <w:sz w:val="24"/>
                <w:szCs w:val="24"/>
              </w:rPr>
            </w:pPr>
            <w:r w:rsidRPr="00E12FC4">
              <w:rPr>
                <w:rFonts w:ascii="Times New Roman" w:hAnsi="Times New Roman" w:cs="Times New Roman"/>
                <w:sz w:val="24"/>
                <w:szCs w:val="24"/>
              </w:rPr>
              <w:t xml:space="preserve">Рахунок 67 «Розрахунки з учасниками та кошти клієнтів» має такі субрахунки: </w:t>
            </w:r>
          </w:p>
          <w:p w:rsidR="007B41F4" w:rsidRPr="00E12FC4" w:rsidRDefault="007B41F4" w:rsidP="007B41F4">
            <w:pPr>
              <w:widowControl w:val="0"/>
              <w:spacing w:after="0" w:line="240" w:lineRule="auto"/>
              <w:ind w:firstLine="284"/>
              <w:jc w:val="both"/>
              <w:rPr>
                <w:rFonts w:ascii="Times New Roman" w:hAnsi="Times New Roman" w:cs="Times New Roman"/>
                <w:sz w:val="24"/>
                <w:szCs w:val="24"/>
              </w:rPr>
            </w:pPr>
            <w:r w:rsidRPr="00E12FC4">
              <w:rPr>
                <w:rFonts w:ascii="Times New Roman" w:hAnsi="Times New Roman" w:cs="Times New Roman"/>
                <w:sz w:val="24"/>
                <w:szCs w:val="24"/>
              </w:rPr>
              <w:t>671 «Розрахунки за нарахованими дивідендами»</w:t>
            </w:r>
          </w:p>
          <w:p w:rsidR="007B41F4" w:rsidRPr="00E12FC4" w:rsidRDefault="007B41F4" w:rsidP="007B41F4">
            <w:pPr>
              <w:widowControl w:val="0"/>
              <w:spacing w:after="0" w:line="240" w:lineRule="auto"/>
              <w:ind w:firstLine="284"/>
              <w:jc w:val="both"/>
              <w:rPr>
                <w:rFonts w:ascii="Times New Roman" w:hAnsi="Times New Roman" w:cs="Times New Roman"/>
                <w:sz w:val="24"/>
                <w:szCs w:val="24"/>
              </w:rPr>
            </w:pPr>
            <w:r w:rsidRPr="00E12FC4">
              <w:rPr>
                <w:rFonts w:ascii="Times New Roman" w:hAnsi="Times New Roman" w:cs="Times New Roman"/>
                <w:sz w:val="24"/>
                <w:szCs w:val="24"/>
              </w:rPr>
              <w:t>672 «Розрахунки за іншими виплатами»</w:t>
            </w:r>
          </w:p>
          <w:p w:rsidR="007B41F4" w:rsidRPr="00E12FC4" w:rsidRDefault="007B41F4" w:rsidP="007B41F4">
            <w:pPr>
              <w:widowControl w:val="0"/>
              <w:spacing w:after="0" w:line="240" w:lineRule="auto"/>
              <w:ind w:firstLine="284"/>
              <w:jc w:val="both"/>
              <w:rPr>
                <w:rFonts w:ascii="Times New Roman" w:hAnsi="Times New Roman" w:cs="Times New Roman"/>
                <w:sz w:val="24"/>
                <w:szCs w:val="24"/>
              </w:rPr>
            </w:pPr>
            <w:r w:rsidRPr="00E12FC4">
              <w:rPr>
                <w:rFonts w:ascii="Times New Roman" w:hAnsi="Times New Roman" w:cs="Times New Roman"/>
                <w:sz w:val="24"/>
                <w:szCs w:val="24"/>
              </w:rPr>
              <w:t>673 «Кошти клієнтів - юридичних осіб надавачів фінансових послуг»</w:t>
            </w:r>
          </w:p>
          <w:p w:rsidR="007B41F4" w:rsidRPr="00E12FC4" w:rsidRDefault="007B41F4" w:rsidP="007B41F4">
            <w:pPr>
              <w:widowControl w:val="0"/>
              <w:spacing w:after="0" w:line="240" w:lineRule="auto"/>
              <w:ind w:firstLine="284"/>
              <w:jc w:val="both"/>
              <w:rPr>
                <w:rFonts w:ascii="Times New Roman" w:hAnsi="Times New Roman" w:cs="Times New Roman"/>
                <w:sz w:val="24"/>
                <w:szCs w:val="24"/>
              </w:rPr>
            </w:pPr>
            <w:r w:rsidRPr="00E12FC4">
              <w:rPr>
                <w:rFonts w:ascii="Times New Roman" w:hAnsi="Times New Roman" w:cs="Times New Roman"/>
                <w:sz w:val="24"/>
                <w:szCs w:val="24"/>
              </w:rPr>
              <w:t>674 «Кошти клієнтів - фізичних осіб надавачів фінансових послуг»</w:t>
            </w:r>
          </w:p>
          <w:p w:rsidR="007B41F4" w:rsidRPr="00E12FC4" w:rsidRDefault="007B41F4" w:rsidP="007B41F4">
            <w:pPr>
              <w:widowControl w:val="0"/>
              <w:spacing w:after="0" w:line="240" w:lineRule="auto"/>
              <w:ind w:firstLine="284"/>
              <w:jc w:val="both"/>
              <w:rPr>
                <w:rFonts w:ascii="Times New Roman" w:hAnsi="Times New Roman" w:cs="Times New Roman"/>
                <w:sz w:val="24"/>
                <w:szCs w:val="24"/>
              </w:rPr>
            </w:pPr>
            <w:r w:rsidRPr="00E12FC4">
              <w:rPr>
                <w:rFonts w:ascii="Times New Roman" w:hAnsi="Times New Roman" w:cs="Times New Roman"/>
                <w:sz w:val="24"/>
                <w:szCs w:val="24"/>
              </w:rPr>
              <w:t>675 «Зобов'язання надавачів фінансових послуг за випущеними електронним грошима»</w:t>
            </w:r>
          </w:p>
          <w:p w:rsidR="007B41F4" w:rsidRPr="00E12FC4" w:rsidRDefault="007B41F4" w:rsidP="007B41F4">
            <w:pPr>
              <w:widowControl w:val="0"/>
              <w:spacing w:after="0" w:line="240" w:lineRule="auto"/>
              <w:ind w:firstLine="284"/>
              <w:jc w:val="both"/>
              <w:rPr>
                <w:rFonts w:ascii="Times New Roman" w:hAnsi="Times New Roman" w:cs="Times New Roman"/>
                <w:b/>
                <w:sz w:val="24"/>
                <w:szCs w:val="24"/>
              </w:rPr>
            </w:pPr>
            <w:r w:rsidRPr="00E12FC4">
              <w:rPr>
                <w:rFonts w:ascii="Times New Roman" w:hAnsi="Times New Roman" w:cs="Times New Roman"/>
                <w:b/>
                <w:sz w:val="24"/>
                <w:szCs w:val="24"/>
              </w:rPr>
              <w:t>676 «Кошти клієнтів за недіючими рахунками»</w:t>
            </w:r>
          </w:p>
          <w:p w:rsidR="007B41F4" w:rsidRPr="00E12FC4" w:rsidRDefault="007B41F4" w:rsidP="007B41F4">
            <w:pPr>
              <w:widowControl w:val="0"/>
              <w:spacing w:after="0" w:line="240" w:lineRule="auto"/>
              <w:ind w:firstLine="284"/>
              <w:jc w:val="both"/>
              <w:rPr>
                <w:rFonts w:ascii="Times New Roman" w:hAnsi="Times New Roman" w:cs="Times New Roman"/>
                <w:sz w:val="24"/>
                <w:szCs w:val="24"/>
              </w:rPr>
            </w:pPr>
            <w:r w:rsidRPr="00E12FC4">
              <w:rPr>
                <w:rFonts w:ascii="Times New Roman" w:hAnsi="Times New Roman" w:cs="Times New Roman"/>
                <w:sz w:val="24"/>
                <w:szCs w:val="24"/>
              </w:rPr>
              <w:t>На субрахунку 671 «Розрахунки за нарахованими дивідендами» обліковують дивіденди, нараховані власникам простих та привілейованих акцій (часток у статутному капіталі) за рахунок прибутку або інших, передбачених установчими документами, джерел.</w:t>
            </w:r>
          </w:p>
          <w:p w:rsidR="007B41F4" w:rsidRPr="00E12FC4" w:rsidRDefault="007B41F4" w:rsidP="007B41F4">
            <w:pPr>
              <w:widowControl w:val="0"/>
              <w:spacing w:after="0" w:line="240" w:lineRule="auto"/>
              <w:ind w:firstLine="284"/>
              <w:jc w:val="both"/>
              <w:rPr>
                <w:rFonts w:ascii="Times New Roman" w:hAnsi="Times New Roman" w:cs="Times New Roman"/>
                <w:sz w:val="24"/>
                <w:szCs w:val="24"/>
              </w:rPr>
            </w:pPr>
            <w:r w:rsidRPr="00E12FC4">
              <w:rPr>
                <w:rFonts w:ascii="Times New Roman" w:hAnsi="Times New Roman" w:cs="Times New Roman"/>
                <w:sz w:val="24"/>
                <w:szCs w:val="24"/>
              </w:rPr>
              <w:t>На субрахунку 672 «Розрахунки за іншими виплатами» підприємства ведуть облік інших виплат, нарахованих засновникам та учасникам за користування майном, зокрема земельним і майновим паєм, а також виплат у зв'язку з одержанням належної вибулому учаснику (засновнику) частини активів підприємства.</w:t>
            </w:r>
          </w:p>
          <w:p w:rsidR="007B41F4" w:rsidRPr="00E12FC4" w:rsidRDefault="007B41F4" w:rsidP="007B41F4">
            <w:pPr>
              <w:widowControl w:val="0"/>
              <w:spacing w:after="0" w:line="240" w:lineRule="auto"/>
              <w:ind w:firstLine="284"/>
              <w:jc w:val="both"/>
              <w:rPr>
                <w:rFonts w:ascii="Times New Roman" w:hAnsi="Times New Roman" w:cs="Times New Roman"/>
                <w:sz w:val="24"/>
                <w:szCs w:val="24"/>
              </w:rPr>
            </w:pPr>
            <w:r w:rsidRPr="00E12FC4">
              <w:rPr>
                <w:rFonts w:ascii="Times New Roman" w:hAnsi="Times New Roman" w:cs="Times New Roman"/>
                <w:sz w:val="24"/>
                <w:szCs w:val="24"/>
              </w:rPr>
              <w:t>На субрахунках 673 «Кошти клієнтів - юридичних осіб надавачів фінансових послуг» і 674 «Кошти клієнтів-фізичних осіб надавачів фінансових послуг» ведеться облік коштів клієнтів - юридичних осіб і клієнтів - фізичних осіб надавачів фінансових послуг (крім банків).</w:t>
            </w:r>
          </w:p>
          <w:p w:rsidR="007B41F4" w:rsidRPr="00E12FC4" w:rsidRDefault="007B41F4" w:rsidP="007B41F4">
            <w:pPr>
              <w:widowControl w:val="0"/>
              <w:spacing w:after="0" w:line="240" w:lineRule="auto"/>
              <w:ind w:firstLine="284"/>
              <w:jc w:val="both"/>
              <w:rPr>
                <w:rFonts w:ascii="Times New Roman" w:hAnsi="Times New Roman" w:cs="Times New Roman"/>
                <w:sz w:val="24"/>
                <w:szCs w:val="24"/>
              </w:rPr>
            </w:pPr>
            <w:r w:rsidRPr="00E12FC4">
              <w:rPr>
                <w:rFonts w:ascii="Times New Roman" w:hAnsi="Times New Roman" w:cs="Times New Roman"/>
                <w:sz w:val="24"/>
                <w:szCs w:val="24"/>
              </w:rPr>
              <w:t xml:space="preserve">На субрахунку 675 «Зобов'язання надавачів фінансових послуг за випущеними електронними грошима» ведеться облік зобов'язань за випущеними електронними грошима надавачем фінансових послуг (крім </w:t>
            </w:r>
            <w:r w:rsidRPr="00E12FC4">
              <w:rPr>
                <w:rFonts w:ascii="Times New Roman" w:hAnsi="Times New Roman" w:cs="Times New Roman"/>
                <w:sz w:val="24"/>
                <w:szCs w:val="24"/>
              </w:rPr>
              <w:lastRenderedPageBreak/>
              <w:t>банків).</w:t>
            </w:r>
          </w:p>
          <w:p w:rsidR="00C22993" w:rsidRPr="00C22993" w:rsidRDefault="00C22993" w:rsidP="00C22993">
            <w:pPr>
              <w:widowControl w:val="0"/>
              <w:spacing w:after="0" w:line="240" w:lineRule="auto"/>
              <w:ind w:firstLine="284"/>
              <w:jc w:val="both"/>
              <w:rPr>
                <w:rFonts w:ascii="Times New Roman" w:hAnsi="Times New Roman" w:cs="Times New Roman"/>
                <w:b/>
                <w:sz w:val="24"/>
                <w:szCs w:val="24"/>
              </w:rPr>
            </w:pPr>
            <w:r w:rsidRPr="00C22993">
              <w:rPr>
                <w:rFonts w:ascii="Times New Roman" w:hAnsi="Times New Roman" w:cs="Times New Roman"/>
                <w:b/>
                <w:sz w:val="24"/>
                <w:szCs w:val="24"/>
              </w:rPr>
              <w:t xml:space="preserve">На субрахунку 676 </w:t>
            </w:r>
            <w:r>
              <w:rPr>
                <w:rFonts w:ascii="Times New Roman" w:hAnsi="Times New Roman" w:cs="Times New Roman"/>
                <w:b/>
                <w:sz w:val="24"/>
                <w:szCs w:val="24"/>
              </w:rPr>
              <w:t>«</w:t>
            </w:r>
            <w:r w:rsidRPr="00C22993">
              <w:rPr>
                <w:rFonts w:ascii="Times New Roman" w:hAnsi="Times New Roman" w:cs="Times New Roman"/>
                <w:b/>
                <w:sz w:val="24"/>
                <w:szCs w:val="24"/>
              </w:rPr>
              <w:t xml:space="preserve">Кошти </w:t>
            </w:r>
            <w:r>
              <w:rPr>
                <w:rFonts w:ascii="Times New Roman" w:hAnsi="Times New Roman" w:cs="Times New Roman"/>
                <w:b/>
                <w:sz w:val="24"/>
                <w:szCs w:val="24"/>
              </w:rPr>
              <w:t>клієнтів за недіючими рахунками»</w:t>
            </w:r>
            <w:r w:rsidRPr="00C22993">
              <w:rPr>
                <w:rFonts w:ascii="Times New Roman" w:hAnsi="Times New Roman" w:cs="Times New Roman"/>
                <w:b/>
                <w:sz w:val="24"/>
                <w:szCs w:val="24"/>
              </w:rPr>
              <w:t xml:space="preserve"> ведеться облік кредиторської заборгованості надавачів фінансових послуг (крім банків) перед клієнтами у разі закриття платіжних рахунків клієнтам відповідно до законодавства.</w:t>
            </w:r>
          </w:p>
          <w:p w:rsidR="007B41F4" w:rsidRPr="00E12FC4" w:rsidRDefault="00C22993" w:rsidP="00C22993">
            <w:pPr>
              <w:widowControl w:val="0"/>
              <w:spacing w:after="0" w:line="240" w:lineRule="auto"/>
              <w:ind w:firstLine="284"/>
              <w:jc w:val="both"/>
              <w:rPr>
                <w:rFonts w:ascii="Times New Roman" w:hAnsi="Times New Roman" w:cs="Times New Roman"/>
                <w:b/>
                <w:sz w:val="24"/>
                <w:szCs w:val="24"/>
              </w:rPr>
            </w:pPr>
            <w:r w:rsidRPr="00C22993">
              <w:rPr>
                <w:rFonts w:ascii="Times New Roman" w:hAnsi="Times New Roman" w:cs="Times New Roman"/>
                <w:b/>
                <w:sz w:val="24"/>
                <w:szCs w:val="24"/>
              </w:rPr>
              <w:t xml:space="preserve">За кредитом субрахунку </w:t>
            </w:r>
            <w:r>
              <w:rPr>
                <w:rFonts w:ascii="Times New Roman" w:hAnsi="Times New Roman" w:cs="Times New Roman"/>
                <w:b/>
                <w:sz w:val="24"/>
                <w:szCs w:val="24"/>
              </w:rPr>
              <w:t>676 «</w:t>
            </w:r>
            <w:r w:rsidRPr="00C22993">
              <w:rPr>
                <w:rFonts w:ascii="Times New Roman" w:hAnsi="Times New Roman" w:cs="Times New Roman"/>
                <w:b/>
                <w:sz w:val="24"/>
                <w:szCs w:val="24"/>
              </w:rPr>
              <w:t xml:space="preserve">Кошти </w:t>
            </w:r>
            <w:r>
              <w:rPr>
                <w:rFonts w:ascii="Times New Roman" w:hAnsi="Times New Roman" w:cs="Times New Roman"/>
                <w:b/>
                <w:sz w:val="24"/>
                <w:szCs w:val="24"/>
              </w:rPr>
              <w:t>клієнтів за недіючими рахунками»</w:t>
            </w:r>
            <w:r w:rsidRPr="00C22993">
              <w:rPr>
                <w:rFonts w:ascii="Times New Roman" w:hAnsi="Times New Roman" w:cs="Times New Roman"/>
                <w:b/>
                <w:sz w:val="24"/>
                <w:szCs w:val="24"/>
              </w:rPr>
              <w:t xml:space="preserve"> відображається збільшення заборгованості надавачів фінансових послуг (крім банків) за коштами при закритті рахунків клієнтів відповідно до законодавства, зокрема, в разі наявності підстав, передбачених Законом Ук</w:t>
            </w:r>
            <w:r>
              <w:rPr>
                <w:rFonts w:ascii="Times New Roman" w:hAnsi="Times New Roman" w:cs="Times New Roman"/>
                <w:b/>
                <w:sz w:val="24"/>
                <w:szCs w:val="24"/>
              </w:rPr>
              <w:t>раїни «</w:t>
            </w:r>
            <w:r w:rsidRPr="00C22993">
              <w:rPr>
                <w:rFonts w:ascii="Times New Roman" w:hAnsi="Times New Roman" w:cs="Times New Roman"/>
                <w:b/>
                <w:sz w:val="24"/>
                <w:szCs w:val="24"/>
              </w:rPr>
              <w:t>Про запобігання та протидію легалізації (відмиванню) доходів, одержаних злочинним шляхом, фінансуванню тероризму та фінансуванню розповс</w:t>
            </w:r>
            <w:r>
              <w:rPr>
                <w:rFonts w:ascii="Times New Roman" w:hAnsi="Times New Roman" w:cs="Times New Roman"/>
                <w:b/>
                <w:sz w:val="24"/>
                <w:szCs w:val="24"/>
              </w:rPr>
              <w:t>юдження зброї масового знищення»</w:t>
            </w:r>
            <w:r w:rsidRPr="00C22993">
              <w:rPr>
                <w:rFonts w:ascii="Times New Roman" w:hAnsi="Times New Roman" w:cs="Times New Roman"/>
                <w:b/>
                <w:sz w:val="24"/>
                <w:szCs w:val="24"/>
              </w:rPr>
              <w:t>. За дебетом субрахунку відображаються суми повернення коштів клієнтам.</w:t>
            </w:r>
          </w:p>
          <w:p w:rsidR="007B41F4" w:rsidRPr="00E12FC4" w:rsidRDefault="007B41F4" w:rsidP="007B41F4">
            <w:pPr>
              <w:widowControl w:val="0"/>
              <w:spacing w:after="0" w:line="240" w:lineRule="auto"/>
              <w:ind w:firstLine="284"/>
              <w:jc w:val="both"/>
              <w:rPr>
                <w:rFonts w:ascii="Times New Roman" w:hAnsi="Times New Roman" w:cs="Times New Roman"/>
                <w:sz w:val="24"/>
                <w:szCs w:val="24"/>
              </w:rPr>
            </w:pPr>
            <w:r w:rsidRPr="00E12FC4">
              <w:rPr>
                <w:rFonts w:ascii="Times New Roman" w:hAnsi="Times New Roman" w:cs="Times New Roman"/>
                <w:sz w:val="24"/>
                <w:szCs w:val="24"/>
              </w:rPr>
              <w:t>Аналітичний облік ведеться за кожним засновником і учасником та за видами виплат, за кожним клієнтом - юридичною особою і клієнтом - фізичною особою надавача фінансових послуг (крім банків), а також за кожним користувачем електронних грошей.</w:t>
            </w:r>
          </w:p>
          <w:p w:rsidR="00C22993" w:rsidRDefault="00C22993" w:rsidP="007B41F4">
            <w:pPr>
              <w:widowControl w:val="0"/>
              <w:spacing w:after="0" w:line="240" w:lineRule="auto"/>
              <w:ind w:firstLine="284"/>
              <w:jc w:val="both"/>
              <w:rPr>
                <w:rFonts w:ascii="Times New Roman" w:hAnsi="Times New Roman" w:cs="Times New Roman"/>
                <w:sz w:val="24"/>
                <w:szCs w:val="24"/>
              </w:rPr>
            </w:pPr>
          </w:p>
          <w:p w:rsidR="00C22993" w:rsidRPr="00E12FC4" w:rsidRDefault="00C22993" w:rsidP="007B41F4">
            <w:pPr>
              <w:widowControl w:val="0"/>
              <w:spacing w:after="0" w:line="240" w:lineRule="auto"/>
              <w:ind w:firstLine="284"/>
              <w:jc w:val="both"/>
              <w:rPr>
                <w:rFonts w:ascii="Times New Roman" w:hAnsi="Times New Roman" w:cs="Times New Roman"/>
                <w:sz w:val="24"/>
                <w:szCs w:val="24"/>
              </w:rPr>
            </w:pPr>
          </w:p>
          <w:p w:rsidR="007B41F4" w:rsidRPr="00E12FC4" w:rsidRDefault="007B41F4" w:rsidP="007B41F4">
            <w:pPr>
              <w:widowControl w:val="0"/>
              <w:spacing w:after="0" w:line="240" w:lineRule="auto"/>
              <w:ind w:firstLine="284"/>
              <w:jc w:val="center"/>
              <w:rPr>
                <w:rFonts w:ascii="Times New Roman" w:hAnsi="Times New Roman" w:cs="Times New Roman"/>
                <w:sz w:val="24"/>
                <w:szCs w:val="24"/>
              </w:rPr>
            </w:pPr>
            <w:r w:rsidRPr="00E12FC4">
              <w:rPr>
                <w:rFonts w:ascii="Times New Roman" w:hAnsi="Times New Roman" w:cs="Times New Roman"/>
                <w:sz w:val="24"/>
                <w:szCs w:val="24"/>
              </w:rPr>
              <w:t>Рахунок 67 «Розрахунки з учасниками та кошти клієнтів»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4150"/>
              <w:gridCol w:w="3498"/>
            </w:tblGrid>
            <w:tr w:rsidR="007B41F4" w:rsidRPr="00E12FC4" w:rsidTr="008D7941">
              <w:tc>
                <w:tcPr>
                  <w:tcW w:w="2713" w:type="pct"/>
                  <w:shd w:val="clear" w:color="auto" w:fill="FFFFFF" w:themeFill="background1"/>
                  <w:vAlign w:val="center"/>
                  <w:hideMark/>
                </w:tcPr>
                <w:p w:rsidR="007B41F4" w:rsidRPr="00E12FC4" w:rsidRDefault="007B41F4" w:rsidP="007B41F4">
                  <w:pPr>
                    <w:widowControl w:val="0"/>
                    <w:spacing w:after="0" w:line="240" w:lineRule="auto"/>
                    <w:jc w:val="center"/>
                    <w:rPr>
                      <w:rFonts w:ascii="Times New Roman" w:eastAsia="Times New Roman" w:hAnsi="Times New Roman" w:cs="Times New Roman"/>
                      <w:sz w:val="24"/>
                      <w:szCs w:val="24"/>
                      <w:lang w:eastAsia="uk-UA"/>
                    </w:rPr>
                  </w:pPr>
                  <w:r w:rsidRPr="00E12FC4">
                    <w:rPr>
                      <w:rFonts w:ascii="Times New Roman" w:eastAsia="Times New Roman" w:hAnsi="Times New Roman" w:cs="Times New Roman"/>
                      <w:bCs/>
                      <w:sz w:val="24"/>
                      <w:szCs w:val="24"/>
                      <w:lang w:eastAsia="uk-UA"/>
                    </w:rPr>
                    <w:t>за дебетом з кредитом рахунків:</w:t>
                  </w:r>
                </w:p>
              </w:tc>
              <w:tc>
                <w:tcPr>
                  <w:tcW w:w="2287" w:type="pct"/>
                  <w:shd w:val="clear" w:color="auto" w:fill="FFFFFF" w:themeFill="background1"/>
                  <w:vAlign w:val="center"/>
                  <w:hideMark/>
                </w:tcPr>
                <w:p w:rsidR="007B41F4" w:rsidRPr="00E12FC4" w:rsidRDefault="007B41F4" w:rsidP="007B41F4">
                  <w:pPr>
                    <w:widowControl w:val="0"/>
                    <w:spacing w:after="0" w:line="240" w:lineRule="auto"/>
                    <w:jc w:val="center"/>
                    <w:rPr>
                      <w:rFonts w:ascii="Times New Roman" w:eastAsia="Times New Roman" w:hAnsi="Times New Roman" w:cs="Times New Roman"/>
                      <w:sz w:val="24"/>
                      <w:szCs w:val="24"/>
                      <w:lang w:eastAsia="uk-UA"/>
                    </w:rPr>
                  </w:pPr>
                  <w:r w:rsidRPr="00E12FC4">
                    <w:rPr>
                      <w:rFonts w:ascii="Times New Roman" w:eastAsia="Times New Roman" w:hAnsi="Times New Roman" w:cs="Times New Roman"/>
                      <w:bCs/>
                      <w:sz w:val="24"/>
                      <w:szCs w:val="24"/>
                      <w:lang w:eastAsia="uk-UA"/>
                    </w:rPr>
                    <w:t>за кредитом з дебетом рахунків:</w:t>
                  </w:r>
                </w:p>
              </w:tc>
            </w:tr>
            <w:tr w:rsidR="007B41F4" w:rsidRPr="00E12FC4" w:rsidTr="008D7941">
              <w:tc>
                <w:tcPr>
                  <w:tcW w:w="2713"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sz w:val="24"/>
                      <w:szCs w:val="24"/>
                      <w:lang w:eastAsia="uk-UA"/>
                    </w:rPr>
                  </w:pPr>
                  <w:r w:rsidRPr="00E12FC4">
                    <w:rPr>
                      <w:rFonts w:ascii="Times New Roman" w:eastAsia="Times New Roman" w:hAnsi="Times New Roman" w:cs="Times New Roman"/>
                      <w:sz w:val="24"/>
                      <w:szCs w:val="24"/>
                      <w:lang w:eastAsia="uk-UA"/>
                    </w:rPr>
                    <w:t>30 «Готівка» </w:t>
                  </w:r>
                </w:p>
              </w:tc>
              <w:tc>
                <w:tcPr>
                  <w:tcW w:w="2287" w:type="pct"/>
                  <w:shd w:val="clear" w:color="auto" w:fill="FFFFFF" w:themeFill="background1"/>
                  <w:hideMark/>
                </w:tcPr>
                <w:p w:rsidR="007B41F4" w:rsidRPr="00E12FC4" w:rsidRDefault="007B41F4" w:rsidP="007B41F4">
                  <w:pPr>
                    <w:widowControl w:val="0"/>
                    <w:spacing w:after="0" w:line="240" w:lineRule="auto"/>
                    <w:rPr>
                      <w:rFonts w:ascii="Times New Roman" w:eastAsia="Times New Roman" w:hAnsi="Times New Roman" w:cs="Times New Roman"/>
                      <w:sz w:val="24"/>
                      <w:szCs w:val="24"/>
                      <w:lang w:eastAsia="uk-UA"/>
                    </w:rPr>
                  </w:pPr>
                  <w:r w:rsidRPr="00E12FC4">
                    <w:rPr>
                      <w:rFonts w:ascii="Times New Roman" w:eastAsia="Times New Roman" w:hAnsi="Times New Roman" w:cs="Times New Roman"/>
                      <w:sz w:val="24"/>
                      <w:szCs w:val="24"/>
                      <w:lang w:eastAsia="uk-UA"/>
                    </w:rPr>
                    <w:t>40 »Зареєстрований (пайовий) капітал» </w:t>
                  </w:r>
                </w:p>
              </w:tc>
            </w:tr>
            <w:tr w:rsidR="007B41F4" w:rsidRPr="00E12FC4" w:rsidTr="008D7941">
              <w:tc>
                <w:tcPr>
                  <w:tcW w:w="2713"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sz w:val="24"/>
                      <w:szCs w:val="24"/>
                      <w:lang w:eastAsia="uk-UA"/>
                    </w:rPr>
                  </w:pPr>
                  <w:r w:rsidRPr="00E12FC4">
                    <w:rPr>
                      <w:rFonts w:ascii="Times New Roman" w:eastAsia="Times New Roman" w:hAnsi="Times New Roman" w:cs="Times New Roman"/>
                      <w:sz w:val="24"/>
                      <w:szCs w:val="24"/>
                      <w:lang w:eastAsia="uk-UA"/>
                    </w:rPr>
                    <w:t>31 »Рахунки в банках» </w:t>
                  </w:r>
                </w:p>
              </w:tc>
              <w:tc>
                <w:tcPr>
                  <w:tcW w:w="2287"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sz w:val="24"/>
                      <w:szCs w:val="24"/>
                      <w:lang w:eastAsia="uk-UA"/>
                    </w:rPr>
                  </w:pPr>
                  <w:r w:rsidRPr="00E12FC4">
                    <w:rPr>
                      <w:rFonts w:ascii="Times New Roman" w:eastAsia="Times New Roman" w:hAnsi="Times New Roman" w:cs="Times New Roman"/>
                      <w:sz w:val="24"/>
                      <w:szCs w:val="24"/>
                      <w:lang w:eastAsia="uk-UA"/>
                    </w:rPr>
                    <w:t>43»Резервний капітал»</w:t>
                  </w:r>
                </w:p>
              </w:tc>
            </w:tr>
            <w:tr w:rsidR="007B41F4" w:rsidRPr="00E12FC4" w:rsidTr="008D7941">
              <w:tc>
                <w:tcPr>
                  <w:tcW w:w="2713"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sz w:val="24"/>
                      <w:szCs w:val="24"/>
                      <w:lang w:eastAsia="uk-UA"/>
                    </w:rPr>
                  </w:pPr>
                  <w:r w:rsidRPr="00E12FC4">
                    <w:rPr>
                      <w:rFonts w:ascii="Times New Roman" w:eastAsia="Times New Roman" w:hAnsi="Times New Roman" w:cs="Times New Roman"/>
                      <w:sz w:val="24"/>
                      <w:szCs w:val="24"/>
                      <w:lang w:eastAsia="uk-UA"/>
                    </w:rPr>
                    <w:t>37 »Розрахунки з різними дебіторами» </w:t>
                  </w:r>
                </w:p>
              </w:tc>
              <w:tc>
                <w:tcPr>
                  <w:tcW w:w="2287"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sz w:val="24"/>
                      <w:szCs w:val="24"/>
                      <w:lang w:eastAsia="uk-UA"/>
                    </w:rPr>
                  </w:pPr>
                  <w:r w:rsidRPr="00E12FC4">
                    <w:rPr>
                      <w:rFonts w:ascii="Times New Roman" w:eastAsia="Times New Roman" w:hAnsi="Times New Roman" w:cs="Times New Roman"/>
                      <w:sz w:val="24"/>
                      <w:szCs w:val="24"/>
                      <w:lang w:eastAsia="uk-UA"/>
                    </w:rPr>
                    <w:t>44 «Нерозподілені прибутки (непокриті збитки)» </w:t>
                  </w:r>
                </w:p>
              </w:tc>
            </w:tr>
            <w:tr w:rsidR="007B41F4" w:rsidRPr="00E12FC4" w:rsidTr="008D7941">
              <w:tc>
                <w:tcPr>
                  <w:tcW w:w="2713"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sz w:val="24"/>
                      <w:szCs w:val="24"/>
                      <w:lang w:eastAsia="uk-UA"/>
                    </w:rPr>
                  </w:pPr>
                  <w:r w:rsidRPr="00E12FC4">
                    <w:rPr>
                      <w:rFonts w:ascii="Times New Roman" w:eastAsia="Times New Roman" w:hAnsi="Times New Roman" w:cs="Times New Roman"/>
                      <w:sz w:val="24"/>
                      <w:szCs w:val="24"/>
                      <w:lang w:eastAsia="uk-UA"/>
                    </w:rPr>
                    <w:t>40 »Зареєстрований (пайовий) капітал» </w:t>
                  </w:r>
                </w:p>
              </w:tc>
              <w:tc>
                <w:tcPr>
                  <w:tcW w:w="2287"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b/>
                      <w:sz w:val="24"/>
                      <w:szCs w:val="24"/>
                      <w:lang w:eastAsia="uk-UA"/>
                    </w:rPr>
                  </w:pPr>
                  <w:r w:rsidRPr="00E12FC4">
                    <w:rPr>
                      <w:rFonts w:ascii="Times New Roman" w:eastAsia="Times New Roman" w:hAnsi="Times New Roman" w:cs="Times New Roman"/>
                      <w:b/>
                      <w:sz w:val="24"/>
                      <w:szCs w:val="24"/>
                      <w:lang w:eastAsia="uk-UA"/>
                    </w:rPr>
                    <w:t>67 «Розрахунки з учасниками та кошти клієнтів»</w:t>
                  </w:r>
                </w:p>
              </w:tc>
            </w:tr>
            <w:tr w:rsidR="007B41F4" w:rsidRPr="00E12FC4" w:rsidTr="008D7941">
              <w:tc>
                <w:tcPr>
                  <w:tcW w:w="2713"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sz w:val="24"/>
                      <w:szCs w:val="24"/>
                      <w:lang w:eastAsia="uk-UA"/>
                    </w:rPr>
                  </w:pPr>
                  <w:r w:rsidRPr="00E12FC4">
                    <w:rPr>
                      <w:rFonts w:ascii="Times New Roman" w:eastAsia="Times New Roman" w:hAnsi="Times New Roman" w:cs="Times New Roman"/>
                      <w:sz w:val="24"/>
                      <w:szCs w:val="24"/>
                      <w:lang w:eastAsia="uk-UA"/>
                    </w:rPr>
                    <w:t>46 »Неоплачений капітал» </w:t>
                  </w:r>
                </w:p>
              </w:tc>
              <w:tc>
                <w:tcPr>
                  <w:tcW w:w="2287"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b/>
                      <w:i/>
                      <w:sz w:val="24"/>
                      <w:szCs w:val="24"/>
                      <w:lang w:eastAsia="uk-UA"/>
                    </w:rPr>
                  </w:pPr>
                </w:p>
              </w:tc>
            </w:tr>
            <w:tr w:rsidR="007B41F4" w:rsidRPr="00E12FC4" w:rsidTr="008D7941">
              <w:tc>
                <w:tcPr>
                  <w:tcW w:w="2713"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sz w:val="24"/>
                      <w:szCs w:val="24"/>
                      <w:lang w:eastAsia="uk-UA"/>
                    </w:rPr>
                  </w:pPr>
                  <w:r w:rsidRPr="00E12FC4">
                    <w:rPr>
                      <w:rFonts w:ascii="Times New Roman" w:eastAsia="Times New Roman" w:hAnsi="Times New Roman" w:cs="Times New Roman"/>
                      <w:sz w:val="24"/>
                      <w:szCs w:val="24"/>
                      <w:lang w:eastAsia="uk-UA"/>
                    </w:rPr>
                    <w:t xml:space="preserve">64 »Розрахунки за податками й </w:t>
                  </w:r>
                  <w:proofErr w:type="spellStart"/>
                  <w:r w:rsidRPr="00E12FC4">
                    <w:rPr>
                      <w:rFonts w:ascii="Times New Roman" w:eastAsia="Times New Roman" w:hAnsi="Times New Roman" w:cs="Times New Roman"/>
                      <w:sz w:val="24"/>
                      <w:szCs w:val="24"/>
                      <w:lang w:eastAsia="uk-UA"/>
                    </w:rPr>
                    <w:lastRenderedPageBreak/>
                    <w:t>платежами</w:t>
                  </w:r>
                  <w:proofErr w:type="spellEnd"/>
                  <w:r w:rsidRPr="00E12FC4">
                    <w:rPr>
                      <w:rFonts w:ascii="Times New Roman" w:eastAsia="Times New Roman" w:hAnsi="Times New Roman" w:cs="Times New Roman"/>
                      <w:sz w:val="24"/>
                      <w:szCs w:val="24"/>
                      <w:lang w:eastAsia="uk-UA"/>
                    </w:rPr>
                    <w:t>» </w:t>
                  </w:r>
                </w:p>
              </w:tc>
              <w:tc>
                <w:tcPr>
                  <w:tcW w:w="2287"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b/>
                      <w:i/>
                      <w:sz w:val="24"/>
                      <w:szCs w:val="24"/>
                      <w:lang w:eastAsia="uk-UA"/>
                    </w:rPr>
                  </w:pPr>
                </w:p>
              </w:tc>
            </w:tr>
            <w:tr w:rsidR="007B41F4" w:rsidRPr="00E12FC4" w:rsidTr="008D7941">
              <w:tc>
                <w:tcPr>
                  <w:tcW w:w="2713"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b/>
                      <w:sz w:val="24"/>
                      <w:szCs w:val="24"/>
                      <w:lang w:eastAsia="uk-UA"/>
                    </w:rPr>
                  </w:pPr>
                  <w:r w:rsidRPr="00E12FC4">
                    <w:rPr>
                      <w:rFonts w:ascii="Times New Roman" w:eastAsia="Times New Roman" w:hAnsi="Times New Roman" w:cs="Times New Roman"/>
                      <w:b/>
                      <w:sz w:val="24"/>
                      <w:szCs w:val="24"/>
                      <w:lang w:eastAsia="uk-UA"/>
                    </w:rPr>
                    <w:t>67 «Розрахунки з учасниками та кошти клієнтів»</w:t>
                  </w:r>
                </w:p>
              </w:tc>
              <w:tc>
                <w:tcPr>
                  <w:tcW w:w="2287"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b/>
                      <w:i/>
                      <w:sz w:val="24"/>
                      <w:szCs w:val="24"/>
                      <w:lang w:eastAsia="uk-UA"/>
                    </w:rPr>
                  </w:pPr>
                </w:p>
              </w:tc>
            </w:tr>
            <w:tr w:rsidR="007B41F4" w:rsidRPr="00E12FC4" w:rsidTr="008D7941">
              <w:tc>
                <w:tcPr>
                  <w:tcW w:w="2713"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sz w:val="24"/>
                      <w:szCs w:val="24"/>
                      <w:lang w:eastAsia="uk-UA"/>
                    </w:rPr>
                  </w:pPr>
                  <w:r w:rsidRPr="00E12FC4">
                    <w:rPr>
                      <w:rFonts w:ascii="Times New Roman" w:eastAsia="Times New Roman" w:hAnsi="Times New Roman" w:cs="Times New Roman"/>
                      <w:sz w:val="24"/>
                      <w:szCs w:val="24"/>
                      <w:lang w:eastAsia="uk-UA"/>
                    </w:rPr>
                    <w:t>70 »Доходи від реалізації» </w:t>
                  </w:r>
                </w:p>
              </w:tc>
              <w:tc>
                <w:tcPr>
                  <w:tcW w:w="2287"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b/>
                      <w:i/>
                      <w:sz w:val="24"/>
                      <w:szCs w:val="24"/>
                      <w:lang w:eastAsia="uk-UA"/>
                    </w:rPr>
                  </w:pPr>
                </w:p>
              </w:tc>
            </w:tr>
            <w:tr w:rsidR="007B41F4" w:rsidRPr="00E12FC4" w:rsidTr="008D7941">
              <w:tc>
                <w:tcPr>
                  <w:tcW w:w="2713"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sz w:val="24"/>
                      <w:szCs w:val="24"/>
                      <w:lang w:eastAsia="uk-UA"/>
                    </w:rPr>
                  </w:pPr>
                  <w:r w:rsidRPr="00E12FC4">
                    <w:rPr>
                      <w:rFonts w:ascii="Times New Roman" w:eastAsia="Times New Roman" w:hAnsi="Times New Roman" w:cs="Times New Roman"/>
                      <w:sz w:val="24"/>
                      <w:szCs w:val="24"/>
                      <w:lang w:eastAsia="uk-UA"/>
                    </w:rPr>
                    <w:t>71 »Інший операційний дохід» </w:t>
                  </w:r>
                </w:p>
              </w:tc>
              <w:tc>
                <w:tcPr>
                  <w:tcW w:w="2287"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b/>
                      <w:i/>
                      <w:sz w:val="24"/>
                      <w:szCs w:val="24"/>
                      <w:lang w:eastAsia="uk-UA"/>
                    </w:rPr>
                  </w:pPr>
                </w:p>
              </w:tc>
            </w:tr>
            <w:tr w:rsidR="007B41F4" w:rsidRPr="00E12FC4" w:rsidTr="008D7941">
              <w:tc>
                <w:tcPr>
                  <w:tcW w:w="2713"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sz w:val="24"/>
                      <w:szCs w:val="24"/>
                      <w:lang w:eastAsia="uk-UA"/>
                    </w:rPr>
                  </w:pPr>
                  <w:r w:rsidRPr="00E12FC4">
                    <w:rPr>
                      <w:rFonts w:ascii="Times New Roman" w:eastAsia="Times New Roman" w:hAnsi="Times New Roman" w:cs="Times New Roman"/>
                      <w:sz w:val="24"/>
                      <w:szCs w:val="24"/>
                      <w:lang w:eastAsia="uk-UA"/>
                    </w:rPr>
                    <w:t>73 »Інші фінансові доходи» </w:t>
                  </w:r>
                </w:p>
              </w:tc>
              <w:tc>
                <w:tcPr>
                  <w:tcW w:w="2287"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b/>
                      <w:i/>
                      <w:sz w:val="24"/>
                      <w:szCs w:val="24"/>
                      <w:lang w:eastAsia="uk-UA"/>
                    </w:rPr>
                  </w:pPr>
                </w:p>
              </w:tc>
            </w:tr>
            <w:tr w:rsidR="007B41F4" w:rsidRPr="00E12FC4" w:rsidTr="008D7941">
              <w:tc>
                <w:tcPr>
                  <w:tcW w:w="2713"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sz w:val="24"/>
                      <w:szCs w:val="24"/>
                      <w:lang w:eastAsia="uk-UA"/>
                    </w:rPr>
                  </w:pPr>
                  <w:r w:rsidRPr="00E12FC4">
                    <w:rPr>
                      <w:rFonts w:ascii="Times New Roman" w:eastAsia="Times New Roman" w:hAnsi="Times New Roman" w:cs="Times New Roman"/>
                      <w:sz w:val="24"/>
                      <w:szCs w:val="24"/>
                      <w:lang w:eastAsia="uk-UA"/>
                    </w:rPr>
                    <w:t>74 »Інші доходи» </w:t>
                  </w:r>
                </w:p>
              </w:tc>
              <w:tc>
                <w:tcPr>
                  <w:tcW w:w="2287" w:type="pct"/>
                  <w:shd w:val="clear" w:color="auto" w:fill="FFFFFF" w:themeFill="background1"/>
                </w:tcPr>
                <w:p w:rsidR="007B41F4" w:rsidRPr="00E12FC4" w:rsidRDefault="007B41F4" w:rsidP="007B41F4">
                  <w:pPr>
                    <w:widowControl w:val="0"/>
                    <w:spacing w:after="0" w:line="240" w:lineRule="auto"/>
                    <w:rPr>
                      <w:rFonts w:ascii="Times New Roman" w:eastAsia="Times New Roman" w:hAnsi="Times New Roman" w:cs="Times New Roman"/>
                      <w:b/>
                      <w:i/>
                      <w:sz w:val="24"/>
                      <w:szCs w:val="24"/>
                      <w:lang w:eastAsia="uk-UA"/>
                    </w:rPr>
                  </w:pPr>
                </w:p>
              </w:tc>
            </w:tr>
          </w:tbl>
          <w:p w:rsidR="007B41F4" w:rsidRPr="00E12FC4" w:rsidRDefault="007B41F4" w:rsidP="007B41F4">
            <w:pPr>
              <w:widowControl w:val="0"/>
              <w:spacing w:after="0" w:line="240" w:lineRule="auto"/>
              <w:ind w:firstLine="284"/>
              <w:jc w:val="both"/>
              <w:rPr>
                <w:rFonts w:ascii="Times New Roman" w:hAnsi="Times New Roman" w:cs="Times New Roman"/>
                <w:sz w:val="24"/>
                <w:szCs w:val="24"/>
              </w:rPr>
            </w:pPr>
            <w:r w:rsidRPr="00E12FC4">
              <w:rPr>
                <w:rFonts w:ascii="Times New Roman" w:hAnsi="Times New Roman" w:cs="Times New Roman"/>
                <w:sz w:val="24"/>
                <w:szCs w:val="24"/>
              </w:rPr>
              <w:t xml:space="preserve">   </w:t>
            </w:r>
          </w:p>
        </w:tc>
      </w:tr>
      <w:tr w:rsidR="007B41F4" w:rsidRPr="00E12FC4" w:rsidTr="008D57FA">
        <w:trPr>
          <w:trHeight w:val="150"/>
        </w:trPr>
        <w:tc>
          <w:tcPr>
            <w:tcW w:w="7880" w:type="dxa"/>
            <w:tcBorders>
              <w:top w:val="single" w:sz="4" w:space="0" w:color="auto"/>
              <w:left w:val="single" w:sz="4" w:space="0" w:color="auto"/>
              <w:bottom w:val="single" w:sz="4" w:space="0" w:color="auto"/>
              <w:right w:val="single" w:sz="4" w:space="0" w:color="auto"/>
            </w:tcBorders>
            <w:shd w:val="clear" w:color="auto" w:fill="auto"/>
          </w:tcPr>
          <w:p w:rsidR="007B41F4" w:rsidRPr="00E12FC4" w:rsidRDefault="007B41F4" w:rsidP="007B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4"/>
              <w:jc w:val="center"/>
              <w:rPr>
                <w:rFonts w:ascii="Times New Roman" w:eastAsia="Times New Roman" w:hAnsi="Times New Roman"/>
                <w:b/>
                <w:bCs/>
                <w:sz w:val="24"/>
                <w:szCs w:val="24"/>
                <w:lang w:eastAsia="uk-UA"/>
              </w:rPr>
            </w:pPr>
            <w:r w:rsidRPr="00E12FC4">
              <w:rPr>
                <w:rFonts w:ascii="Times New Roman" w:eastAsia="Times New Roman" w:hAnsi="Times New Roman"/>
                <w:b/>
                <w:bCs/>
                <w:sz w:val="24"/>
                <w:szCs w:val="24"/>
                <w:lang w:eastAsia="uk-UA"/>
              </w:rPr>
              <w:lastRenderedPageBreak/>
              <w:t>Рахунок 68 «Розрахунки за іншими операціями»</w:t>
            </w:r>
          </w:p>
          <w:p w:rsidR="007B41F4" w:rsidRPr="00E12FC4" w:rsidRDefault="007B41F4" w:rsidP="007B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4"/>
              <w:jc w:val="both"/>
              <w:rPr>
                <w:rFonts w:ascii="Times New Roman" w:eastAsia="Times New Roman" w:hAnsi="Times New Roman"/>
                <w:bCs/>
                <w:sz w:val="24"/>
                <w:szCs w:val="24"/>
                <w:lang w:eastAsia="uk-UA"/>
              </w:rPr>
            </w:pPr>
            <w:r w:rsidRPr="00E12FC4">
              <w:rPr>
                <w:rFonts w:ascii="Times New Roman" w:eastAsia="Times New Roman" w:hAnsi="Times New Roman"/>
                <w:bCs/>
                <w:sz w:val="24"/>
                <w:szCs w:val="24"/>
                <w:lang w:eastAsia="uk-UA"/>
              </w:rPr>
              <w:t xml:space="preserve">На рахунку 68 «Розрахунки за іншими операціями» ведеться облік розрахунків за операціями, що не можуть бути відображені на рахунках </w:t>
            </w:r>
            <w:r w:rsidRPr="00E12FC4">
              <w:rPr>
                <w:rFonts w:ascii="Times New Roman" w:eastAsia="Times New Roman" w:hAnsi="Times New Roman"/>
                <w:bCs/>
                <w:sz w:val="24"/>
                <w:szCs w:val="24"/>
                <w:lang w:eastAsia="uk-UA"/>
              </w:rPr>
              <w:br/>
              <w:t>63 - 67.</w:t>
            </w:r>
          </w:p>
          <w:p w:rsidR="007B41F4" w:rsidRPr="00E12FC4" w:rsidRDefault="007B41F4" w:rsidP="007B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4"/>
              <w:jc w:val="both"/>
              <w:rPr>
                <w:rFonts w:ascii="Times New Roman" w:eastAsia="Times New Roman" w:hAnsi="Times New Roman"/>
                <w:bCs/>
                <w:sz w:val="24"/>
                <w:szCs w:val="24"/>
                <w:lang w:eastAsia="uk-UA"/>
              </w:rPr>
            </w:pPr>
            <w:r w:rsidRPr="00E12FC4">
              <w:rPr>
                <w:rFonts w:ascii="Times New Roman" w:eastAsia="Times New Roman" w:hAnsi="Times New Roman"/>
                <w:bCs/>
                <w:sz w:val="24"/>
                <w:szCs w:val="24"/>
                <w:lang w:eastAsia="uk-UA"/>
              </w:rPr>
              <w:t>Рахунок 68 «Розрахунки за іншими операціями» має такі субрахунки:</w:t>
            </w:r>
          </w:p>
          <w:p w:rsidR="007B41F4" w:rsidRPr="00E12FC4" w:rsidRDefault="007B41F4" w:rsidP="007B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4"/>
              <w:jc w:val="both"/>
              <w:rPr>
                <w:rFonts w:ascii="Times New Roman" w:eastAsia="Times New Roman" w:hAnsi="Times New Roman"/>
                <w:bCs/>
                <w:sz w:val="24"/>
                <w:szCs w:val="24"/>
                <w:lang w:eastAsia="uk-UA"/>
              </w:rPr>
            </w:pPr>
            <w:r w:rsidRPr="00E12FC4">
              <w:rPr>
                <w:rFonts w:ascii="Times New Roman" w:eastAsia="Times New Roman" w:hAnsi="Times New Roman"/>
                <w:bCs/>
                <w:sz w:val="24"/>
                <w:szCs w:val="24"/>
                <w:lang w:eastAsia="uk-UA"/>
              </w:rPr>
              <w:t>680 «Розрахунки, пов’язані з необоротними активами та групами вибуття, утримуваними для продажу»</w:t>
            </w:r>
          </w:p>
          <w:p w:rsidR="007B41F4" w:rsidRPr="00E12FC4" w:rsidRDefault="007B41F4" w:rsidP="007B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4"/>
              <w:jc w:val="both"/>
              <w:rPr>
                <w:rFonts w:ascii="Times New Roman" w:eastAsia="Times New Roman" w:hAnsi="Times New Roman"/>
                <w:bCs/>
                <w:sz w:val="24"/>
                <w:szCs w:val="24"/>
                <w:lang w:eastAsia="uk-UA"/>
              </w:rPr>
            </w:pPr>
            <w:r w:rsidRPr="00E12FC4">
              <w:rPr>
                <w:rFonts w:ascii="Times New Roman" w:eastAsia="Times New Roman" w:hAnsi="Times New Roman"/>
                <w:bCs/>
                <w:sz w:val="24"/>
                <w:szCs w:val="24"/>
                <w:lang w:eastAsia="uk-UA"/>
              </w:rPr>
              <w:t>…</w:t>
            </w:r>
          </w:p>
          <w:p w:rsidR="007B41F4" w:rsidRPr="00E12FC4" w:rsidRDefault="007B41F4" w:rsidP="007B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4"/>
              <w:jc w:val="both"/>
              <w:rPr>
                <w:rFonts w:ascii="Times New Roman" w:eastAsia="Times New Roman" w:hAnsi="Times New Roman"/>
                <w:bCs/>
                <w:sz w:val="24"/>
                <w:szCs w:val="24"/>
                <w:lang w:eastAsia="uk-UA"/>
              </w:rPr>
            </w:pPr>
            <w:r w:rsidRPr="00E12FC4">
              <w:rPr>
                <w:rFonts w:ascii="Times New Roman" w:eastAsia="Times New Roman" w:hAnsi="Times New Roman"/>
                <w:bCs/>
                <w:sz w:val="24"/>
                <w:szCs w:val="24"/>
                <w:lang w:eastAsia="uk-UA"/>
              </w:rPr>
              <w:t>На субрахунку 680 «Розрахунки, пов’язані з необоротними активами та групами вибуття, утримуваними для продажу» ведеться облік визнаних відповідно до Національного положення (стандарту) бухгалтерського обліку 27 «Необоротні активи, утримувані для продажу, та припинена діяльність» зобов’язань, прямо пов’язаних з необоротними активами та групами вибуття, утримуваними для продажу.</w:t>
            </w:r>
          </w:p>
          <w:p w:rsidR="007B41F4" w:rsidRPr="00E12FC4" w:rsidRDefault="007B41F4" w:rsidP="007B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4"/>
              <w:jc w:val="both"/>
              <w:rPr>
                <w:rFonts w:ascii="Times New Roman" w:eastAsia="Times New Roman" w:hAnsi="Times New Roman"/>
                <w:bCs/>
                <w:sz w:val="24"/>
                <w:szCs w:val="24"/>
                <w:lang w:eastAsia="uk-UA"/>
              </w:rPr>
            </w:pPr>
            <w:r w:rsidRPr="00E12FC4">
              <w:rPr>
                <w:rFonts w:ascii="Times New Roman" w:eastAsia="Times New Roman" w:hAnsi="Times New Roman"/>
                <w:bCs/>
                <w:sz w:val="24"/>
                <w:szCs w:val="24"/>
                <w:lang w:eastAsia="uk-UA"/>
              </w:rPr>
              <w:t>…</w:t>
            </w:r>
          </w:p>
        </w:tc>
        <w:tc>
          <w:tcPr>
            <w:tcW w:w="7880" w:type="dxa"/>
            <w:tcBorders>
              <w:top w:val="single" w:sz="4" w:space="0" w:color="auto"/>
              <w:left w:val="single" w:sz="4" w:space="0" w:color="auto"/>
              <w:bottom w:val="single" w:sz="4" w:space="0" w:color="auto"/>
              <w:right w:val="single" w:sz="4" w:space="0" w:color="auto"/>
            </w:tcBorders>
            <w:shd w:val="clear" w:color="auto" w:fill="auto"/>
          </w:tcPr>
          <w:p w:rsidR="007B41F4" w:rsidRPr="00E12FC4" w:rsidRDefault="007B41F4" w:rsidP="007B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4"/>
              <w:jc w:val="center"/>
              <w:rPr>
                <w:rFonts w:ascii="Times New Roman" w:eastAsia="Times New Roman" w:hAnsi="Times New Roman"/>
                <w:b/>
                <w:bCs/>
                <w:sz w:val="24"/>
                <w:szCs w:val="24"/>
                <w:lang w:eastAsia="uk-UA"/>
              </w:rPr>
            </w:pPr>
            <w:r w:rsidRPr="00E12FC4">
              <w:rPr>
                <w:rFonts w:ascii="Times New Roman" w:eastAsia="Times New Roman" w:hAnsi="Times New Roman"/>
                <w:b/>
                <w:bCs/>
                <w:sz w:val="24"/>
                <w:szCs w:val="24"/>
                <w:lang w:eastAsia="uk-UA"/>
              </w:rPr>
              <w:t>Рахунок 68 «Розрахунки за іншими операціями»</w:t>
            </w:r>
          </w:p>
          <w:p w:rsidR="007B41F4" w:rsidRPr="00E12FC4" w:rsidRDefault="007B41F4" w:rsidP="007B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4"/>
              <w:jc w:val="both"/>
              <w:rPr>
                <w:rFonts w:ascii="Times New Roman" w:eastAsia="Times New Roman" w:hAnsi="Times New Roman"/>
                <w:bCs/>
                <w:sz w:val="24"/>
                <w:szCs w:val="24"/>
                <w:lang w:eastAsia="uk-UA"/>
              </w:rPr>
            </w:pPr>
            <w:r w:rsidRPr="00E12FC4">
              <w:rPr>
                <w:rFonts w:ascii="Times New Roman" w:eastAsia="Times New Roman" w:hAnsi="Times New Roman"/>
                <w:bCs/>
                <w:sz w:val="24"/>
                <w:szCs w:val="24"/>
                <w:lang w:eastAsia="uk-UA"/>
              </w:rPr>
              <w:t xml:space="preserve">На рахунку 68 «Розрахунки за іншими операціями» ведеться облік розрахунків за операціями, що не можуть бути відображені на рахунках </w:t>
            </w:r>
            <w:r w:rsidRPr="00E12FC4">
              <w:rPr>
                <w:rFonts w:ascii="Times New Roman" w:eastAsia="Times New Roman" w:hAnsi="Times New Roman"/>
                <w:bCs/>
                <w:sz w:val="24"/>
                <w:szCs w:val="24"/>
                <w:lang w:eastAsia="uk-UA"/>
              </w:rPr>
              <w:br/>
              <w:t>63 - 67.</w:t>
            </w:r>
          </w:p>
          <w:p w:rsidR="007B41F4" w:rsidRPr="00E12FC4" w:rsidRDefault="007B41F4" w:rsidP="007B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4"/>
              <w:jc w:val="both"/>
              <w:rPr>
                <w:rFonts w:ascii="Times New Roman" w:eastAsia="Times New Roman" w:hAnsi="Times New Roman"/>
                <w:bCs/>
                <w:sz w:val="24"/>
                <w:szCs w:val="24"/>
                <w:lang w:eastAsia="uk-UA"/>
              </w:rPr>
            </w:pPr>
            <w:r w:rsidRPr="00E12FC4">
              <w:rPr>
                <w:rFonts w:ascii="Times New Roman" w:eastAsia="Times New Roman" w:hAnsi="Times New Roman"/>
                <w:bCs/>
                <w:sz w:val="24"/>
                <w:szCs w:val="24"/>
                <w:lang w:eastAsia="uk-UA"/>
              </w:rPr>
              <w:t>Рахунок 68 «Розрахунки за іншими операціями» має такі субрахунки:</w:t>
            </w:r>
          </w:p>
          <w:p w:rsidR="007B41F4" w:rsidRPr="00E12FC4" w:rsidRDefault="007B41F4" w:rsidP="007B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4"/>
              <w:jc w:val="both"/>
              <w:rPr>
                <w:rFonts w:ascii="Times New Roman" w:eastAsia="Times New Roman" w:hAnsi="Times New Roman"/>
                <w:bCs/>
                <w:sz w:val="24"/>
                <w:szCs w:val="24"/>
                <w:lang w:eastAsia="uk-UA"/>
              </w:rPr>
            </w:pPr>
            <w:r w:rsidRPr="00E12FC4">
              <w:rPr>
                <w:rFonts w:ascii="Times New Roman" w:eastAsia="Times New Roman" w:hAnsi="Times New Roman"/>
                <w:bCs/>
                <w:sz w:val="24"/>
                <w:szCs w:val="24"/>
                <w:lang w:eastAsia="uk-UA"/>
              </w:rPr>
              <w:t>680 «Розрахунки, пов’язані з необоротними активами та групами вибуття, утримуваними для продажу»</w:t>
            </w:r>
          </w:p>
          <w:p w:rsidR="007B41F4" w:rsidRPr="00E12FC4" w:rsidRDefault="007B41F4" w:rsidP="007B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4"/>
              <w:jc w:val="both"/>
              <w:rPr>
                <w:rFonts w:ascii="Times New Roman" w:eastAsia="Times New Roman" w:hAnsi="Times New Roman"/>
                <w:bCs/>
                <w:sz w:val="24"/>
                <w:szCs w:val="24"/>
                <w:lang w:eastAsia="uk-UA"/>
              </w:rPr>
            </w:pPr>
            <w:r w:rsidRPr="00E12FC4">
              <w:rPr>
                <w:rFonts w:ascii="Times New Roman" w:eastAsia="Times New Roman" w:hAnsi="Times New Roman"/>
                <w:bCs/>
                <w:sz w:val="24"/>
                <w:szCs w:val="24"/>
                <w:lang w:eastAsia="uk-UA"/>
              </w:rPr>
              <w:t>…</w:t>
            </w:r>
          </w:p>
          <w:p w:rsidR="007B41F4" w:rsidRPr="00E12FC4" w:rsidRDefault="007B41F4" w:rsidP="007B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4"/>
              <w:jc w:val="both"/>
              <w:rPr>
                <w:rFonts w:ascii="Times New Roman" w:eastAsia="Times New Roman" w:hAnsi="Times New Roman"/>
                <w:bCs/>
                <w:sz w:val="24"/>
                <w:szCs w:val="24"/>
                <w:lang w:eastAsia="uk-UA"/>
              </w:rPr>
            </w:pPr>
            <w:r w:rsidRPr="00E12FC4">
              <w:rPr>
                <w:rFonts w:ascii="Times New Roman" w:eastAsia="Times New Roman" w:hAnsi="Times New Roman"/>
                <w:bCs/>
                <w:sz w:val="24"/>
                <w:szCs w:val="24"/>
                <w:lang w:eastAsia="uk-UA"/>
              </w:rPr>
              <w:t xml:space="preserve">На субрахунку 680 «Розрахунки, пов’язані з необоротними активами та групами вибуття, утримуваними для продажу» ведеться облік визнаних відповідно до Національного положення (стандарту) бухгалтерського обліку 27 «Необоротні активи, утримувані для продажу, та припинена діяльність» зобов’язань, прямо пов’язаних з необоротними активами та групами вибуття, утримуваними для продажу </w:t>
            </w:r>
            <w:r w:rsidRPr="00E12FC4">
              <w:rPr>
                <w:rFonts w:ascii="Times New Roman" w:eastAsia="Times New Roman" w:hAnsi="Times New Roman"/>
                <w:b/>
                <w:bCs/>
                <w:sz w:val="24"/>
                <w:szCs w:val="24"/>
                <w:lang w:eastAsia="uk-UA"/>
              </w:rPr>
              <w:t>або розподілу</w:t>
            </w:r>
            <w:r w:rsidRPr="00E12FC4">
              <w:rPr>
                <w:rFonts w:ascii="Times New Roman" w:eastAsia="Times New Roman" w:hAnsi="Times New Roman"/>
                <w:bCs/>
                <w:sz w:val="24"/>
                <w:szCs w:val="24"/>
                <w:lang w:eastAsia="uk-UA"/>
              </w:rPr>
              <w:t>.</w:t>
            </w:r>
          </w:p>
          <w:p w:rsidR="007B41F4" w:rsidRPr="00E12FC4" w:rsidRDefault="007B41F4" w:rsidP="007B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4"/>
              <w:jc w:val="both"/>
              <w:rPr>
                <w:rFonts w:ascii="Times New Roman" w:eastAsia="Times New Roman" w:hAnsi="Times New Roman"/>
                <w:bCs/>
                <w:sz w:val="24"/>
                <w:szCs w:val="24"/>
                <w:lang w:eastAsia="uk-UA"/>
              </w:rPr>
            </w:pPr>
            <w:r w:rsidRPr="00E12FC4">
              <w:rPr>
                <w:rFonts w:ascii="Times New Roman" w:eastAsia="Times New Roman" w:hAnsi="Times New Roman"/>
                <w:bCs/>
                <w:sz w:val="24"/>
                <w:szCs w:val="24"/>
                <w:lang w:eastAsia="uk-UA"/>
              </w:rPr>
              <w:t>…</w:t>
            </w:r>
          </w:p>
        </w:tc>
      </w:tr>
    </w:tbl>
    <w:p w:rsidR="00DC5C0F" w:rsidRPr="00E12FC4" w:rsidRDefault="00DC5C0F" w:rsidP="00DC5C0F">
      <w:pPr>
        <w:widowControl w:val="0"/>
        <w:spacing w:after="0" w:line="240" w:lineRule="auto"/>
        <w:jc w:val="both"/>
        <w:rPr>
          <w:rFonts w:ascii="Times New Roman" w:hAnsi="Times New Roman"/>
          <w:b/>
          <w:sz w:val="28"/>
          <w:szCs w:val="28"/>
        </w:rPr>
      </w:pPr>
    </w:p>
    <w:p w:rsidR="00DC5C0F" w:rsidRPr="00E12FC4" w:rsidRDefault="00DC5C0F" w:rsidP="00DC5C0F">
      <w:pPr>
        <w:widowControl w:val="0"/>
        <w:spacing w:after="0" w:line="240" w:lineRule="auto"/>
        <w:jc w:val="both"/>
        <w:rPr>
          <w:rFonts w:ascii="Times New Roman" w:hAnsi="Times New Roman"/>
          <w:b/>
          <w:sz w:val="28"/>
          <w:szCs w:val="28"/>
        </w:rPr>
      </w:pPr>
    </w:p>
    <w:p w:rsidR="00DC5C0F" w:rsidRPr="00E12FC4" w:rsidRDefault="00DC5C0F" w:rsidP="00DC5C0F">
      <w:pPr>
        <w:widowControl w:val="0"/>
        <w:spacing w:after="0" w:line="240" w:lineRule="auto"/>
        <w:jc w:val="both"/>
        <w:rPr>
          <w:rFonts w:ascii="Times New Roman" w:hAnsi="Times New Roman"/>
          <w:b/>
          <w:sz w:val="28"/>
          <w:szCs w:val="28"/>
        </w:rPr>
      </w:pPr>
      <w:r w:rsidRPr="00E12FC4">
        <w:rPr>
          <w:rFonts w:ascii="Times New Roman" w:hAnsi="Times New Roman"/>
          <w:b/>
          <w:sz w:val="28"/>
          <w:szCs w:val="28"/>
        </w:rPr>
        <w:t>Міністр                                                                                                                                                                        Сергій МАРЧЕНКО</w:t>
      </w:r>
    </w:p>
    <w:sectPr w:rsidR="00DC5C0F" w:rsidRPr="00E12FC4" w:rsidSect="00DC5C0F">
      <w:headerReference w:type="default" r:id="rId6"/>
      <w:pgSz w:w="16838" w:h="11906" w:orient="landscape"/>
      <w:pgMar w:top="1134" w:right="851" w:bottom="170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DF8" w:rsidRDefault="00CD4DF8" w:rsidP="00EC5C3C">
      <w:pPr>
        <w:spacing w:after="0" w:line="240" w:lineRule="auto"/>
      </w:pPr>
      <w:r>
        <w:separator/>
      </w:r>
    </w:p>
  </w:endnote>
  <w:endnote w:type="continuationSeparator" w:id="0">
    <w:p w:rsidR="00CD4DF8" w:rsidRDefault="00CD4DF8" w:rsidP="00EC5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DF8" w:rsidRDefault="00CD4DF8" w:rsidP="00EC5C3C">
      <w:pPr>
        <w:spacing w:after="0" w:line="240" w:lineRule="auto"/>
      </w:pPr>
      <w:r>
        <w:separator/>
      </w:r>
    </w:p>
  </w:footnote>
  <w:footnote w:type="continuationSeparator" w:id="0">
    <w:p w:rsidR="00CD4DF8" w:rsidRDefault="00CD4DF8" w:rsidP="00EC5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076340"/>
      <w:docPartObj>
        <w:docPartGallery w:val="Page Numbers (Top of Page)"/>
        <w:docPartUnique/>
      </w:docPartObj>
    </w:sdtPr>
    <w:sdtEndPr>
      <w:rPr>
        <w:rFonts w:ascii="Times New Roman" w:hAnsi="Times New Roman" w:cs="Times New Roman"/>
        <w:sz w:val="24"/>
        <w:szCs w:val="24"/>
      </w:rPr>
    </w:sdtEndPr>
    <w:sdtContent>
      <w:p w:rsidR="00DC5C0F" w:rsidRPr="00DC5C0F" w:rsidRDefault="00DC5C0F">
        <w:pPr>
          <w:pStyle w:val="a6"/>
          <w:jc w:val="center"/>
          <w:rPr>
            <w:rFonts w:ascii="Times New Roman" w:hAnsi="Times New Roman" w:cs="Times New Roman"/>
            <w:sz w:val="24"/>
            <w:szCs w:val="24"/>
          </w:rPr>
        </w:pPr>
        <w:r w:rsidRPr="00DC5C0F">
          <w:rPr>
            <w:rFonts w:ascii="Times New Roman" w:hAnsi="Times New Roman" w:cs="Times New Roman"/>
            <w:sz w:val="24"/>
            <w:szCs w:val="24"/>
          </w:rPr>
          <w:fldChar w:fldCharType="begin"/>
        </w:r>
        <w:r w:rsidRPr="00DC5C0F">
          <w:rPr>
            <w:rFonts w:ascii="Times New Roman" w:hAnsi="Times New Roman" w:cs="Times New Roman"/>
            <w:sz w:val="24"/>
            <w:szCs w:val="24"/>
          </w:rPr>
          <w:instrText>PAGE   \* MERGEFORMAT</w:instrText>
        </w:r>
        <w:r w:rsidRPr="00DC5C0F">
          <w:rPr>
            <w:rFonts w:ascii="Times New Roman" w:hAnsi="Times New Roman" w:cs="Times New Roman"/>
            <w:sz w:val="24"/>
            <w:szCs w:val="24"/>
          </w:rPr>
          <w:fldChar w:fldCharType="separate"/>
        </w:r>
        <w:r w:rsidR="00C22993">
          <w:rPr>
            <w:rFonts w:ascii="Times New Roman" w:hAnsi="Times New Roman" w:cs="Times New Roman"/>
            <w:noProof/>
            <w:sz w:val="24"/>
            <w:szCs w:val="24"/>
          </w:rPr>
          <w:t>2</w:t>
        </w:r>
        <w:r w:rsidRPr="00DC5C0F">
          <w:rPr>
            <w:rFonts w:ascii="Times New Roman" w:hAnsi="Times New Roman" w:cs="Times New Roman"/>
            <w:sz w:val="24"/>
            <w:szCs w:val="24"/>
          </w:rPr>
          <w:fldChar w:fldCharType="end"/>
        </w:r>
      </w:p>
    </w:sdtContent>
  </w:sdt>
  <w:p w:rsidR="00DC5C0F" w:rsidRDefault="00DC5C0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D00"/>
    <w:rsid w:val="0000442C"/>
    <w:rsid w:val="0005667E"/>
    <w:rsid w:val="0008002F"/>
    <w:rsid w:val="00094A96"/>
    <w:rsid w:val="000A0CB0"/>
    <w:rsid w:val="000B6167"/>
    <w:rsid w:val="000D15A9"/>
    <w:rsid w:val="0010275A"/>
    <w:rsid w:val="0014287D"/>
    <w:rsid w:val="001809BE"/>
    <w:rsid w:val="001A1391"/>
    <w:rsid w:val="001B0B03"/>
    <w:rsid w:val="001C12E6"/>
    <w:rsid w:val="0022329E"/>
    <w:rsid w:val="00282E3D"/>
    <w:rsid w:val="002D75DE"/>
    <w:rsid w:val="00336E6B"/>
    <w:rsid w:val="003F5376"/>
    <w:rsid w:val="003F60B5"/>
    <w:rsid w:val="00505F5E"/>
    <w:rsid w:val="00545912"/>
    <w:rsid w:val="0057591A"/>
    <w:rsid w:val="005808D1"/>
    <w:rsid w:val="00585AF0"/>
    <w:rsid w:val="00585F31"/>
    <w:rsid w:val="00592797"/>
    <w:rsid w:val="006544F9"/>
    <w:rsid w:val="006636C1"/>
    <w:rsid w:val="006828EE"/>
    <w:rsid w:val="0069556A"/>
    <w:rsid w:val="006C0020"/>
    <w:rsid w:val="006C5431"/>
    <w:rsid w:val="00704930"/>
    <w:rsid w:val="007177E3"/>
    <w:rsid w:val="00732E4A"/>
    <w:rsid w:val="007602BC"/>
    <w:rsid w:val="00780B66"/>
    <w:rsid w:val="007B41F4"/>
    <w:rsid w:val="007D5782"/>
    <w:rsid w:val="007E0BC0"/>
    <w:rsid w:val="00832BEF"/>
    <w:rsid w:val="00860FC8"/>
    <w:rsid w:val="008A4D00"/>
    <w:rsid w:val="008D57FA"/>
    <w:rsid w:val="008E70F3"/>
    <w:rsid w:val="008F56CF"/>
    <w:rsid w:val="00904FC2"/>
    <w:rsid w:val="00916042"/>
    <w:rsid w:val="00942F7F"/>
    <w:rsid w:val="009C5B07"/>
    <w:rsid w:val="009D5DC0"/>
    <w:rsid w:val="00A306DB"/>
    <w:rsid w:val="00B66F74"/>
    <w:rsid w:val="00BD5F09"/>
    <w:rsid w:val="00BD6FE6"/>
    <w:rsid w:val="00C22993"/>
    <w:rsid w:val="00C36987"/>
    <w:rsid w:val="00CA17DB"/>
    <w:rsid w:val="00CD4DF8"/>
    <w:rsid w:val="00D17EFA"/>
    <w:rsid w:val="00D26732"/>
    <w:rsid w:val="00D9620B"/>
    <w:rsid w:val="00DC5C0F"/>
    <w:rsid w:val="00E12FC4"/>
    <w:rsid w:val="00E1475B"/>
    <w:rsid w:val="00E653B1"/>
    <w:rsid w:val="00EA104B"/>
    <w:rsid w:val="00EC5C3C"/>
    <w:rsid w:val="00EE4B92"/>
    <w:rsid w:val="00F4040B"/>
    <w:rsid w:val="00F70A46"/>
    <w:rsid w:val="00FA6918"/>
    <w:rsid w:val="00FE388B"/>
    <w:rsid w:val="00FF77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BD7E"/>
  <w15:chartTrackingRefBased/>
  <w15:docId w15:val="{B66CAC1A-1AFC-4117-B8C4-751CDC84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D00"/>
  </w:style>
  <w:style w:type="paragraph" w:styleId="3">
    <w:name w:val="heading 3"/>
    <w:basedOn w:val="a"/>
    <w:link w:val="30"/>
    <w:uiPriority w:val="99"/>
    <w:qFormat/>
    <w:rsid w:val="008E70F3"/>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1C12E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EE4B92"/>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EE4B92"/>
    <w:rPr>
      <w:rFonts w:ascii="Segoe UI" w:hAnsi="Segoe UI" w:cs="Segoe UI"/>
      <w:sz w:val="18"/>
      <w:szCs w:val="18"/>
    </w:rPr>
  </w:style>
  <w:style w:type="character" w:customStyle="1" w:styleId="30">
    <w:name w:val="Заголовок 3 Знак"/>
    <w:basedOn w:val="a0"/>
    <w:link w:val="3"/>
    <w:uiPriority w:val="99"/>
    <w:rsid w:val="008E70F3"/>
    <w:rPr>
      <w:rFonts w:ascii="Times New Roman" w:eastAsia="Times New Roman" w:hAnsi="Times New Roman" w:cs="Times New Roman"/>
      <w:b/>
      <w:bCs/>
      <w:sz w:val="27"/>
      <w:szCs w:val="27"/>
      <w:lang w:val="ru-RU" w:eastAsia="ru-RU"/>
    </w:rPr>
  </w:style>
  <w:style w:type="paragraph" w:styleId="a5">
    <w:name w:val="Normal (Web)"/>
    <w:basedOn w:val="a"/>
    <w:uiPriority w:val="99"/>
    <w:rsid w:val="008E70F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1">
    <w:name w:val="Table Grid 1"/>
    <w:basedOn w:val="a1"/>
    <w:uiPriority w:val="99"/>
    <w:rsid w:val="008E70F3"/>
    <w:pPr>
      <w:spacing w:after="0" w:line="240" w:lineRule="auto"/>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6">
    <w:name w:val="header"/>
    <w:basedOn w:val="a"/>
    <w:link w:val="a7"/>
    <w:uiPriority w:val="99"/>
    <w:unhideWhenUsed/>
    <w:rsid w:val="00EC5C3C"/>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EC5C3C"/>
  </w:style>
  <w:style w:type="paragraph" w:styleId="a8">
    <w:name w:val="footer"/>
    <w:basedOn w:val="a"/>
    <w:link w:val="a9"/>
    <w:uiPriority w:val="99"/>
    <w:unhideWhenUsed/>
    <w:rsid w:val="00EC5C3C"/>
    <w:pPr>
      <w:tabs>
        <w:tab w:val="center" w:pos="4819"/>
        <w:tab w:val="right" w:pos="9639"/>
      </w:tabs>
      <w:spacing w:after="0" w:line="240" w:lineRule="auto"/>
    </w:pPr>
  </w:style>
  <w:style w:type="character" w:customStyle="1" w:styleId="a9">
    <w:name w:val="Нижній колонтитул Знак"/>
    <w:basedOn w:val="a0"/>
    <w:link w:val="a8"/>
    <w:uiPriority w:val="99"/>
    <w:rsid w:val="00EC5C3C"/>
  </w:style>
  <w:style w:type="paragraph" w:customStyle="1" w:styleId="rvps2">
    <w:name w:val="rvps2"/>
    <w:basedOn w:val="a"/>
    <w:rsid w:val="009D5DC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9D5DC0"/>
  </w:style>
  <w:style w:type="character" w:styleId="aa">
    <w:name w:val="Hyperlink"/>
    <w:basedOn w:val="a0"/>
    <w:uiPriority w:val="99"/>
    <w:semiHidden/>
    <w:unhideWhenUsed/>
    <w:rsid w:val="009D5DC0"/>
    <w:rPr>
      <w:color w:val="0000FF"/>
      <w:u w:val="single"/>
    </w:rPr>
  </w:style>
  <w:style w:type="character" w:customStyle="1" w:styleId="rvts46">
    <w:name w:val="rvts46"/>
    <w:basedOn w:val="a0"/>
    <w:rsid w:val="009D5DC0"/>
  </w:style>
  <w:style w:type="paragraph" w:styleId="ab">
    <w:name w:val="List Paragraph"/>
    <w:basedOn w:val="a"/>
    <w:uiPriority w:val="34"/>
    <w:qFormat/>
    <w:rsid w:val="00BD6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70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6633</Words>
  <Characters>3782</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Іщенко Валентина Сергіївна</dc:creator>
  <cp:keywords/>
  <dc:description/>
  <cp:lastModifiedBy>Ковтун Олексій Вікторович</cp:lastModifiedBy>
  <cp:revision>4</cp:revision>
  <dcterms:created xsi:type="dcterms:W3CDTF">2024-09-17T11:19:00Z</dcterms:created>
  <dcterms:modified xsi:type="dcterms:W3CDTF">2024-09-25T08:09:00Z</dcterms:modified>
</cp:coreProperties>
</file>