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D00" w:rsidRPr="001B19CB" w:rsidRDefault="008A4D00" w:rsidP="008A4D00">
      <w:pPr>
        <w:widowControl w:val="0"/>
        <w:shd w:val="clear" w:color="auto" w:fill="FFFFFF"/>
        <w:spacing w:after="0" w:line="240" w:lineRule="auto"/>
        <w:jc w:val="center"/>
        <w:rPr>
          <w:rFonts w:ascii="Times New Roman" w:eastAsia="Times New Roman" w:hAnsi="Times New Roman" w:cs="Times New Roman"/>
          <w:b/>
          <w:caps/>
          <w:spacing w:val="-4"/>
          <w:sz w:val="28"/>
          <w:szCs w:val="28"/>
          <w:lang w:eastAsia="ru-RU"/>
        </w:rPr>
      </w:pPr>
      <w:r w:rsidRPr="001B19CB">
        <w:rPr>
          <w:rFonts w:ascii="Times New Roman" w:eastAsia="Times New Roman" w:hAnsi="Times New Roman" w:cs="Times New Roman"/>
          <w:b/>
          <w:caps/>
          <w:spacing w:val="-4"/>
          <w:sz w:val="28"/>
          <w:szCs w:val="28"/>
          <w:lang w:eastAsia="ru-RU"/>
        </w:rPr>
        <w:t>Порівняльна таблиця</w:t>
      </w:r>
    </w:p>
    <w:p w:rsidR="0070587D" w:rsidRPr="001B19CB" w:rsidRDefault="008A4D00" w:rsidP="00924C8E">
      <w:pPr>
        <w:widowControl w:val="0"/>
        <w:spacing w:after="0" w:line="240" w:lineRule="auto"/>
        <w:jc w:val="center"/>
        <w:rPr>
          <w:rFonts w:ascii="Times New Roman" w:eastAsia="Times New Roman" w:hAnsi="Times New Roman" w:cs="Times New Roman"/>
          <w:b/>
          <w:spacing w:val="-4"/>
          <w:sz w:val="28"/>
          <w:szCs w:val="28"/>
          <w:lang w:eastAsia="ru-RU"/>
        </w:rPr>
      </w:pPr>
      <w:r w:rsidRPr="001B19CB">
        <w:rPr>
          <w:rFonts w:ascii="Times New Roman" w:eastAsia="Times New Roman" w:hAnsi="Times New Roman" w:cs="Times New Roman"/>
          <w:b/>
          <w:spacing w:val="-4"/>
          <w:sz w:val="28"/>
          <w:szCs w:val="28"/>
          <w:lang w:eastAsia="ru-RU"/>
        </w:rPr>
        <w:t>до про</w:t>
      </w:r>
      <w:r w:rsidR="00401B1B" w:rsidRPr="001B19CB">
        <w:rPr>
          <w:rFonts w:ascii="Times New Roman" w:eastAsia="Times New Roman" w:hAnsi="Times New Roman" w:cs="Times New Roman"/>
          <w:b/>
          <w:spacing w:val="-4"/>
          <w:sz w:val="28"/>
          <w:szCs w:val="28"/>
          <w:lang w:eastAsia="ru-RU"/>
        </w:rPr>
        <w:t>є</w:t>
      </w:r>
      <w:r w:rsidRPr="001B19CB">
        <w:rPr>
          <w:rFonts w:ascii="Times New Roman" w:eastAsia="Times New Roman" w:hAnsi="Times New Roman" w:cs="Times New Roman"/>
          <w:b/>
          <w:spacing w:val="-4"/>
          <w:sz w:val="28"/>
          <w:szCs w:val="28"/>
          <w:lang w:eastAsia="ru-RU"/>
        </w:rPr>
        <w:t>кту</w:t>
      </w:r>
      <w:r w:rsidR="0070587D" w:rsidRPr="001B19CB">
        <w:rPr>
          <w:sz w:val="28"/>
          <w:szCs w:val="28"/>
        </w:rPr>
        <w:t xml:space="preserve"> </w:t>
      </w:r>
      <w:r w:rsidR="0070587D" w:rsidRPr="001B19CB">
        <w:rPr>
          <w:rFonts w:ascii="Times New Roman" w:eastAsia="Times New Roman" w:hAnsi="Times New Roman" w:cs="Times New Roman"/>
          <w:b/>
          <w:spacing w:val="-4"/>
          <w:sz w:val="28"/>
          <w:szCs w:val="28"/>
          <w:lang w:eastAsia="ru-RU"/>
        </w:rPr>
        <w:t>наказу Міністерства фінансів України</w:t>
      </w:r>
    </w:p>
    <w:p w:rsidR="008A4D00" w:rsidRPr="001B19CB" w:rsidRDefault="0070587D" w:rsidP="00924C8E">
      <w:pPr>
        <w:widowControl w:val="0"/>
        <w:spacing w:after="0" w:line="240" w:lineRule="auto"/>
        <w:jc w:val="center"/>
        <w:rPr>
          <w:rFonts w:ascii="Times New Roman" w:eastAsia="Times New Roman" w:hAnsi="Times New Roman" w:cs="Times New Roman"/>
          <w:b/>
          <w:spacing w:val="-4"/>
          <w:sz w:val="28"/>
          <w:szCs w:val="28"/>
          <w:lang w:eastAsia="ru-RU"/>
        </w:rPr>
      </w:pPr>
      <w:r w:rsidRPr="001B19CB">
        <w:rPr>
          <w:rFonts w:ascii="Times New Roman" w:eastAsia="Times New Roman" w:hAnsi="Times New Roman" w:cs="Times New Roman"/>
          <w:b/>
          <w:spacing w:val="-4"/>
          <w:sz w:val="28"/>
          <w:szCs w:val="28"/>
          <w:lang w:eastAsia="ru-RU"/>
        </w:rPr>
        <w:t>«Про затвердження Змін до деяких нормативно-правових актів Міністерства фінансів України з бухгалтерського обліку»</w:t>
      </w:r>
    </w:p>
    <w:p w:rsidR="008A4D00" w:rsidRPr="00DD6785" w:rsidRDefault="008A4D00" w:rsidP="008A4D00">
      <w:pPr>
        <w:widowControl w:val="0"/>
        <w:spacing w:after="0" w:line="240" w:lineRule="auto"/>
        <w:jc w:val="center"/>
        <w:rPr>
          <w:rFonts w:ascii="Times New Roman" w:eastAsia="Times New Roman" w:hAnsi="Times New Roman" w:cs="Times New Roman"/>
          <w:spacing w:val="-4"/>
          <w:sz w:val="24"/>
          <w:szCs w:val="24"/>
          <w:lang w:eastAsia="ru-RU"/>
        </w:rPr>
      </w:pP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7655"/>
      </w:tblGrid>
      <w:tr w:rsidR="0070587D" w:rsidRPr="00DD6785" w:rsidTr="0070587D">
        <w:tc>
          <w:tcPr>
            <w:tcW w:w="2500" w:type="pct"/>
            <w:tcBorders>
              <w:top w:val="single" w:sz="4" w:space="0" w:color="auto"/>
              <w:left w:val="single" w:sz="4" w:space="0" w:color="auto"/>
              <w:bottom w:val="single" w:sz="4" w:space="0" w:color="auto"/>
              <w:right w:val="single" w:sz="4" w:space="0" w:color="auto"/>
            </w:tcBorders>
            <w:vAlign w:val="center"/>
            <w:hideMark/>
          </w:tcPr>
          <w:p w:rsidR="0070587D" w:rsidRPr="001B19CB" w:rsidRDefault="0070587D" w:rsidP="00D65F08">
            <w:pPr>
              <w:widowControl w:val="0"/>
              <w:spacing w:after="0" w:line="240" w:lineRule="auto"/>
              <w:jc w:val="center"/>
              <w:rPr>
                <w:rFonts w:ascii="Times New Roman" w:eastAsia="Times New Roman" w:hAnsi="Times New Roman" w:cs="Times New Roman"/>
                <w:b/>
                <w:spacing w:val="-4"/>
                <w:sz w:val="24"/>
                <w:szCs w:val="24"/>
                <w:lang w:eastAsia="ru-RU"/>
              </w:rPr>
            </w:pPr>
            <w:r w:rsidRPr="001B19CB">
              <w:rPr>
                <w:rFonts w:ascii="Times New Roman" w:eastAsia="Times New Roman" w:hAnsi="Times New Roman" w:cs="Times New Roman"/>
                <w:b/>
                <w:spacing w:val="-4"/>
                <w:sz w:val="24"/>
                <w:szCs w:val="24"/>
                <w:lang w:eastAsia="ru-RU"/>
              </w:rPr>
              <w:t>Зміст положення (норми) чинного акта законодавства</w:t>
            </w:r>
          </w:p>
        </w:tc>
        <w:tc>
          <w:tcPr>
            <w:tcW w:w="2500" w:type="pct"/>
            <w:tcBorders>
              <w:top w:val="single" w:sz="4" w:space="0" w:color="auto"/>
              <w:left w:val="single" w:sz="4" w:space="0" w:color="auto"/>
              <w:bottom w:val="single" w:sz="4" w:space="0" w:color="auto"/>
              <w:right w:val="single" w:sz="4" w:space="0" w:color="auto"/>
            </w:tcBorders>
            <w:vAlign w:val="center"/>
          </w:tcPr>
          <w:p w:rsidR="0070587D" w:rsidRPr="001B19CB" w:rsidRDefault="0070587D" w:rsidP="00D65F08">
            <w:pPr>
              <w:widowControl w:val="0"/>
              <w:spacing w:after="0" w:line="240" w:lineRule="auto"/>
              <w:jc w:val="center"/>
              <w:rPr>
                <w:rFonts w:ascii="Times New Roman" w:eastAsia="Times New Roman" w:hAnsi="Times New Roman" w:cs="Times New Roman"/>
                <w:b/>
                <w:bCs/>
                <w:spacing w:val="-4"/>
                <w:sz w:val="24"/>
                <w:szCs w:val="24"/>
                <w:lang w:eastAsia="ru-RU"/>
              </w:rPr>
            </w:pPr>
            <w:r w:rsidRPr="001B19CB">
              <w:rPr>
                <w:rFonts w:ascii="Times New Roman" w:eastAsia="Times New Roman" w:hAnsi="Times New Roman" w:cs="Times New Roman"/>
                <w:b/>
                <w:spacing w:val="-4"/>
                <w:sz w:val="24"/>
                <w:szCs w:val="24"/>
                <w:lang w:eastAsia="ru-RU"/>
              </w:rPr>
              <w:t>Зміст положення (норми) змін до акта законодавства</w:t>
            </w:r>
          </w:p>
        </w:tc>
      </w:tr>
      <w:tr w:rsidR="0070587D" w:rsidRPr="00DD6785" w:rsidTr="0070587D">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70587D" w:rsidRPr="001B19CB" w:rsidRDefault="0070587D" w:rsidP="0070587D">
            <w:pPr>
              <w:spacing w:after="0" w:line="240" w:lineRule="auto"/>
              <w:ind w:firstLine="284"/>
              <w:jc w:val="center"/>
              <w:rPr>
                <w:rFonts w:ascii="Times New Roman" w:hAnsi="Times New Roman" w:cs="Times New Roman"/>
                <w:b/>
                <w:sz w:val="24"/>
                <w:szCs w:val="24"/>
              </w:rPr>
            </w:pPr>
            <w:r w:rsidRPr="001B19CB">
              <w:rPr>
                <w:rFonts w:ascii="Times New Roman" w:hAnsi="Times New Roman" w:cs="Times New Roman"/>
                <w:b/>
                <w:sz w:val="24"/>
                <w:szCs w:val="24"/>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w:t>
            </w:r>
          </w:p>
          <w:p w:rsidR="0070587D" w:rsidRPr="001B19CB" w:rsidRDefault="0070587D" w:rsidP="00AC34C1">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t>(наказ Міністерства фінансів України від 30.11.1999 № 291)</w:t>
            </w:r>
          </w:p>
        </w:tc>
      </w:tr>
      <w:tr w:rsidR="0070587D" w:rsidRPr="00DD6785" w:rsidTr="0070587D">
        <w:tc>
          <w:tcPr>
            <w:tcW w:w="2500" w:type="pct"/>
            <w:tcBorders>
              <w:top w:val="single" w:sz="4" w:space="0" w:color="auto"/>
              <w:left w:val="single" w:sz="4" w:space="0" w:color="auto"/>
              <w:bottom w:val="single" w:sz="4" w:space="0" w:color="auto"/>
              <w:right w:val="single" w:sz="4" w:space="0" w:color="auto"/>
            </w:tcBorders>
            <w:shd w:val="clear" w:color="auto" w:fill="auto"/>
          </w:tcPr>
          <w:p w:rsidR="0070587D" w:rsidRPr="001B19CB" w:rsidRDefault="0070587D" w:rsidP="00AC34C1">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t>I. Загальні положення</w:t>
            </w:r>
          </w:p>
          <w:p w:rsidR="0070587D" w:rsidRPr="001B19CB" w:rsidRDefault="0070587D" w:rsidP="00AC34C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w:t>
            </w:r>
          </w:p>
          <w:p w:rsidR="0070587D" w:rsidRPr="001B19CB" w:rsidRDefault="0070587D" w:rsidP="00AC34C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План рахунків бухгалтерського обліку є переліком рахунків і схем реєстрації та групування на них фактів фінансово-господарської діяльності (кореспонденція рахунків) у бухгалтерському обліку. У ньому за десятковою системою наведені коди (номери) й найменування синтетичних рахунків (рахунків першого порядку) й субрахунків (рахунків другого порядку). Першою цифрою коду визначено клас рахунків, другою - номер синтетичного рахунку, третьою - номер субрахунку. Контирування документів первинного обліку, ведення регістрів бухгалтерського обліку здійснюється із застосуванням, щонайменше, коду класу й коду синтетичного рахунку.</w:t>
            </w:r>
          </w:p>
          <w:p w:rsidR="0070587D" w:rsidRPr="001B19CB" w:rsidRDefault="0070587D" w:rsidP="00AC34C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Субрахунки використовуються підприємствами, виходячи з потреб управління, контролю, аналізу й звітності та можуть ними доповнюватися введенням нових субрахунків (рахунків другого, третього порядків) із збереженням кодів (номерів) субрахунків цього Плану рахунків. Порядок ведення аналітичного обліку та кореспонденції рахунків, що не наведена в Інструкції, встановлюється підприємством, виходячи з норм цієї Інструкції, національних положень (стандартів) бухгалтерського обліку, інших нормативно-правових актів з бухгалтерського обліку та управлінських потреб.</w:t>
            </w:r>
          </w:p>
        </w:tc>
        <w:tc>
          <w:tcPr>
            <w:tcW w:w="2500" w:type="pct"/>
            <w:tcBorders>
              <w:top w:val="single" w:sz="4" w:space="0" w:color="auto"/>
              <w:left w:val="single" w:sz="4" w:space="0" w:color="auto"/>
              <w:bottom w:val="single" w:sz="4" w:space="0" w:color="auto"/>
              <w:right w:val="single" w:sz="4" w:space="0" w:color="auto"/>
            </w:tcBorders>
          </w:tcPr>
          <w:p w:rsidR="0070587D" w:rsidRPr="001B19CB" w:rsidRDefault="0070587D" w:rsidP="00AC34C1">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t>I. Загальні положення</w:t>
            </w:r>
          </w:p>
          <w:p w:rsidR="0070587D" w:rsidRPr="001B19CB" w:rsidRDefault="0070587D" w:rsidP="00AC34C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w:t>
            </w:r>
          </w:p>
          <w:p w:rsidR="0070587D" w:rsidRPr="0064369A" w:rsidRDefault="0070587D" w:rsidP="00AC34C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План рахунків бухгалтерського обліку є переліком рахунків і схем реєстрації та групування на них фактів фінансово-господарської діяльності (кореспонденція рахунків) у бухгалтерському обліку. У ньому за десятковою </w:t>
            </w:r>
            <w:r w:rsidRPr="0064369A">
              <w:rPr>
                <w:rFonts w:ascii="Times New Roman" w:hAnsi="Times New Roman" w:cs="Times New Roman"/>
                <w:sz w:val="24"/>
                <w:szCs w:val="24"/>
              </w:rPr>
              <w:t>системою наведені коди (номери) й найменування синтетичних рахунків (рахунків першого порядку) й субрахунків (рахунків другого порядку). Першою цифрою коду визначено клас рахунків, другою - номер синтетичного рахунку, третьою - номер субрахунку. Контирування документів первинного обліку, ведення регістрів бухгалтерського обліку здійснюється із застосуванням, щонайменше, коду класу й коду синтетичного рахунку.</w:t>
            </w:r>
          </w:p>
          <w:p w:rsidR="0070587D" w:rsidRPr="001B19CB" w:rsidRDefault="0070587D" w:rsidP="00AC34C1">
            <w:pPr>
              <w:spacing w:after="0" w:line="240" w:lineRule="auto"/>
              <w:ind w:firstLine="284"/>
              <w:jc w:val="both"/>
              <w:rPr>
                <w:rFonts w:ascii="Times New Roman" w:hAnsi="Times New Roman" w:cs="Times New Roman"/>
                <w:sz w:val="24"/>
                <w:szCs w:val="24"/>
              </w:rPr>
            </w:pPr>
            <w:r w:rsidRPr="0064369A">
              <w:rPr>
                <w:rFonts w:ascii="Times New Roman" w:hAnsi="Times New Roman" w:cs="Times New Roman"/>
                <w:sz w:val="24"/>
                <w:szCs w:val="24"/>
              </w:rPr>
              <w:t>Субрахунки використовуються підприємствами, виходячи з потреб управління, контролю, аналізу й звітності та можуть ними доповнюватися введенням нових субрахунків (рахунків другого, третього порядків) із збереженням кодів (номерів) субрахунків цього Плану рахунків. Порядок ведення аналітичного обліку та кореспонденції рахунків, що не наведена</w:t>
            </w:r>
            <w:r w:rsidRPr="001B19CB">
              <w:rPr>
                <w:rFonts w:ascii="Times New Roman" w:hAnsi="Times New Roman" w:cs="Times New Roman"/>
                <w:sz w:val="24"/>
                <w:szCs w:val="24"/>
              </w:rPr>
              <w:t xml:space="preserve"> в Інструкції, встановлюється підприємством, виходячи з норм цієї Інструкції, національних положень (стандартів) бухгалтерського обліку, інших нормативно-правових актів з бухгалтерського обліку та управлінських потреб.</w:t>
            </w:r>
          </w:p>
          <w:p w:rsidR="0070587D" w:rsidRPr="001B19CB" w:rsidRDefault="0070587D" w:rsidP="00520F52">
            <w:pPr>
              <w:spacing w:after="0" w:line="240" w:lineRule="auto"/>
              <w:ind w:firstLine="284"/>
              <w:jc w:val="both"/>
              <w:rPr>
                <w:rFonts w:ascii="Times New Roman" w:hAnsi="Times New Roman" w:cs="Times New Roman"/>
                <w:b/>
                <w:sz w:val="24"/>
                <w:szCs w:val="24"/>
              </w:rPr>
            </w:pPr>
            <w:bookmarkStart w:id="0" w:name="_Hlk201829440"/>
            <w:r w:rsidRPr="001B19CB">
              <w:rPr>
                <w:rFonts w:ascii="Times New Roman" w:hAnsi="Times New Roman" w:cs="Times New Roman"/>
                <w:b/>
                <w:sz w:val="24"/>
                <w:szCs w:val="24"/>
              </w:rPr>
              <w:t xml:space="preserve">Для обліку і узагальнення інформації про активи, які внаслідок збройної агресії </w:t>
            </w:r>
            <w:r w:rsidR="000314C2">
              <w:rPr>
                <w:rFonts w:ascii="Times New Roman" w:hAnsi="Times New Roman" w:cs="Times New Roman"/>
                <w:b/>
                <w:sz w:val="24"/>
                <w:szCs w:val="24"/>
              </w:rPr>
              <w:t>Р</w:t>
            </w:r>
            <w:r w:rsidRPr="001B19CB">
              <w:rPr>
                <w:rFonts w:ascii="Times New Roman" w:hAnsi="Times New Roman" w:cs="Times New Roman"/>
                <w:b/>
                <w:sz w:val="24"/>
                <w:szCs w:val="24"/>
              </w:rPr>
              <w:t xml:space="preserve">осійської </w:t>
            </w:r>
            <w:r w:rsidR="000314C2">
              <w:rPr>
                <w:rFonts w:ascii="Times New Roman" w:hAnsi="Times New Roman" w:cs="Times New Roman"/>
                <w:b/>
                <w:sz w:val="24"/>
                <w:szCs w:val="24"/>
              </w:rPr>
              <w:t>Ф</w:t>
            </w:r>
            <w:r w:rsidRPr="001B19CB">
              <w:rPr>
                <w:rFonts w:ascii="Times New Roman" w:hAnsi="Times New Roman" w:cs="Times New Roman"/>
                <w:b/>
                <w:sz w:val="24"/>
                <w:szCs w:val="24"/>
              </w:rPr>
              <w:t xml:space="preserve">едерації пошкоджені, знищені, викрадені або над якими втрачено контроль, підприємства самостійно можуть вводити нові рахунки третього порядку до субрахунків (рахунків другого порядку) синтетичних рахунків (рахунків першого порядку) відповідних активів, нарахованого зносу (амортизації) на такі активи, розрахунків із завданих збитків і </w:t>
            </w:r>
            <w:r w:rsidRPr="001B19CB">
              <w:rPr>
                <w:rFonts w:ascii="Times New Roman" w:hAnsi="Times New Roman" w:cs="Times New Roman"/>
                <w:b/>
                <w:sz w:val="24"/>
                <w:szCs w:val="24"/>
              </w:rPr>
              <w:lastRenderedPageBreak/>
              <w:t>втрат, до прийняття рішення щодо списання такого активу у встановленому законодавством</w:t>
            </w:r>
            <w:bookmarkEnd w:id="0"/>
            <w:r w:rsidR="00E26BD1">
              <w:rPr>
                <w:rFonts w:ascii="Times New Roman" w:hAnsi="Times New Roman" w:cs="Times New Roman"/>
                <w:b/>
                <w:sz w:val="24"/>
                <w:szCs w:val="24"/>
              </w:rPr>
              <w:t xml:space="preserve"> порядку</w:t>
            </w:r>
            <w:r w:rsidRPr="001B19CB">
              <w:rPr>
                <w:rFonts w:ascii="Times New Roman" w:hAnsi="Times New Roman" w:cs="Times New Roman"/>
                <w:b/>
                <w:sz w:val="24"/>
                <w:szCs w:val="24"/>
              </w:rPr>
              <w:t>.</w:t>
            </w:r>
          </w:p>
        </w:tc>
      </w:tr>
      <w:tr w:rsidR="0070587D" w:rsidRPr="00DD6785" w:rsidTr="0070587D">
        <w:tc>
          <w:tcPr>
            <w:tcW w:w="2500" w:type="pct"/>
            <w:tcBorders>
              <w:top w:val="single" w:sz="4" w:space="0" w:color="auto"/>
              <w:left w:val="single" w:sz="4" w:space="0" w:color="auto"/>
              <w:bottom w:val="single" w:sz="4" w:space="0" w:color="auto"/>
              <w:right w:val="single" w:sz="4" w:space="0" w:color="auto"/>
            </w:tcBorders>
            <w:shd w:val="clear" w:color="auto" w:fill="auto"/>
          </w:tcPr>
          <w:p w:rsidR="0070587D" w:rsidRPr="001B19CB" w:rsidRDefault="0070587D" w:rsidP="00121B11">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lastRenderedPageBreak/>
              <w:t>Клас 1. Необоротні активи</w:t>
            </w:r>
          </w:p>
          <w:p w:rsidR="0070587D" w:rsidRPr="001B19CB" w:rsidRDefault="0070587D" w:rsidP="003C4E94">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t>(абзац другий)</w:t>
            </w:r>
          </w:p>
          <w:p w:rsidR="0070587D" w:rsidRPr="001B19CB" w:rsidRDefault="0070587D" w:rsidP="002A1B7E">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На рахунках цього класу з відповідним веденням аналітичного обліку узагальнюється інформація про наявність і рух необоротних активів, належних підприємству на праві власності, отриманих на праві господарського відання, на праві оперативного управління, отриманих </w:t>
            </w:r>
            <w:r w:rsidRPr="0035760B">
              <w:rPr>
                <w:rFonts w:ascii="Times New Roman" w:hAnsi="Times New Roman" w:cs="Times New Roman"/>
                <w:b/>
                <w:i/>
                <w:sz w:val="24"/>
                <w:szCs w:val="24"/>
              </w:rPr>
              <w:t>у фінансовий лізинг</w:t>
            </w:r>
            <w:r w:rsidRPr="001B19CB">
              <w:rPr>
                <w:rFonts w:ascii="Times New Roman" w:hAnsi="Times New Roman" w:cs="Times New Roman"/>
                <w:sz w:val="24"/>
                <w:szCs w:val="24"/>
              </w:rPr>
              <w:t>, у довірче управління чи за договором оренди цілісного майнового комплексу. Господарські організації (крім державних (казенних) та комунальних підприємств) на окремих субрахунках третього порядку відповідних субрахунків із зазначенням належності до державної та/або комунальної власності відображають контрольовані ними (що перебувають у їх володінні та/або користуванні) необоротні активи, що є об’єктами права державної або комунальної власності, і які не увійшли до статутних капіталів господарських товариств, створених у процесі приватизації (корпоратизації).</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70587D" w:rsidRPr="001B19CB" w:rsidRDefault="0070587D" w:rsidP="00121B11">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t>Клас 1. Необоротні активи</w:t>
            </w:r>
          </w:p>
          <w:p w:rsidR="0070587D" w:rsidRPr="001B19CB" w:rsidRDefault="0070587D" w:rsidP="003C4E94">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t>(абзац другий)</w:t>
            </w:r>
          </w:p>
          <w:p w:rsidR="0070587D" w:rsidRPr="001B19CB" w:rsidRDefault="0070587D" w:rsidP="002A1B7E">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На рахунках цього класу з відповідним веденням аналітичного обліку узагальнюється інформація про наявність і рух необоротних активів, належних підприємству на праві власності, отриманих на праві господарського відання, на праві оперативного управління, отриманих </w:t>
            </w:r>
            <w:r w:rsidRPr="001B19CB">
              <w:rPr>
                <w:rFonts w:ascii="Times New Roman" w:hAnsi="Times New Roman" w:cs="Times New Roman"/>
                <w:b/>
                <w:sz w:val="24"/>
                <w:szCs w:val="24"/>
              </w:rPr>
              <w:t>на умовах фінансової оренди</w:t>
            </w:r>
            <w:r w:rsidRPr="001B19CB">
              <w:rPr>
                <w:rFonts w:ascii="Times New Roman" w:hAnsi="Times New Roman" w:cs="Times New Roman"/>
                <w:sz w:val="24"/>
                <w:szCs w:val="24"/>
              </w:rPr>
              <w:t>, у довірче управління чи за договором оренди цілісного майнового комплексу. Господарські організації (крім державних (казенних) та комунальних підприємств) на окремих субрахунках третього порядку відповідних субрахунків із зазначенням належності до державної та/або комунальної власності відображають контрольовані ними (що перебувають у їх володінні та/або користуванні) необоротні активи, що є об'єктами права державної або комунальної власності, і які не увійшли до статутних капіталів господарських товариств, створених у процесі приватизації (корпоратизації).</w:t>
            </w:r>
          </w:p>
        </w:tc>
      </w:tr>
      <w:tr w:rsidR="0070587D" w:rsidRPr="00DD6785" w:rsidTr="0070587D">
        <w:tc>
          <w:tcPr>
            <w:tcW w:w="2500" w:type="pct"/>
            <w:tcBorders>
              <w:top w:val="single" w:sz="4" w:space="0" w:color="auto"/>
              <w:left w:val="single" w:sz="4" w:space="0" w:color="auto"/>
              <w:bottom w:val="single" w:sz="4" w:space="0" w:color="auto"/>
              <w:right w:val="single" w:sz="4" w:space="0" w:color="auto"/>
            </w:tcBorders>
            <w:shd w:val="clear" w:color="auto" w:fill="auto"/>
          </w:tcPr>
          <w:p w:rsidR="0070587D" w:rsidRPr="001B19CB" w:rsidRDefault="0070587D" w:rsidP="00121B11">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t>Рахунок 12 «Нематеріальні активи»</w:t>
            </w:r>
          </w:p>
          <w:p w:rsidR="0070587D" w:rsidRPr="001B19CB" w:rsidRDefault="0070587D" w:rsidP="003C4E94">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t>(абзац тринадцятий)</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На субрахунку 122 «Права користування майном» ведеться облік наявності прав користування майном (право користування земельною ділянкою, право користування будівлею, </w:t>
            </w:r>
            <w:r w:rsidRPr="0035760B">
              <w:rPr>
                <w:rFonts w:ascii="Times New Roman" w:hAnsi="Times New Roman" w:cs="Times New Roman"/>
                <w:b/>
                <w:i/>
                <w:strike/>
                <w:sz w:val="24"/>
                <w:szCs w:val="24"/>
              </w:rPr>
              <w:t>право на оренду приміщень</w:t>
            </w:r>
            <w:r w:rsidRPr="001B19CB">
              <w:rPr>
                <w:rFonts w:ascii="Times New Roman" w:hAnsi="Times New Roman" w:cs="Times New Roman"/>
                <w:sz w:val="24"/>
                <w:szCs w:val="24"/>
              </w:rPr>
              <w:t xml:space="preserve"> тощо).</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70587D" w:rsidRPr="001B19CB" w:rsidRDefault="0070587D" w:rsidP="00D7168E">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t>Рахунок 12 «Нематеріальні активи»</w:t>
            </w:r>
          </w:p>
          <w:p w:rsidR="0070587D" w:rsidRPr="001B19CB" w:rsidRDefault="0070587D" w:rsidP="00D7168E">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t xml:space="preserve"> (абзац тринадцятий)</w:t>
            </w:r>
          </w:p>
          <w:p w:rsidR="0070587D" w:rsidRPr="001B19CB" w:rsidRDefault="0070587D" w:rsidP="0070587D">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На субрахунку 122 «Права користування майном» ведеться облік наявності прав користування майном (право користування земельною ділянкою, право користування будівлею тощо).</w:t>
            </w:r>
          </w:p>
        </w:tc>
      </w:tr>
      <w:tr w:rsidR="0070587D" w:rsidRPr="00DD6785" w:rsidTr="0070587D">
        <w:tc>
          <w:tcPr>
            <w:tcW w:w="2500" w:type="pct"/>
            <w:tcBorders>
              <w:top w:val="single" w:sz="4" w:space="0" w:color="auto"/>
              <w:left w:val="single" w:sz="4" w:space="0" w:color="auto"/>
              <w:bottom w:val="single" w:sz="4" w:space="0" w:color="auto"/>
              <w:right w:val="single" w:sz="4" w:space="0" w:color="auto"/>
            </w:tcBorders>
            <w:shd w:val="clear" w:color="auto" w:fill="auto"/>
          </w:tcPr>
          <w:p w:rsidR="0070587D" w:rsidRPr="001B19CB" w:rsidRDefault="0070587D" w:rsidP="00121B11">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t>Клас 0. Позабалансові рахунки</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Позабалансові рахунки призначені для узагальнення інформації про наявність і рух:</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цінностей, що не належать підприємству, але тимчасово перебувають у його користуванні, розпорядженні або на зберіганні (об'єкти </w:t>
            </w:r>
            <w:r w:rsidRPr="001B19CB">
              <w:rPr>
                <w:rFonts w:ascii="Times New Roman" w:hAnsi="Times New Roman" w:cs="Times New Roman"/>
                <w:b/>
                <w:i/>
                <w:sz w:val="24"/>
                <w:szCs w:val="24"/>
              </w:rPr>
              <w:t>оперативної (операційної)</w:t>
            </w:r>
            <w:r w:rsidRPr="001B19CB">
              <w:rPr>
                <w:rFonts w:ascii="Times New Roman" w:hAnsi="Times New Roman" w:cs="Times New Roman"/>
                <w:sz w:val="24"/>
                <w:szCs w:val="24"/>
              </w:rPr>
              <w:t xml:space="preserve"> оренди основних засобів, матеріальні цінності на відповідальному зберіганні, переробці, комісії, монтажі);</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Товарно-матеріальні цінності відображаються за договірною вартістю або за вартістю, що вказана у приймально-передавальних актах. Орендовані основні засоби відображаються за вартістю, що вказана в договорах </w:t>
            </w:r>
            <w:r w:rsidRPr="001B19CB">
              <w:rPr>
                <w:rFonts w:ascii="Times New Roman" w:hAnsi="Times New Roman" w:cs="Times New Roman"/>
                <w:b/>
                <w:i/>
                <w:sz w:val="24"/>
                <w:szCs w:val="24"/>
              </w:rPr>
              <w:t>оперативної (операційної)</w:t>
            </w:r>
            <w:r w:rsidRPr="001B19CB">
              <w:rPr>
                <w:rFonts w:ascii="Times New Roman" w:hAnsi="Times New Roman" w:cs="Times New Roman"/>
                <w:sz w:val="24"/>
                <w:szCs w:val="24"/>
              </w:rPr>
              <w:t xml:space="preserve"> оренди. Бланки суворого обліку </w:t>
            </w:r>
            <w:r w:rsidRPr="001B19CB">
              <w:rPr>
                <w:rFonts w:ascii="Times New Roman" w:hAnsi="Times New Roman" w:cs="Times New Roman"/>
                <w:sz w:val="24"/>
                <w:szCs w:val="24"/>
              </w:rPr>
              <w:lastRenderedPageBreak/>
              <w:t>відображаються за умовною вартістю в установленому порядку. Умовні права й зобов'язання відображаються за вартістю, вказаною в документах про гарантії й зобов'язання.</w:t>
            </w:r>
          </w:p>
        </w:tc>
        <w:tc>
          <w:tcPr>
            <w:tcW w:w="2500" w:type="pct"/>
            <w:tcBorders>
              <w:top w:val="single" w:sz="4" w:space="0" w:color="auto"/>
              <w:left w:val="single" w:sz="4" w:space="0" w:color="auto"/>
              <w:bottom w:val="single" w:sz="4" w:space="0" w:color="auto"/>
              <w:right w:val="single" w:sz="4" w:space="0" w:color="auto"/>
            </w:tcBorders>
          </w:tcPr>
          <w:p w:rsidR="0070587D" w:rsidRPr="001B19CB" w:rsidRDefault="0070587D" w:rsidP="00121B11">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lastRenderedPageBreak/>
              <w:t>Клас 0. Позабалансові рахунки</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Позабалансові рахунки призначені для узагальнення інформації про наявність і рух:</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цінностей, що не належать підприємству, але тимчасово перебувають у його користуванні, розпорядженні або на зберіганні (об'єкти </w:t>
            </w:r>
            <w:r w:rsidRPr="001B19CB">
              <w:rPr>
                <w:rFonts w:ascii="Times New Roman" w:hAnsi="Times New Roman" w:cs="Times New Roman"/>
                <w:b/>
                <w:sz w:val="24"/>
                <w:szCs w:val="24"/>
              </w:rPr>
              <w:t>операційної</w:t>
            </w:r>
            <w:r w:rsidRPr="001B19CB">
              <w:rPr>
                <w:rFonts w:ascii="Times New Roman" w:hAnsi="Times New Roman" w:cs="Times New Roman"/>
                <w:sz w:val="24"/>
                <w:szCs w:val="24"/>
              </w:rPr>
              <w:t xml:space="preserve"> оренди основних засобів, матеріальні цінності на відповідальному зберіганні, переробці, комісії, монтажі);</w:t>
            </w:r>
          </w:p>
          <w:p w:rsidR="0070587D" w:rsidRPr="001B19CB" w:rsidRDefault="0070587D" w:rsidP="00121B11">
            <w:pPr>
              <w:spacing w:after="0" w:line="240" w:lineRule="auto"/>
              <w:ind w:firstLine="284"/>
              <w:rPr>
                <w:rFonts w:ascii="Times New Roman" w:hAnsi="Times New Roman" w:cs="Times New Roman"/>
                <w:sz w:val="24"/>
                <w:szCs w:val="24"/>
              </w:rPr>
            </w:pPr>
            <w:r w:rsidRPr="001B19CB">
              <w:rPr>
                <w:rFonts w:ascii="Times New Roman" w:hAnsi="Times New Roman" w:cs="Times New Roman"/>
                <w:sz w:val="24"/>
                <w:szCs w:val="24"/>
              </w:rPr>
              <w:t>…</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Товарно-матеріальні цінності відображаються за договірною вартістю або за вартістю, що вказана у приймально-передавальних актах. Орендовані основні засоби відображаються за вартістю, що вказана в договорах </w:t>
            </w:r>
            <w:r w:rsidRPr="001B19CB">
              <w:rPr>
                <w:rFonts w:ascii="Times New Roman" w:hAnsi="Times New Roman" w:cs="Times New Roman"/>
                <w:b/>
                <w:sz w:val="24"/>
                <w:szCs w:val="24"/>
              </w:rPr>
              <w:t>операційної</w:t>
            </w:r>
            <w:r w:rsidRPr="001B19CB">
              <w:rPr>
                <w:rFonts w:ascii="Times New Roman" w:hAnsi="Times New Roman" w:cs="Times New Roman"/>
                <w:sz w:val="24"/>
                <w:szCs w:val="24"/>
              </w:rPr>
              <w:t xml:space="preserve"> оренди. Бланки суворого обліку відображаються </w:t>
            </w:r>
            <w:r w:rsidRPr="001B19CB">
              <w:rPr>
                <w:rFonts w:ascii="Times New Roman" w:hAnsi="Times New Roman" w:cs="Times New Roman"/>
                <w:sz w:val="24"/>
                <w:szCs w:val="24"/>
              </w:rPr>
              <w:lastRenderedPageBreak/>
              <w:t>за умовною вартістю в установленому порядку. Умовні права й зобов'язання відображаються за вартістю, вказаною в документах про гарантії й зобов'язання.</w:t>
            </w:r>
          </w:p>
        </w:tc>
      </w:tr>
      <w:tr w:rsidR="0070587D" w:rsidRPr="00DD6785" w:rsidTr="0070587D">
        <w:tc>
          <w:tcPr>
            <w:tcW w:w="2500" w:type="pct"/>
            <w:tcBorders>
              <w:top w:val="single" w:sz="4" w:space="0" w:color="auto"/>
              <w:left w:val="single" w:sz="4" w:space="0" w:color="auto"/>
              <w:bottom w:val="single" w:sz="4" w:space="0" w:color="auto"/>
              <w:right w:val="single" w:sz="4" w:space="0" w:color="auto"/>
            </w:tcBorders>
            <w:shd w:val="clear" w:color="auto" w:fill="auto"/>
          </w:tcPr>
          <w:p w:rsidR="0070587D" w:rsidRPr="001B19CB" w:rsidRDefault="0070587D" w:rsidP="00121B11">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lastRenderedPageBreak/>
              <w:t>Рахунок 01 «Орендовані необоротні активи»</w:t>
            </w:r>
          </w:p>
          <w:p w:rsidR="0070587D" w:rsidRPr="001B19CB" w:rsidRDefault="0070587D" w:rsidP="009C4534">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На цьому рахунку обліковуються активи у вигляді основних засобів, нематеріальних активів, зокрема отримане у користування авторське право та суміжні з ним права, за користування якими сплачується роялті, та інших необоротних активів, що отримані підприємством на підставі відповідних договорів, зокрема, але не виключно оренди </w:t>
            </w:r>
            <w:r w:rsidRPr="0035760B">
              <w:rPr>
                <w:rFonts w:ascii="Times New Roman" w:hAnsi="Times New Roman" w:cs="Times New Roman"/>
                <w:b/>
                <w:i/>
                <w:sz w:val="24"/>
                <w:szCs w:val="24"/>
              </w:rPr>
              <w:t>(лізингу)</w:t>
            </w:r>
            <w:r w:rsidRPr="001B19CB">
              <w:rPr>
                <w:rFonts w:ascii="Times New Roman" w:hAnsi="Times New Roman" w:cs="Times New Roman"/>
                <w:sz w:val="24"/>
                <w:szCs w:val="24"/>
              </w:rPr>
              <w:t>, та обліковуються на балансі орендодавця.</w:t>
            </w:r>
          </w:p>
          <w:p w:rsidR="0070587D" w:rsidRPr="001B19CB" w:rsidRDefault="0070587D" w:rsidP="009C4534">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Облік отриманих в оренду активів здійснюється за видами активів.</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Прийняті в </w:t>
            </w:r>
            <w:r w:rsidRPr="001B19CB">
              <w:rPr>
                <w:rFonts w:ascii="Times New Roman" w:hAnsi="Times New Roman" w:cs="Times New Roman"/>
                <w:b/>
                <w:i/>
                <w:sz w:val="24"/>
                <w:szCs w:val="24"/>
              </w:rPr>
              <w:t>оперативну</w:t>
            </w:r>
            <w:r w:rsidRPr="001B19CB">
              <w:rPr>
                <w:rFonts w:ascii="Times New Roman" w:hAnsi="Times New Roman" w:cs="Times New Roman"/>
                <w:sz w:val="24"/>
                <w:szCs w:val="24"/>
              </w:rPr>
              <w:t xml:space="preserve"> оренду основні засоби і нематеріальні активи зараховуються на позабалансовий рахунок 01 «Орендовані необоротні активи» за балансовою (залишковою) і первісною вартістю орендодавця, що зазначається в договорі операційної оренди.</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Збільшення залишку рахунку 01 «Орендовані необоротні активи» відбувається при прийнятті на облік основних засобів, нематеріальних активів, та інших необоротних активів, що отримані в </w:t>
            </w:r>
            <w:r w:rsidRPr="001B19CB">
              <w:rPr>
                <w:rFonts w:ascii="Times New Roman" w:hAnsi="Times New Roman" w:cs="Times New Roman"/>
                <w:b/>
                <w:i/>
                <w:sz w:val="24"/>
                <w:szCs w:val="24"/>
              </w:rPr>
              <w:t>оперативну</w:t>
            </w:r>
            <w:r w:rsidRPr="001B19CB">
              <w:rPr>
                <w:rFonts w:ascii="Times New Roman" w:hAnsi="Times New Roman" w:cs="Times New Roman"/>
                <w:sz w:val="24"/>
                <w:szCs w:val="24"/>
              </w:rPr>
              <w:t xml:space="preserve"> оренду, зменшення - при їх поверненні орендодавцю та у випадках перенесення заборгованості перед орендодавцем за орендовані необоротні активи на баланс.</w:t>
            </w:r>
          </w:p>
        </w:tc>
        <w:tc>
          <w:tcPr>
            <w:tcW w:w="2500" w:type="pct"/>
            <w:tcBorders>
              <w:top w:val="single" w:sz="4" w:space="0" w:color="auto"/>
              <w:left w:val="single" w:sz="4" w:space="0" w:color="auto"/>
              <w:bottom w:val="single" w:sz="4" w:space="0" w:color="auto"/>
              <w:right w:val="single" w:sz="4" w:space="0" w:color="auto"/>
            </w:tcBorders>
          </w:tcPr>
          <w:p w:rsidR="0070587D" w:rsidRPr="001B19CB" w:rsidRDefault="0070587D" w:rsidP="00121B11">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t>Рахунок 01 «Орендовані необоротні активи»</w:t>
            </w:r>
          </w:p>
          <w:p w:rsidR="0070587D" w:rsidRPr="001B19CB" w:rsidRDefault="0070587D" w:rsidP="009C4534">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На цьому рахунку обліковуються активи у вигляді основних засобів, нематеріальних активів, зокрема отримане у користування авторське право та суміжні з ним права, за користування якими сплачується роялті, та інших необоротних активів, що отримані підприємством на підставі відповідних договорів, зокрема, але не виключно </w:t>
            </w:r>
            <w:r w:rsidRPr="001B19CB">
              <w:rPr>
                <w:rFonts w:ascii="Times New Roman" w:hAnsi="Times New Roman" w:cs="Times New Roman"/>
                <w:b/>
                <w:sz w:val="24"/>
                <w:szCs w:val="24"/>
              </w:rPr>
              <w:t>операційної</w:t>
            </w:r>
            <w:r w:rsidRPr="001B19CB">
              <w:rPr>
                <w:rFonts w:ascii="Times New Roman" w:hAnsi="Times New Roman" w:cs="Times New Roman"/>
                <w:sz w:val="24"/>
                <w:szCs w:val="24"/>
              </w:rPr>
              <w:t xml:space="preserve"> оренди, та обліковуються на балансі орендодавця.</w:t>
            </w:r>
          </w:p>
          <w:p w:rsidR="0070587D" w:rsidRPr="001B19CB" w:rsidRDefault="0070587D" w:rsidP="009C4534">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Облік отриманих в оренду активів здійснюється за видами активів.</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Прийняті в </w:t>
            </w:r>
            <w:r w:rsidRPr="001B19CB">
              <w:rPr>
                <w:rFonts w:ascii="Times New Roman" w:hAnsi="Times New Roman" w:cs="Times New Roman"/>
                <w:b/>
                <w:sz w:val="24"/>
                <w:szCs w:val="24"/>
              </w:rPr>
              <w:t>операційну</w:t>
            </w:r>
            <w:r w:rsidRPr="001B19CB">
              <w:rPr>
                <w:rFonts w:ascii="Times New Roman" w:hAnsi="Times New Roman" w:cs="Times New Roman"/>
                <w:sz w:val="24"/>
                <w:szCs w:val="24"/>
              </w:rPr>
              <w:t xml:space="preserve"> оренду основні засоби і нематеріальні активи зараховуються на позабалансовий рахунок 01 «Орендовані необоротні активи» за балансовою (залишковою) і первісною вартістю орендодавця, що зазначається в договорі операційної оренди.</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Збільшення залишку рахунку 01 «Орендовані необоротні активи» відбувається при прийнятті на облік основних засобів, нематеріальних активів, та інших необоротних активів, що отримані в </w:t>
            </w:r>
            <w:r w:rsidRPr="001B19CB">
              <w:rPr>
                <w:rFonts w:ascii="Times New Roman" w:hAnsi="Times New Roman" w:cs="Times New Roman"/>
                <w:b/>
                <w:sz w:val="24"/>
                <w:szCs w:val="24"/>
              </w:rPr>
              <w:t>операційну</w:t>
            </w:r>
            <w:r w:rsidRPr="001B19CB">
              <w:rPr>
                <w:rFonts w:ascii="Times New Roman" w:hAnsi="Times New Roman" w:cs="Times New Roman"/>
                <w:sz w:val="24"/>
                <w:szCs w:val="24"/>
              </w:rPr>
              <w:t xml:space="preserve"> оренду, зменшення - при їх поверненні орендодавцю та у випадках перенесення заборгованості перед орендодавцем за орендовані необоротні активи на баланс.</w:t>
            </w:r>
          </w:p>
        </w:tc>
      </w:tr>
      <w:tr w:rsidR="0070587D" w:rsidRPr="00DD6785" w:rsidTr="0070587D">
        <w:tc>
          <w:tcPr>
            <w:tcW w:w="2500" w:type="pct"/>
            <w:tcBorders>
              <w:top w:val="single" w:sz="4" w:space="0" w:color="auto"/>
              <w:left w:val="single" w:sz="4" w:space="0" w:color="auto"/>
              <w:bottom w:val="single" w:sz="4" w:space="0" w:color="auto"/>
              <w:right w:val="single" w:sz="4" w:space="0" w:color="auto"/>
            </w:tcBorders>
            <w:shd w:val="clear" w:color="auto" w:fill="auto"/>
          </w:tcPr>
          <w:p w:rsidR="0070587D" w:rsidRPr="001B19CB" w:rsidRDefault="0070587D" w:rsidP="00121B11">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t>Рахунок 07 «Списані активи»</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Рахунок 07 «Списані активи» призначено для узагальнення інформації про стан дебіторської заборгованості, списаної з балансу внаслідок неплатоспроможності боржників, </w:t>
            </w:r>
            <w:bookmarkStart w:id="1" w:name="_Hlk211956356"/>
            <w:r w:rsidRPr="001B19CB">
              <w:rPr>
                <w:rFonts w:ascii="Times New Roman" w:hAnsi="Times New Roman" w:cs="Times New Roman"/>
                <w:b/>
                <w:i/>
                <w:sz w:val="24"/>
                <w:szCs w:val="24"/>
              </w:rPr>
              <w:t>та про суми невідшкодованих нестач і втрат від псування цінностей</w:t>
            </w:r>
            <w:bookmarkEnd w:id="1"/>
            <w:r w:rsidRPr="001B19CB">
              <w:rPr>
                <w:rFonts w:ascii="Times New Roman" w:hAnsi="Times New Roman" w:cs="Times New Roman"/>
                <w:sz w:val="24"/>
                <w:szCs w:val="24"/>
              </w:rPr>
              <w:t>.</w:t>
            </w:r>
          </w:p>
          <w:p w:rsidR="001B19CB" w:rsidRDefault="001B19CB" w:rsidP="00121B11">
            <w:pPr>
              <w:spacing w:after="0" w:line="240" w:lineRule="auto"/>
              <w:ind w:firstLine="284"/>
              <w:jc w:val="both"/>
              <w:rPr>
                <w:rFonts w:ascii="Times New Roman" w:hAnsi="Times New Roman" w:cs="Times New Roman"/>
                <w:sz w:val="24"/>
                <w:szCs w:val="24"/>
              </w:rPr>
            </w:pPr>
          </w:p>
          <w:p w:rsidR="001B19CB" w:rsidRDefault="001B19CB" w:rsidP="00121B11">
            <w:pPr>
              <w:spacing w:after="0" w:line="240" w:lineRule="auto"/>
              <w:ind w:firstLine="284"/>
              <w:jc w:val="both"/>
              <w:rPr>
                <w:rFonts w:ascii="Times New Roman" w:hAnsi="Times New Roman" w:cs="Times New Roman"/>
                <w:sz w:val="24"/>
                <w:szCs w:val="24"/>
              </w:rPr>
            </w:pP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Зарахування на позабалансовий рахунок 07 суми здійснюється одночасно зі списанням суми нестач і втрат від псування цінностей та дебіторської заборгованості на витрати підприємства.</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Рахунок 07 «Списані активи» має такі субрахунки:</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071 «Списана дебіторська заборгованість»</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072 «Невідшкодовані нестачі і втрати від псування цінностей»</w:t>
            </w:r>
          </w:p>
          <w:p w:rsidR="001B19CB" w:rsidRDefault="001B19CB" w:rsidP="00121B11">
            <w:pPr>
              <w:spacing w:after="0" w:line="240" w:lineRule="auto"/>
              <w:ind w:firstLine="284"/>
              <w:jc w:val="both"/>
              <w:rPr>
                <w:rFonts w:ascii="Times New Roman" w:hAnsi="Times New Roman" w:cs="Times New Roman"/>
                <w:sz w:val="24"/>
                <w:szCs w:val="24"/>
              </w:rPr>
            </w:pPr>
          </w:p>
          <w:p w:rsidR="001B19CB" w:rsidRDefault="001B19CB" w:rsidP="00121B11">
            <w:pPr>
              <w:spacing w:after="0" w:line="240" w:lineRule="auto"/>
              <w:ind w:firstLine="284"/>
              <w:jc w:val="both"/>
              <w:rPr>
                <w:rFonts w:ascii="Times New Roman" w:hAnsi="Times New Roman" w:cs="Times New Roman"/>
                <w:sz w:val="24"/>
                <w:szCs w:val="24"/>
              </w:rPr>
            </w:pPr>
          </w:p>
          <w:p w:rsidR="001B19CB" w:rsidRDefault="001B19CB" w:rsidP="00121B11">
            <w:pPr>
              <w:spacing w:after="0" w:line="240" w:lineRule="auto"/>
              <w:ind w:firstLine="284"/>
              <w:jc w:val="both"/>
              <w:rPr>
                <w:rFonts w:ascii="Times New Roman" w:hAnsi="Times New Roman" w:cs="Times New Roman"/>
                <w:sz w:val="24"/>
                <w:szCs w:val="24"/>
              </w:rPr>
            </w:pP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Сума списаної дебіторської заборгованості обліковується на позабалансовому субрахунку 071 «Списана дебіторська заборгованість» протягом не менше трьох років з дати списання для спостереження за можливістю її стягнення у випадках зміни майнового становища боржника.</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Дебіторська заборгованість остаточно списується з субрахунку 071 «Списана дебіторська заборгованість» після надходження суми в порядку відшкодування з одночасними записами за дебетом рахунків 30 «Готівка», 31 «Рахунки в банках» чи інших рахунків обліку активів і кредитом субрахунку 716 «Відшкодування раніше списаних активів» або у зв'язку з закінченням строку обліку такої заборгованості. </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Зменшення суми невідшкодованих нестач і втрат від псування цінностей на субрахунку 072 «Невідшкодовані нестачі і втрати від псування цінностей» відображається після вирішення питання про винуватців з одночасними записами за дебетом субрахунку 375 «Розрахунки за відшкодуванням завданих збитків» і кредитом субрахунку 716 «Відшкодування раніше списаних активів» в сумі, що належить до відшкодування винуватцями.</w:t>
            </w:r>
          </w:p>
          <w:p w:rsidR="001B19CB" w:rsidRDefault="001B19CB" w:rsidP="00121B11">
            <w:pPr>
              <w:spacing w:after="0" w:line="240" w:lineRule="auto"/>
              <w:ind w:firstLine="284"/>
              <w:jc w:val="both"/>
              <w:rPr>
                <w:rFonts w:ascii="Times New Roman" w:hAnsi="Times New Roman" w:cs="Times New Roman"/>
                <w:sz w:val="24"/>
                <w:szCs w:val="24"/>
              </w:rPr>
            </w:pPr>
          </w:p>
          <w:p w:rsidR="001B19CB" w:rsidRDefault="001B19CB" w:rsidP="00121B11">
            <w:pPr>
              <w:spacing w:after="0" w:line="240" w:lineRule="auto"/>
              <w:ind w:firstLine="284"/>
              <w:jc w:val="both"/>
              <w:rPr>
                <w:rFonts w:ascii="Times New Roman" w:hAnsi="Times New Roman" w:cs="Times New Roman"/>
                <w:sz w:val="24"/>
                <w:szCs w:val="24"/>
              </w:rPr>
            </w:pPr>
          </w:p>
          <w:p w:rsidR="001B19CB" w:rsidRDefault="001B19CB" w:rsidP="00121B11">
            <w:pPr>
              <w:spacing w:after="0" w:line="240" w:lineRule="auto"/>
              <w:ind w:firstLine="284"/>
              <w:jc w:val="both"/>
              <w:rPr>
                <w:rFonts w:ascii="Times New Roman" w:hAnsi="Times New Roman" w:cs="Times New Roman"/>
                <w:sz w:val="24"/>
                <w:szCs w:val="24"/>
              </w:rPr>
            </w:pPr>
          </w:p>
          <w:p w:rsidR="001B19CB" w:rsidRDefault="001B19CB" w:rsidP="00121B11">
            <w:pPr>
              <w:spacing w:after="0" w:line="240" w:lineRule="auto"/>
              <w:ind w:firstLine="284"/>
              <w:jc w:val="both"/>
              <w:rPr>
                <w:rFonts w:ascii="Times New Roman" w:hAnsi="Times New Roman" w:cs="Times New Roman"/>
                <w:sz w:val="24"/>
                <w:szCs w:val="24"/>
              </w:rPr>
            </w:pPr>
          </w:p>
          <w:p w:rsidR="001B19CB" w:rsidRDefault="001B19CB" w:rsidP="00121B11">
            <w:pPr>
              <w:spacing w:after="0" w:line="240" w:lineRule="auto"/>
              <w:ind w:firstLine="284"/>
              <w:jc w:val="both"/>
              <w:rPr>
                <w:rFonts w:ascii="Times New Roman" w:hAnsi="Times New Roman" w:cs="Times New Roman"/>
                <w:sz w:val="24"/>
                <w:szCs w:val="24"/>
              </w:rPr>
            </w:pPr>
          </w:p>
          <w:p w:rsidR="001B19CB" w:rsidRDefault="001B19CB" w:rsidP="00121B11">
            <w:pPr>
              <w:spacing w:after="0" w:line="240" w:lineRule="auto"/>
              <w:ind w:firstLine="284"/>
              <w:jc w:val="both"/>
              <w:rPr>
                <w:rFonts w:ascii="Times New Roman" w:hAnsi="Times New Roman" w:cs="Times New Roman"/>
                <w:sz w:val="24"/>
                <w:szCs w:val="24"/>
              </w:rPr>
            </w:pPr>
          </w:p>
          <w:p w:rsidR="001B19CB" w:rsidRDefault="001B19CB" w:rsidP="00121B11">
            <w:pPr>
              <w:spacing w:after="0" w:line="240" w:lineRule="auto"/>
              <w:ind w:firstLine="284"/>
              <w:jc w:val="both"/>
              <w:rPr>
                <w:rFonts w:ascii="Times New Roman" w:hAnsi="Times New Roman" w:cs="Times New Roman"/>
                <w:sz w:val="24"/>
                <w:szCs w:val="24"/>
              </w:rPr>
            </w:pPr>
          </w:p>
          <w:p w:rsidR="001B19CB" w:rsidRDefault="001B19CB" w:rsidP="00121B11">
            <w:pPr>
              <w:spacing w:after="0" w:line="240" w:lineRule="auto"/>
              <w:ind w:firstLine="284"/>
              <w:jc w:val="both"/>
              <w:rPr>
                <w:rFonts w:ascii="Times New Roman" w:hAnsi="Times New Roman" w:cs="Times New Roman"/>
                <w:sz w:val="24"/>
                <w:szCs w:val="24"/>
              </w:rPr>
            </w:pPr>
          </w:p>
          <w:p w:rsidR="001B19CB" w:rsidRDefault="001B19CB" w:rsidP="00121B11">
            <w:pPr>
              <w:spacing w:after="0" w:line="240" w:lineRule="auto"/>
              <w:ind w:firstLine="284"/>
              <w:jc w:val="both"/>
              <w:rPr>
                <w:rFonts w:ascii="Times New Roman" w:hAnsi="Times New Roman" w:cs="Times New Roman"/>
                <w:sz w:val="24"/>
                <w:szCs w:val="24"/>
              </w:rPr>
            </w:pPr>
          </w:p>
          <w:p w:rsidR="001B19CB" w:rsidRDefault="001B19CB" w:rsidP="00121B11">
            <w:pPr>
              <w:spacing w:after="0" w:line="240" w:lineRule="auto"/>
              <w:ind w:firstLine="284"/>
              <w:jc w:val="both"/>
              <w:rPr>
                <w:rFonts w:ascii="Times New Roman" w:hAnsi="Times New Roman" w:cs="Times New Roman"/>
                <w:sz w:val="24"/>
                <w:szCs w:val="24"/>
              </w:rPr>
            </w:pPr>
          </w:p>
          <w:p w:rsidR="001B19CB" w:rsidRDefault="001B19CB" w:rsidP="00121B11">
            <w:pPr>
              <w:spacing w:after="0" w:line="240" w:lineRule="auto"/>
              <w:ind w:firstLine="284"/>
              <w:jc w:val="both"/>
              <w:rPr>
                <w:rFonts w:ascii="Times New Roman" w:hAnsi="Times New Roman" w:cs="Times New Roman"/>
                <w:sz w:val="24"/>
                <w:szCs w:val="24"/>
              </w:rPr>
            </w:pP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Аналітичний облік за позабалансовим рахунком 07 «Списані активи» ведеться за боржниками та випадками встановлення нестач і втрат від псування цінностей.</w:t>
            </w:r>
          </w:p>
        </w:tc>
        <w:tc>
          <w:tcPr>
            <w:tcW w:w="2500" w:type="pct"/>
            <w:tcBorders>
              <w:top w:val="single" w:sz="4" w:space="0" w:color="auto"/>
              <w:left w:val="single" w:sz="4" w:space="0" w:color="auto"/>
              <w:bottom w:val="single" w:sz="4" w:space="0" w:color="auto"/>
              <w:right w:val="single" w:sz="4" w:space="0" w:color="auto"/>
            </w:tcBorders>
          </w:tcPr>
          <w:p w:rsidR="0070587D" w:rsidRPr="001B19CB" w:rsidRDefault="0070587D" w:rsidP="00121B11">
            <w:pPr>
              <w:spacing w:after="0" w:line="240" w:lineRule="auto"/>
              <w:ind w:firstLine="284"/>
              <w:jc w:val="center"/>
              <w:rPr>
                <w:rFonts w:ascii="Times New Roman" w:hAnsi="Times New Roman" w:cs="Times New Roman"/>
                <w:sz w:val="24"/>
                <w:szCs w:val="24"/>
              </w:rPr>
            </w:pPr>
            <w:r w:rsidRPr="001B19CB">
              <w:rPr>
                <w:rFonts w:ascii="Times New Roman" w:hAnsi="Times New Roman" w:cs="Times New Roman"/>
                <w:sz w:val="24"/>
                <w:szCs w:val="24"/>
              </w:rPr>
              <w:lastRenderedPageBreak/>
              <w:t>Рахунок 07 «Списані активи»</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Рахунок 07 «Списані активи» призначено для узагальнення інформації про стан дебіторської заборгованості, списаної з балансу внаслідок неплатоспроможності боржників</w:t>
            </w:r>
            <w:r w:rsidRPr="00545361">
              <w:rPr>
                <w:rFonts w:ascii="Times New Roman" w:hAnsi="Times New Roman" w:cs="Times New Roman"/>
                <w:sz w:val="24"/>
                <w:szCs w:val="24"/>
              </w:rPr>
              <w:t xml:space="preserve">, </w:t>
            </w:r>
            <w:bookmarkStart w:id="2" w:name="_Hlk211956373"/>
            <w:r w:rsidRPr="001B19CB">
              <w:rPr>
                <w:rFonts w:ascii="Times New Roman" w:hAnsi="Times New Roman" w:cs="Times New Roman"/>
                <w:b/>
                <w:sz w:val="24"/>
                <w:szCs w:val="24"/>
              </w:rPr>
              <w:t>суми невідшкодованих нестач і втрат від псування цінностей</w:t>
            </w:r>
            <w:r w:rsidRPr="001B19CB">
              <w:rPr>
                <w:rFonts w:ascii="Times New Roman" w:hAnsi="Times New Roman" w:cs="Times New Roman"/>
                <w:sz w:val="24"/>
                <w:szCs w:val="24"/>
              </w:rPr>
              <w:t xml:space="preserve"> </w:t>
            </w:r>
            <w:r w:rsidRPr="001B19CB">
              <w:rPr>
                <w:rFonts w:ascii="Times New Roman" w:hAnsi="Times New Roman" w:cs="Times New Roman"/>
                <w:b/>
                <w:sz w:val="24"/>
                <w:szCs w:val="24"/>
              </w:rPr>
              <w:t>та невідшкодовані втрати</w:t>
            </w:r>
            <w:r w:rsidRPr="001B19CB">
              <w:rPr>
                <w:rFonts w:ascii="Times New Roman" w:hAnsi="Times New Roman" w:cs="Times New Roman"/>
                <w:sz w:val="24"/>
                <w:szCs w:val="24"/>
              </w:rPr>
              <w:t xml:space="preserve"> </w:t>
            </w:r>
            <w:r w:rsidRPr="001B19CB">
              <w:rPr>
                <w:rFonts w:ascii="Times New Roman" w:hAnsi="Times New Roman" w:cs="Times New Roman"/>
                <w:b/>
                <w:sz w:val="24"/>
                <w:szCs w:val="24"/>
              </w:rPr>
              <w:t xml:space="preserve">від шкоди та збитків, завдані внаслідок збройної агресії </w:t>
            </w:r>
            <w:r w:rsidR="00B54FB4">
              <w:rPr>
                <w:rFonts w:ascii="Times New Roman" w:hAnsi="Times New Roman" w:cs="Times New Roman"/>
                <w:b/>
                <w:sz w:val="24"/>
                <w:szCs w:val="24"/>
              </w:rPr>
              <w:t>Р</w:t>
            </w:r>
            <w:r w:rsidRPr="001B19CB">
              <w:rPr>
                <w:rFonts w:ascii="Times New Roman" w:hAnsi="Times New Roman" w:cs="Times New Roman"/>
                <w:b/>
                <w:sz w:val="24"/>
                <w:szCs w:val="24"/>
              </w:rPr>
              <w:t xml:space="preserve">осійської </w:t>
            </w:r>
            <w:r w:rsidR="00B54FB4">
              <w:rPr>
                <w:rFonts w:ascii="Times New Roman" w:hAnsi="Times New Roman" w:cs="Times New Roman"/>
                <w:b/>
                <w:sz w:val="24"/>
                <w:szCs w:val="24"/>
              </w:rPr>
              <w:t>Ф</w:t>
            </w:r>
            <w:r w:rsidRPr="001B19CB">
              <w:rPr>
                <w:rFonts w:ascii="Times New Roman" w:hAnsi="Times New Roman" w:cs="Times New Roman"/>
                <w:b/>
                <w:sz w:val="24"/>
                <w:szCs w:val="24"/>
              </w:rPr>
              <w:t>еде</w:t>
            </w:r>
            <w:r w:rsidRPr="0064369A">
              <w:rPr>
                <w:rFonts w:ascii="Times New Roman" w:hAnsi="Times New Roman" w:cs="Times New Roman"/>
                <w:b/>
                <w:sz w:val="24"/>
                <w:szCs w:val="24"/>
              </w:rPr>
              <w:t>рації</w:t>
            </w:r>
            <w:r w:rsidR="00091A41" w:rsidRPr="0064369A">
              <w:rPr>
                <w:rFonts w:ascii="Times New Roman" w:hAnsi="Times New Roman" w:cs="Times New Roman"/>
                <w:b/>
                <w:sz w:val="24"/>
                <w:szCs w:val="24"/>
              </w:rPr>
              <w:t xml:space="preserve"> </w:t>
            </w:r>
            <w:bookmarkStart w:id="3" w:name="_Hlk210916845"/>
            <w:r w:rsidR="00091A41" w:rsidRPr="0064369A">
              <w:rPr>
                <w:rFonts w:ascii="Times New Roman" w:hAnsi="Times New Roman" w:cs="Times New Roman"/>
                <w:b/>
                <w:sz w:val="24"/>
                <w:szCs w:val="24"/>
              </w:rPr>
              <w:t>тощо</w:t>
            </w:r>
            <w:bookmarkEnd w:id="3"/>
            <w:bookmarkEnd w:id="2"/>
            <w:r w:rsidRPr="0064369A">
              <w:rPr>
                <w:rFonts w:ascii="Times New Roman" w:hAnsi="Times New Roman" w:cs="Times New Roman"/>
                <w:sz w:val="24"/>
                <w:szCs w:val="24"/>
              </w:rPr>
              <w:t>.</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Зарахування на позабалансовий рахунок 07 суми здійснюється одночасно зі списанням суми нестач і втрат від псування цінностей та дебіторської заборгованості на витрати підприємства.</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Рахунок 07 «Списані активи» має такі субрахунки:</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071 «Списана дебіторська заборгованість»</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072 «Невідшкодовані нестачі і втрати від псування цінностей»</w:t>
            </w:r>
          </w:p>
          <w:p w:rsidR="0070587D" w:rsidRPr="001B19CB" w:rsidRDefault="0070587D" w:rsidP="00121B11">
            <w:pPr>
              <w:spacing w:after="0" w:line="240" w:lineRule="auto"/>
              <w:ind w:firstLine="284"/>
              <w:jc w:val="both"/>
              <w:rPr>
                <w:rFonts w:ascii="Times New Roman" w:hAnsi="Times New Roman" w:cs="Times New Roman"/>
                <w:b/>
                <w:sz w:val="24"/>
                <w:szCs w:val="24"/>
              </w:rPr>
            </w:pPr>
            <w:bookmarkStart w:id="4" w:name="_Hlk210646388"/>
            <w:r w:rsidRPr="001B19CB">
              <w:rPr>
                <w:rFonts w:ascii="Times New Roman" w:hAnsi="Times New Roman" w:cs="Times New Roman"/>
                <w:b/>
                <w:sz w:val="24"/>
                <w:szCs w:val="24"/>
              </w:rPr>
              <w:lastRenderedPageBreak/>
              <w:t>073 «Невідшкодовані втрати</w:t>
            </w:r>
            <w:r w:rsidRPr="001B19CB">
              <w:rPr>
                <w:rFonts w:ascii="Times New Roman" w:hAnsi="Times New Roman" w:cs="Times New Roman"/>
                <w:sz w:val="24"/>
                <w:szCs w:val="24"/>
              </w:rPr>
              <w:t xml:space="preserve"> </w:t>
            </w:r>
            <w:bookmarkStart w:id="5" w:name="_Hlk201660897"/>
            <w:r w:rsidRPr="001B19CB">
              <w:rPr>
                <w:rFonts w:ascii="Times New Roman" w:hAnsi="Times New Roman" w:cs="Times New Roman"/>
                <w:b/>
                <w:sz w:val="24"/>
                <w:szCs w:val="24"/>
              </w:rPr>
              <w:t xml:space="preserve">від шкоди та збитків, завданих внаслідок збройної агресії </w:t>
            </w:r>
            <w:r w:rsidR="00B54FB4">
              <w:rPr>
                <w:rFonts w:ascii="Times New Roman" w:hAnsi="Times New Roman" w:cs="Times New Roman"/>
                <w:b/>
                <w:sz w:val="24"/>
                <w:szCs w:val="24"/>
              </w:rPr>
              <w:t>Р</w:t>
            </w:r>
            <w:r w:rsidRPr="001B19CB">
              <w:rPr>
                <w:rFonts w:ascii="Times New Roman" w:hAnsi="Times New Roman" w:cs="Times New Roman"/>
                <w:b/>
                <w:sz w:val="24"/>
                <w:szCs w:val="24"/>
              </w:rPr>
              <w:t xml:space="preserve">осійської </w:t>
            </w:r>
            <w:r w:rsidR="00B54FB4">
              <w:rPr>
                <w:rFonts w:ascii="Times New Roman" w:hAnsi="Times New Roman" w:cs="Times New Roman"/>
                <w:b/>
                <w:sz w:val="24"/>
                <w:szCs w:val="24"/>
              </w:rPr>
              <w:t>Ф</w:t>
            </w:r>
            <w:r w:rsidRPr="001B19CB">
              <w:rPr>
                <w:rFonts w:ascii="Times New Roman" w:hAnsi="Times New Roman" w:cs="Times New Roman"/>
                <w:b/>
                <w:sz w:val="24"/>
                <w:szCs w:val="24"/>
              </w:rPr>
              <w:t>едерації</w:t>
            </w:r>
            <w:bookmarkEnd w:id="5"/>
            <w:r w:rsidRPr="001B19CB">
              <w:rPr>
                <w:rFonts w:ascii="Times New Roman" w:hAnsi="Times New Roman" w:cs="Times New Roman"/>
                <w:b/>
                <w:sz w:val="24"/>
                <w:szCs w:val="24"/>
              </w:rPr>
              <w:t>»</w:t>
            </w:r>
          </w:p>
          <w:bookmarkEnd w:id="4"/>
          <w:p w:rsidR="0070587D" w:rsidRPr="001B19CB" w:rsidRDefault="0070587D" w:rsidP="0054536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Сума списаної дебіторської заборгованості обліковується на позабалансовому субрахунку 071 «Списана дебіторська заборгованість» протягом не менше трьох років з дати списання для спостереження за можливістю її стягнення у випадках зміни майнового становища боржника</w:t>
            </w:r>
            <w:bookmarkStart w:id="6" w:name="_Hlk210921951"/>
            <w:r w:rsidRPr="0035760B">
              <w:rPr>
                <w:rFonts w:ascii="Times New Roman" w:hAnsi="Times New Roman" w:cs="Times New Roman"/>
                <w:sz w:val="24"/>
                <w:szCs w:val="24"/>
              </w:rPr>
              <w:t>.</w:t>
            </w:r>
            <w:bookmarkEnd w:id="6"/>
            <w:r w:rsidR="00091A41" w:rsidRPr="0035760B">
              <w:rPr>
                <w:rFonts w:ascii="Times New Roman" w:hAnsi="Times New Roman" w:cs="Times New Roman"/>
                <w:sz w:val="24"/>
                <w:szCs w:val="24"/>
              </w:rPr>
              <w:t xml:space="preserve"> </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 xml:space="preserve">Дебіторська заборгованість остаточно списується з субрахунку 071 «Списана дебіторська заборгованість» після надходження суми в порядку відшкодування з одночасними записами за дебетом рахунків 30 «Готівка», 31 «Рахунки в банках» чи інших рахунків обліку активів і кредитом субрахунку 716 «Відшкодування раніше списаних активів» або у зв'язку з закінченням строку обліку такої заборгованості. </w:t>
            </w:r>
          </w:p>
          <w:p w:rsidR="0070587D" w:rsidRPr="001B19CB" w:rsidRDefault="0070587D" w:rsidP="00121B11">
            <w:pPr>
              <w:spacing w:after="0" w:line="240" w:lineRule="auto"/>
              <w:ind w:firstLine="284"/>
              <w:jc w:val="both"/>
              <w:rPr>
                <w:rFonts w:ascii="Times New Roman" w:hAnsi="Times New Roman" w:cs="Times New Roman"/>
                <w:sz w:val="24"/>
                <w:szCs w:val="24"/>
              </w:rPr>
            </w:pPr>
            <w:r w:rsidRPr="001B19CB">
              <w:rPr>
                <w:rFonts w:ascii="Times New Roman" w:hAnsi="Times New Roman" w:cs="Times New Roman"/>
                <w:sz w:val="24"/>
                <w:szCs w:val="24"/>
              </w:rPr>
              <w:t>Зменшення суми невідшкодованих нестач і втрат від псування цінностей на субрахунку 072 «Невідшкодовані нестачі і втрати від псування цінностей»</w:t>
            </w:r>
            <w:r w:rsidRPr="001B19CB">
              <w:rPr>
                <w:rFonts w:ascii="Times New Roman" w:hAnsi="Times New Roman" w:cs="Times New Roman"/>
                <w:b/>
                <w:sz w:val="24"/>
                <w:szCs w:val="24"/>
              </w:rPr>
              <w:t xml:space="preserve"> </w:t>
            </w:r>
            <w:r w:rsidRPr="001B19CB">
              <w:rPr>
                <w:rFonts w:ascii="Times New Roman" w:hAnsi="Times New Roman" w:cs="Times New Roman"/>
                <w:sz w:val="24"/>
                <w:szCs w:val="24"/>
              </w:rPr>
              <w:t>відображається після вирішення питання про винуватців з одночасними записами за дебетом субрахунку 375 «Розрахунки за відшкодуванням завданих збитків» і кредитом субрахунку 716 «Відшкодування раніше списаних активів» в сумі, що належить до відшкодування винуватцями.</w:t>
            </w:r>
          </w:p>
          <w:p w:rsidR="0070587D" w:rsidRPr="001B19CB" w:rsidRDefault="0070587D" w:rsidP="00121B11">
            <w:pPr>
              <w:spacing w:after="0" w:line="240" w:lineRule="auto"/>
              <w:ind w:firstLine="284"/>
              <w:jc w:val="both"/>
              <w:rPr>
                <w:rFonts w:ascii="Times New Roman" w:hAnsi="Times New Roman" w:cs="Times New Roman"/>
                <w:b/>
                <w:sz w:val="24"/>
                <w:szCs w:val="24"/>
              </w:rPr>
            </w:pPr>
            <w:bookmarkStart w:id="7" w:name="_Hlk208565679"/>
            <w:r w:rsidRPr="001B19CB">
              <w:rPr>
                <w:rFonts w:ascii="Times New Roman" w:hAnsi="Times New Roman" w:cs="Times New Roman"/>
                <w:b/>
                <w:sz w:val="24"/>
                <w:szCs w:val="24"/>
              </w:rPr>
              <w:t xml:space="preserve">На субрахунку 073 «Невідшкодовані втрати від шкоди та збитків, завданих внаслідок збройної агресії </w:t>
            </w:r>
            <w:r w:rsidR="0035760B">
              <w:rPr>
                <w:rFonts w:ascii="Times New Roman" w:hAnsi="Times New Roman" w:cs="Times New Roman"/>
                <w:b/>
                <w:sz w:val="24"/>
                <w:szCs w:val="24"/>
              </w:rPr>
              <w:t>Р</w:t>
            </w:r>
            <w:r w:rsidRPr="001B19CB">
              <w:rPr>
                <w:rFonts w:ascii="Times New Roman" w:hAnsi="Times New Roman" w:cs="Times New Roman"/>
                <w:b/>
                <w:sz w:val="24"/>
                <w:szCs w:val="24"/>
              </w:rPr>
              <w:t xml:space="preserve">осійської </w:t>
            </w:r>
            <w:r w:rsidR="0035760B">
              <w:rPr>
                <w:rFonts w:ascii="Times New Roman" w:hAnsi="Times New Roman" w:cs="Times New Roman"/>
                <w:b/>
                <w:sz w:val="24"/>
                <w:szCs w:val="24"/>
              </w:rPr>
              <w:t>Ф</w:t>
            </w:r>
            <w:r w:rsidRPr="001B19CB">
              <w:rPr>
                <w:rFonts w:ascii="Times New Roman" w:hAnsi="Times New Roman" w:cs="Times New Roman"/>
                <w:b/>
                <w:sz w:val="24"/>
                <w:szCs w:val="24"/>
              </w:rPr>
              <w:t xml:space="preserve">едерації» відображається інформація про суми збитків, спричинених внаслідок збройної агресії </w:t>
            </w:r>
            <w:r w:rsidR="0035760B">
              <w:rPr>
                <w:rFonts w:ascii="Times New Roman" w:hAnsi="Times New Roman" w:cs="Times New Roman"/>
                <w:b/>
                <w:sz w:val="24"/>
                <w:szCs w:val="24"/>
              </w:rPr>
              <w:t>Р</w:t>
            </w:r>
            <w:r w:rsidRPr="001B19CB">
              <w:rPr>
                <w:rFonts w:ascii="Times New Roman" w:hAnsi="Times New Roman" w:cs="Times New Roman"/>
                <w:b/>
                <w:sz w:val="24"/>
                <w:szCs w:val="24"/>
              </w:rPr>
              <w:t xml:space="preserve">осійської </w:t>
            </w:r>
            <w:r w:rsidR="0035760B">
              <w:rPr>
                <w:rFonts w:ascii="Times New Roman" w:hAnsi="Times New Roman" w:cs="Times New Roman"/>
                <w:b/>
                <w:sz w:val="24"/>
                <w:szCs w:val="24"/>
              </w:rPr>
              <w:t>Ф</w:t>
            </w:r>
            <w:r w:rsidRPr="001B19CB">
              <w:rPr>
                <w:rFonts w:ascii="Times New Roman" w:hAnsi="Times New Roman" w:cs="Times New Roman"/>
                <w:b/>
                <w:sz w:val="24"/>
                <w:szCs w:val="24"/>
              </w:rPr>
              <w:t xml:space="preserve">едерації, оцінка яких проведена </w:t>
            </w:r>
            <w:r w:rsidRPr="00363039">
              <w:rPr>
                <w:rFonts w:ascii="Times New Roman" w:hAnsi="Times New Roman" w:cs="Times New Roman"/>
                <w:b/>
                <w:sz w:val="24"/>
                <w:szCs w:val="24"/>
              </w:rPr>
              <w:t>(визначено розмір)</w:t>
            </w:r>
            <w:r w:rsidRPr="001B19CB">
              <w:rPr>
                <w:rFonts w:ascii="Times New Roman" w:hAnsi="Times New Roman" w:cs="Times New Roman"/>
                <w:b/>
                <w:sz w:val="24"/>
                <w:szCs w:val="24"/>
              </w:rPr>
              <w:t xml:space="preserve"> у встановленому законодавством порядку для цілей подальшого відшкодування. </w:t>
            </w:r>
          </w:p>
          <w:p w:rsidR="0070587D" w:rsidRPr="001B19CB" w:rsidRDefault="0070587D" w:rsidP="00121B11">
            <w:pPr>
              <w:spacing w:after="0" w:line="240" w:lineRule="auto"/>
              <w:ind w:firstLine="284"/>
              <w:jc w:val="both"/>
              <w:rPr>
                <w:rFonts w:ascii="Times New Roman" w:hAnsi="Times New Roman" w:cs="Times New Roman"/>
                <w:b/>
                <w:sz w:val="24"/>
                <w:szCs w:val="24"/>
              </w:rPr>
            </w:pPr>
            <w:r w:rsidRPr="001B19CB">
              <w:rPr>
                <w:rFonts w:ascii="Times New Roman" w:hAnsi="Times New Roman" w:cs="Times New Roman"/>
                <w:b/>
                <w:sz w:val="24"/>
                <w:szCs w:val="24"/>
              </w:rPr>
              <w:t xml:space="preserve">Зменшення суми збитків на субрахунку 073 «Невідшкодовані втрати від шкоди та збитків, завданих внаслідок збройної агресії </w:t>
            </w:r>
            <w:r w:rsidR="0035760B">
              <w:rPr>
                <w:rFonts w:ascii="Times New Roman" w:hAnsi="Times New Roman" w:cs="Times New Roman"/>
                <w:b/>
                <w:sz w:val="24"/>
                <w:szCs w:val="24"/>
              </w:rPr>
              <w:t>Р</w:t>
            </w:r>
            <w:r w:rsidRPr="001B19CB">
              <w:rPr>
                <w:rFonts w:ascii="Times New Roman" w:hAnsi="Times New Roman" w:cs="Times New Roman"/>
                <w:b/>
                <w:sz w:val="24"/>
                <w:szCs w:val="24"/>
              </w:rPr>
              <w:t xml:space="preserve">осійської </w:t>
            </w:r>
            <w:r w:rsidR="0035760B">
              <w:rPr>
                <w:rFonts w:ascii="Times New Roman" w:hAnsi="Times New Roman" w:cs="Times New Roman"/>
                <w:b/>
                <w:sz w:val="24"/>
                <w:szCs w:val="24"/>
              </w:rPr>
              <w:t>Ф</w:t>
            </w:r>
            <w:r w:rsidRPr="001B19CB">
              <w:rPr>
                <w:rFonts w:ascii="Times New Roman" w:hAnsi="Times New Roman" w:cs="Times New Roman"/>
                <w:b/>
                <w:sz w:val="24"/>
                <w:szCs w:val="24"/>
              </w:rPr>
              <w:t>едерації» здійснюється після отримання рішення про відшкодування коштів з одночасним відображенням дебіторської заборгованості та доходів в сумі, що належить до відшкодування.</w:t>
            </w:r>
          </w:p>
          <w:bookmarkEnd w:id="7"/>
          <w:p w:rsidR="00A859E2" w:rsidRPr="001B19CB" w:rsidRDefault="0070587D" w:rsidP="001B19CB">
            <w:pPr>
              <w:spacing w:after="0" w:line="240" w:lineRule="auto"/>
              <w:ind w:firstLine="284"/>
              <w:jc w:val="both"/>
              <w:rPr>
                <w:rFonts w:ascii="Times New Roman" w:hAnsi="Times New Roman" w:cs="Times New Roman"/>
                <w:b/>
                <w:sz w:val="24"/>
                <w:szCs w:val="24"/>
              </w:rPr>
            </w:pPr>
            <w:r w:rsidRPr="001B19CB">
              <w:rPr>
                <w:rFonts w:ascii="Times New Roman" w:hAnsi="Times New Roman" w:cs="Times New Roman"/>
                <w:sz w:val="24"/>
                <w:szCs w:val="24"/>
              </w:rPr>
              <w:t>Аналітичний облік за позабалансовим рахунком 07 «Списані активи» ведеться за боржниками та випадками встановлення нестач і втрат від псування цінностей</w:t>
            </w:r>
            <w:r w:rsidRPr="001B19CB">
              <w:rPr>
                <w:rFonts w:ascii="Times New Roman" w:hAnsi="Times New Roman" w:cs="Times New Roman"/>
                <w:b/>
                <w:sz w:val="24"/>
                <w:szCs w:val="24"/>
              </w:rPr>
              <w:t>, а також видами активів,</w:t>
            </w:r>
            <w:r w:rsidRPr="001B19CB">
              <w:rPr>
                <w:rFonts w:ascii="Times New Roman" w:eastAsia="Times New Roman" w:hAnsi="Times New Roman" w:cs="Times New Roman"/>
                <w:b/>
                <w:sz w:val="24"/>
                <w:szCs w:val="24"/>
                <w:lang w:eastAsia="uk-UA"/>
              </w:rPr>
              <w:t xml:space="preserve"> пошкоджених, знищених, викрадених</w:t>
            </w:r>
            <w:r w:rsidR="00C134FA">
              <w:rPr>
                <w:rFonts w:ascii="Times New Roman" w:eastAsia="Times New Roman" w:hAnsi="Times New Roman" w:cs="Times New Roman"/>
                <w:b/>
                <w:sz w:val="24"/>
                <w:szCs w:val="24"/>
                <w:lang w:eastAsia="uk-UA"/>
              </w:rPr>
              <w:t>,</w:t>
            </w:r>
            <w:r w:rsidRPr="001B19CB">
              <w:rPr>
                <w:rFonts w:ascii="Times New Roman" w:eastAsia="Times New Roman" w:hAnsi="Times New Roman" w:cs="Times New Roman"/>
                <w:b/>
                <w:sz w:val="24"/>
                <w:szCs w:val="24"/>
                <w:lang w:eastAsia="uk-UA"/>
              </w:rPr>
              <w:t xml:space="preserve"> внаслідок збройної агресії </w:t>
            </w:r>
            <w:r w:rsidR="0035760B">
              <w:rPr>
                <w:rFonts w:ascii="Times New Roman" w:eastAsia="Times New Roman" w:hAnsi="Times New Roman" w:cs="Times New Roman"/>
                <w:b/>
                <w:sz w:val="24"/>
                <w:szCs w:val="24"/>
                <w:lang w:eastAsia="uk-UA"/>
              </w:rPr>
              <w:t>Р</w:t>
            </w:r>
            <w:r w:rsidRPr="001B19CB">
              <w:rPr>
                <w:rFonts w:ascii="Times New Roman" w:eastAsia="Times New Roman" w:hAnsi="Times New Roman" w:cs="Times New Roman"/>
                <w:b/>
                <w:sz w:val="24"/>
                <w:szCs w:val="24"/>
                <w:lang w:eastAsia="uk-UA"/>
              </w:rPr>
              <w:t xml:space="preserve">осійської </w:t>
            </w:r>
            <w:r w:rsidR="0035760B">
              <w:rPr>
                <w:rFonts w:ascii="Times New Roman" w:eastAsia="Times New Roman" w:hAnsi="Times New Roman" w:cs="Times New Roman"/>
                <w:b/>
                <w:sz w:val="24"/>
                <w:szCs w:val="24"/>
                <w:lang w:eastAsia="uk-UA"/>
              </w:rPr>
              <w:t>Ф</w:t>
            </w:r>
            <w:r w:rsidRPr="001B19CB">
              <w:rPr>
                <w:rFonts w:ascii="Times New Roman" w:eastAsia="Times New Roman" w:hAnsi="Times New Roman" w:cs="Times New Roman"/>
                <w:b/>
                <w:sz w:val="24"/>
                <w:szCs w:val="24"/>
                <w:lang w:eastAsia="uk-UA"/>
              </w:rPr>
              <w:t>едерації, які списані згідно із законодавством та</w:t>
            </w:r>
            <w:r w:rsidRPr="001B19CB">
              <w:rPr>
                <w:rFonts w:ascii="Times New Roman" w:hAnsi="Times New Roman" w:cs="Times New Roman"/>
                <w:b/>
                <w:sz w:val="24"/>
                <w:szCs w:val="24"/>
              </w:rPr>
              <w:t xml:space="preserve"> за видами активів </w:t>
            </w:r>
            <w:r w:rsidRPr="001B19CB">
              <w:rPr>
                <w:rFonts w:ascii="Times New Roman" w:hAnsi="Times New Roman" w:cs="Times New Roman"/>
                <w:b/>
                <w:sz w:val="24"/>
                <w:szCs w:val="24"/>
              </w:rPr>
              <w:lastRenderedPageBreak/>
              <w:t xml:space="preserve">та/або їх </w:t>
            </w:r>
            <w:r w:rsidRPr="00363039">
              <w:rPr>
                <w:rFonts w:ascii="Times New Roman" w:hAnsi="Times New Roman" w:cs="Times New Roman"/>
                <w:b/>
                <w:sz w:val="24"/>
                <w:szCs w:val="24"/>
              </w:rPr>
              <w:t xml:space="preserve">місцезнаходженням, які внаслідок збройної агресії </w:t>
            </w:r>
            <w:r w:rsidR="0035760B">
              <w:rPr>
                <w:rFonts w:ascii="Times New Roman" w:hAnsi="Times New Roman" w:cs="Times New Roman"/>
                <w:b/>
                <w:sz w:val="24"/>
                <w:szCs w:val="24"/>
              </w:rPr>
              <w:t>Р</w:t>
            </w:r>
            <w:r w:rsidRPr="00363039">
              <w:rPr>
                <w:rFonts w:ascii="Times New Roman" w:hAnsi="Times New Roman" w:cs="Times New Roman"/>
                <w:b/>
                <w:sz w:val="24"/>
                <w:szCs w:val="24"/>
              </w:rPr>
              <w:t xml:space="preserve">осійської </w:t>
            </w:r>
            <w:r w:rsidR="0035760B">
              <w:rPr>
                <w:rFonts w:ascii="Times New Roman" w:hAnsi="Times New Roman" w:cs="Times New Roman"/>
                <w:b/>
                <w:sz w:val="24"/>
                <w:szCs w:val="24"/>
              </w:rPr>
              <w:t>Ф</w:t>
            </w:r>
            <w:r w:rsidRPr="00363039">
              <w:rPr>
                <w:rFonts w:ascii="Times New Roman" w:hAnsi="Times New Roman" w:cs="Times New Roman"/>
                <w:b/>
                <w:sz w:val="24"/>
                <w:szCs w:val="24"/>
              </w:rPr>
              <w:t>едерації пошкоджені, знищені, викрадені або над якими втрачено контроль, але п</w:t>
            </w:r>
            <w:r w:rsidRPr="001B19CB">
              <w:rPr>
                <w:rFonts w:ascii="Times New Roman" w:hAnsi="Times New Roman" w:cs="Times New Roman"/>
                <w:b/>
                <w:sz w:val="24"/>
                <w:szCs w:val="24"/>
              </w:rPr>
              <w:t>родовжують обліковуватися на балансі.</w:t>
            </w:r>
          </w:p>
        </w:tc>
      </w:tr>
      <w:tr w:rsidR="00CF466D" w:rsidRPr="00DD6785" w:rsidTr="00E7086E">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CF466D" w:rsidRPr="00592CFF" w:rsidRDefault="00CF466D" w:rsidP="00CF466D">
            <w:pPr>
              <w:spacing w:after="0" w:line="240" w:lineRule="auto"/>
              <w:ind w:firstLine="284"/>
              <w:jc w:val="center"/>
              <w:rPr>
                <w:rFonts w:ascii="Times New Roman" w:hAnsi="Times New Roman" w:cs="Times New Roman"/>
                <w:sz w:val="24"/>
                <w:szCs w:val="24"/>
              </w:rPr>
            </w:pPr>
            <w:r w:rsidRPr="00592CFF">
              <w:rPr>
                <w:rFonts w:ascii="Times New Roman" w:hAnsi="Times New Roman" w:cs="Times New Roman"/>
                <w:sz w:val="24"/>
                <w:szCs w:val="24"/>
              </w:rPr>
              <w:lastRenderedPageBreak/>
              <w:t>Національне положення (стандарт) бухгалтерського обліку 7 «Основні засоби»</w:t>
            </w:r>
          </w:p>
          <w:p w:rsidR="00CF466D" w:rsidRPr="00592CFF" w:rsidRDefault="00CF466D" w:rsidP="00CF466D">
            <w:pPr>
              <w:spacing w:after="0" w:line="240" w:lineRule="auto"/>
              <w:ind w:firstLine="284"/>
              <w:jc w:val="center"/>
              <w:rPr>
                <w:rFonts w:ascii="Times New Roman" w:hAnsi="Times New Roman" w:cs="Times New Roman"/>
                <w:sz w:val="24"/>
                <w:szCs w:val="24"/>
              </w:rPr>
            </w:pPr>
            <w:r w:rsidRPr="00592CFF">
              <w:rPr>
                <w:rFonts w:ascii="Times New Roman" w:hAnsi="Times New Roman" w:cs="Times New Roman"/>
                <w:sz w:val="24"/>
                <w:szCs w:val="24"/>
              </w:rPr>
              <w:t>(наказ Міністерства фінансів України від 27.04.2000 № 92)</w:t>
            </w:r>
          </w:p>
        </w:tc>
      </w:tr>
      <w:tr w:rsidR="00CF466D" w:rsidRPr="00DD6785" w:rsidTr="00E7086E">
        <w:tc>
          <w:tcPr>
            <w:tcW w:w="2500" w:type="pct"/>
            <w:tcBorders>
              <w:top w:val="single" w:sz="4" w:space="0" w:color="auto"/>
              <w:left w:val="single" w:sz="4" w:space="0" w:color="auto"/>
              <w:bottom w:val="single" w:sz="4" w:space="0" w:color="auto"/>
              <w:right w:val="single" w:sz="4" w:space="0" w:color="auto"/>
            </w:tcBorders>
            <w:shd w:val="clear" w:color="auto" w:fill="auto"/>
          </w:tcPr>
          <w:p w:rsidR="00CF466D" w:rsidRPr="00592CFF" w:rsidRDefault="00CF466D" w:rsidP="00CF466D">
            <w:pPr>
              <w:spacing w:after="0" w:line="240" w:lineRule="auto"/>
              <w:ind w:firstLine="284"/>
              <w:jc w:val="center"/>
              <w:rPr>
                <w:rFonts w:ascii="Times New Roman" w:hAnsi="Times New Roman" w:cs="Times New Roman"/>
                <w:sz w:val="24"/>
                <w:szCs w:val="24"/>
              </w:rPr>
            </w:pPr>
            <w:r w:rsidRPr="00592CFF">
              <w:rPr>
                <w:rFonts w:ascii="Times New Roman" w:hAnsi="Times New Roman" w:cs="Times New Roman"/>
                <w:sz w:val="24"/>
                <w:szCs w:val="24"/>
              </w:rPr>
              <w:t xml:space="preserve">підпункт 37.6 пункту 37 </w:t>
            </w:r>
          </w:p>
          <w:p w:rsidR="00CF466D" w:rsidRPr="00592CFF" w:rsidRDefault="00CF466D" w:rsidP="00CF466D">
            <w:pPr>
              <w:spacing w:after="0" w:line="240" w:lineRule="auto"/>
              <w:ind w:firstLine="284"/>
              <w:jc w:val="both"/>
              <w:rPr>
                <w:rFonts w:ascii="Times New Roman" w:hAnsi="Times New Roman" w:cs="Times New Roman"/>
                <w:sz w:val="24"/>
                <w:szCs w:val="24"/>
              </w:rPr>
            </w:pPr>
            <w:r w:rsidRPr="00592CFF">
              <w:rPr>
                <w:rFonts w:ascii="Times New Roman" w:hAnsi="Times New Roman" w:cs="Times New Roman"/>
                <w:sz w:val="24"/>
                <w:szCs w:val="24"/>
              </w:rPr>
              <w:t xml:space="preserve">37.6. </w:t>
            </w:r>
            <w:r w:rsidRPr="00B96E08">
              <w:rPr>
                <w:rFonts w:ascii="Times New Roman" w:hAnsi="Times New Roman" w:cs="Times New Roman"/>
                <w:b/>
                <w:i/>
                <w:sz w:val="24"/>
                <w:szCs w:val="24"/>
              </w:rPr>
              <w:t>Первісна (переоцінена) вартість повністю амортизованих основних засобів, які продовжують використовуватись</w:t>
            </w:r>
            <w:r w:rsidRPr="00592CFF">
              <w:rPr>
                <w:rFonts w:ascii="Times New Roman" w:hAnsi="Times New Roman" w:cs="Times New Roman"/>
                <w:b/>
                <w:sz w:val="24"/>
                <w:szCs w:val="24"/>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CF466D" w:rsidRPr="00592CFF" w:rsidRDefault="00CF466D" w:rsidP="00CF466D">
            <w:pPr>
              <w:spacing w:after="0" w:line="240" w:lineRule="auto"/>
              <w:ind w:firstLine="284"/>
              <w:jc w:val="center"/>
              <w:rPr>
                <w:rFonts w:ascii="Times New Roman" w:hAnsi="Times New Roman" w:cs="Times New Roman"/>
                <w:sz w:val="24"/>
                <w:szCs w:val="24"/>
              </w:rPr>
            </w:pPr>
            <w:r w:rsidRPr="00592CFF">
              <w:rPr>
                <w:rFonts w:ascii="Times New Roman" w:hAnsi="Times New Roman" w:cs="Times New Roman"/>
                <w:sz w:val="24"/>
                <w:szCs w:val="24"/>
              </w:rPr>
              <w:t xml:space="preserve">підпункт 37.6 пункту 37 </w:t>
            </w:r>
          </w:p>
          <w:p w:rsidR="00CF466D" w:rsidRPr="00592CFF" w:rsidRDefault="00CF466D" w:rsidP="00CF466D">
            <w:pPr>
              <w:spacing w:after="0" w:line="240" w:lineRule="auto"/>
              <w:ind w:firstLine="284"/>
              <w:jc w:val="both"/>
              <w:rPr>
                <w:rFonts w:ascii="Times New Roman" w:hAnsi="Times New Roman" w:cs="Times New Roman"/>
                <w:sz w:val="24"/>
                <w:szCs w:val="24"/>
              </w:rPr>
            </w:pPr>
            <w:r w:rsidRPr="00592CFF">
              <w:rPr>
                <w:rFonts w:ascii="Times New Roman" w:hAnsi="Times New Roman" w:cs="Times New Roman"/>
                <w:sz w:val="24"/>
                <w:szCs w:val="24"/>
              </w:rPr>
              <w:t xml:space="preserve">37.6. </w:t>
            </w:r>
            <w:r w:rsidRPr="00B96E08">
              <w:rPr>
                <w:rFonts w:ascii="Times New Roman" w:hAnsi="Times New Roman" w:cs="Times New Roman"/>
                <w:b/>
                <w:sz w:val="24"/>
                <w:szCs w:val="24"/>
              </w:rPr>
              <w:t>Первісна (переоцінена) вартість основних засобів</w:t>
            </w:r>
            <w:r w:rsidRPr="00592CFF">
              <w:rPr>
                <w:sz w:val="24"/>
                <w:szCs w:val="24"/>
              </w:rPr>
              <w:t xml:space="preserve"> </w:t>
            </w:r>
            <w:r w:rsidRPr="00592CFF">
              <w:rPr>
                <w:rFonts w:ascii="Times New Roman" w:hAnsi="Times New Roman" w:cs="Times New Roman"/>
                <w:b/>
                <w:sz w:val="24"/>
                <w:szCs w:val="24"/>
              </w:rPr>
              <w:t xml:space="preserve">щодо яких </w:t>
            </w:r>
            <w:proofErr w:type="spellStart"/>
            <w:r w:rsidRPr="00592CFF">
              <w:rPr>
                <w:rFonts w:ascii="Times New Roman" w:hAnsi="Times New Roman" w:cs="Times New Roman"/>
                <w:b/>
                <w:sz w:val="24"/>
                <w:szCs w:val="24"/>
              </w:rPr>
              <w:t>переглянуто</w:t>
            </w:r>
            <w:proofErr w:type="spellEnd"/>
            <w:r w:rsidRPr="00592CFF">
              <w:rPr>
                <w:rFonts w:ascii="Times New Roman" w:hAnsi="Times New Roman" w:cs="Times New Roman"/>
                <w:b/>
                <w:sz w:val="24"/>
                <w:szCs w:val="24"/>
              </w:rPr>
              <w:t xml:space="preserve"> строк корисного використання та ліквідаційну вартість з метою їх подальшого використання (експлуатації).</w:t>
            </w:r>
          </w:p>
        </w:tc>
      </w:tr>
      <w:tr w:rsidR="00EC7DA2" w:rsidRPr="00DD6785" w:rsidTr="00EC7DA2">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EC7DA2" w:rsidRPr="00EC7DA2" w:rsidRDefault="00EC7DA2" w:rsidP="0070587D">
            <w:pPr>
              <w:spacing w:after="0" w:line="240" w:lineRule="auto"/>
              <w:ind w:firstLine="284"/>
              <w:jc w:val="center"/>
              <w:rPr>
                <w:rFonts w:ascii="Times New Roman" w:hAnsi="Times New Roman" w:cs="Times New Roman"/>
                <w:b/>
                <w:sz w:val="24"/>
                <w:szCs w:val="24"/>
              </w:rPr>
            </w:pPr>
            <w:r w:rsidRPr="00EC7DA2">
              <w:rPr>
                <w:rFonts w:ascii="Times New Roman" w:hAnsi="Times New Roman" w:cs="Times New Roman"/>
                <w:b/>
                <w:sz w:val="24"/>
                <w:szCs w:val="24"/>
              </w:rPr>
              <w:t>Положення про інвентаризацію активів та зобов’язань</w:t>
            </w:r>
          </w:p>
          <w:p w:rsidR="00EC7DA2" w:rsidRPr="00EC7DA2" w:rsidRDefault="00EC7DA2" w:rsidP="00121B11">
            <w:pPr>
              <w:spacing w:after="0" w:line="240" w:lineRule="auto"/>
              <w:ind w:firstLine="284"/>
              <w:jc w:val="center"/>
              <w:rPr>
                <w:rFonts w:ascii="Times New Roman" w:hAnsi="Times New Roman" w:cs="Times New Roman"/>
                <w:sz w:val="24"/>
                <w:szCs w:val="24"/>
              </w:rPr>
            </w:pPr>
            <w:r w:rsidRPr="00EC7DA2">
              <w:rPr>
                <w:rFonts w:ascii="Times New Roman" w:hAnsi="Times New Roman" w:cs="Times New Roman"/>
                <w:sz w:val="24"/>
                <w:szCs w:val="24"/>
              </w:rPr>
              <w:t>(наказ Міністерства фінансів України від 02.09.2014 № 879)</w:t>
            </w:r>
          </w:p>
        </w:tc>
      </w:tr>
      <w:tr w:rsidR="0070587D" w:rsidRPr="00DD6785" w:rsidTr="0070587D">
        <w:tc>
          <w:tcPr>
            <w:tcW w:w="2500" w:type="pct"/>
            <w:tcBorders>
              <w:top w:val="single" w:sz="4" w:space="0" w:color="auto"/>
              <w:left w:val="single" w:sz="4" w:space="0" w:color="auto"/>
              <w:bottom w:val="single" w:sz="4" w:space="0" w:color="auto"/>
              <w:right w:val="single" w:sz="4" w:space="0" w:color="auto"/>
            </w:tcBorders>
            <w:shd w:val="clear" w:color="auto" w:fill="auto"/>
          </w:tcPr>
          <w:p w:rsidR="0070587D" w:rsidRPr="00EC7DA2" w:rsidRDefault="0070587D" w:rsidP="00121B11">
            <w:pPr>
              <w:spacing w:after="0" w:line="240" w:lineRule="auto"/>
              <w:ind w:firstLine="284"/>
              <w:jc w:val="center"/>
              <w:rPr>
                <w:rFonts w:ascii="Times New Roman" w:hAnsi="Times New Roman" w:cs="Times New Roman"/>
                <w:sz w:val="24"/>
                <w:szCs w:val="24"/>
              </w:rPr>
            </w:pPr>
            <w:r w:rsidRPr="00EC7DA2">
              <w:rPr>
                <w:rFonts w:ascii="Times New Roman" w:hAnsi="Times New Roman" w:cs="Times New Roman"/>
                <w:sz w:val="24"/>
                <w:szCs w:val="24"/>
              </w:rPr>
              <w:t>пункт 6 розділу І</w:t>
            </w:r>
          </w:p>
          <w:p w:rsidR="0070587D" w:rsidRPr="00EC7DA2" w:rsidRDefault="0070587D" w:rsidP="00121B11">
            <w:pPr>
              <w:spacing w:after="0" w:line="240" w:lineRule="auto"/>
              <w:ind w:firstLine="284"/>
              <w:jc w:val="both"/>
              <w:rPr>
                <w:rFonts w:ascii="Times New Roman" w:hAnsi="Times New Roman" w:cs="Times New Roman"/>
                <w:sz w:val="24"/>
                <w:szCs w:val="24"/>
              </w:rPr>
            </w:pPr>
            <w:r w:rsidRPr="00EC7DA2">
              <w:rPr>
                <w:rFonts w:ascii="Times New Roman" w:hAnsi="Times New Roman" w:cs="Times New Roman"/>
                <w:sz w:val="24"/>
                <w:szCs w:val="24"/>
              </w:rPr>
              <w:t xml:space="preserve">6. Суцільною інвентаризацією охоплюються всі види зобов’язань та всі активи підприємства незалежно від їх місцезнаходження, у тому числі предмети, що передані у прокат, оренду або перебувають на реконструкції, модернізації, консервації, у ремонті, запасі або резерві незалежно від технічного стану. Також інвентаризації підлягають активи і зобов’язання, які обліковуються на позабалансових рахунках, зокрема цінності, що не належать підприємству, але тимчасово перебувають у його користуванні, розпорядженні або на зберіганні (об’єкти </w:t>
            </w:r>
            <w:r w:rsidRPr="00EC7DA2">
              <w:rPr>
                <w:rFonts w:ascii="Times New Roman" w:hAnsi="Times New Roman" w:cs="Times New Roman"/>
                <w:b/>
                <w:i/>
                <w:sz w:val="24"/>
                <w:szCs w:val="24"/>
              </w:rPr>
              <w:t>оперативної (операційної)</w:t>
            </w:r>
            <w:r w:rsidRPr="00EC7DA2">
              <w:rPr>
                <w:rFonts w:ascii="Times New Roman" w:hAnsi="Times New Roman" w:cs="Times New Roman"/>
                <w:sz w:val="24"/>
                <w:szCs w:val="24"/>
              </w:rPr>
              <w:t xml:space="preserve"> оренди основних засобів, матеріальні цінності на відповідальному зберіганні, переробці, комісії, монтажі), умовні активи і зобов’язання (непередбачені активи та зобов’язання) підприємства (застави, гарантії, зобов’язання тощо), бланки документів суворої звітності, інші активи.</w:t>
            </w:r>
          </w:p>
        </w:tc>
        <w:tc>
          <w:tcPr>
            <w:tcW w:w="2500" w:type="pct"/>
            <w:tcBorders>
              <w:top w:val="single" w:sz="4" w:space="0" w:color="auto"/>
              <w:left w:val="single" w:sz="4" w:space="0" w:color="auto"/>
              <w:bottom w:val="single" w:sz="4" w:space="0" w:color="auto"/>
              <w:right w:val="single" w:sz="4" w:space="0" w:color="auto"/>
            </w:tcBorders>
          </w:tcPr>
          <w:p w:rsidR="0070587D" w:rsidRPr="00EC7DA2" w:rsidRDefault="0070587D" w:rsidP="00121B11">
            <w:pPr>
              <w:spacing w:after="0" w:line="240" w:lineRule="auto"/>
              <w:ind w:firstLine="284"/>
              <w:jc w:val="center"/>
              <w:rPr>
                <w:rFonts w:ascii="Times New Roman" w:hAnsi="Times New Roman" w:cs="Times New Roman"/>
                <w:sz w:val="24"/>
                <w:szCs w:val="24"/>
              </w:rPr>
            </w:pPr>
            <w:r w:rsidRPr="00EC7DA2">
              <w:rPr>
                <w:rFonts w:ascii="Times New Roman" w:hAnsi="Times New Roman" w:cs="Times New Roman"/>
                <w:sz w:val="24"/>
                <w:szCs w:val="24"/>
              </w:rPr>
              <w:t>пункт 6 розділу І</w:t>
            </w:r>
          </w:p>
          <w:p w:rsidR="0070587D" w:rsidRPr="00EC7DA2" w:rsidRDefault="0070587D" w:rsidP="00121B11">
            <w:pPr>
              <w:spacing w:after="0" w:line="240" w:lineRule="auto"/>
              <w:ind w:firstLine="284"/>
              <w:jc w:val="both"/>
              <w:rPr>
                <w:rFonts w:ascii="Times New Roman" w:hAnsi="Times New Roman" w:cs="Times New Roman"/>
                <w:sz w:val="24"/>
                <w:szCs w:val="24"/>
              </w:rPr>
            </w:pPr>
            <w:r w:rsidRPr="00EC7DA2">
              <w:rPr>
                <w:rFonts w:ascii="Times New Roman" w:hAnsi="Times New Roman" w:cs="Times New Roman"/>
                <w:sz w:val="24"/>
                <w:szCs w:val="24"/>
              </w:rPr>
              <w:t xml:space="preserve">6. Суцільною інвентаризацією охоплюються всі види зобов’язань та всі активи підприємства незалежно від їх місцезнаходження, у тому числі предмети, що передані у прокат, оренду або перебувають на реконструкції, модернізації, консервації, у ремонті, запасі або резерві незалежно від технічного стану. Також інвентаризації підлягають активи і зобов’язання, які обліковуються на позабалансових рахунках, зокрема цінності, що не належать підприємству, але тимчасово перебувають у його користуванні, розпорядженні або на зберіганні (об’єкти </w:t>
            </w:r>
            <w:r w:rsidRPr="00EC7DA2">
              <w:rPr>
                <w:rFonts w:ascii="Times New Roman" w:hAnsi="Times New Roman" w:cs="Times New Roman"/>
                <w:b/>
                <w:sz w:val="24"/>
                <w:szCs w:val="24"/>
              </w:rPr>
              <w:t xml:space="preserve">операційної </w:t>
            </w:r>
            <w:r w:rsidRPr="00EC7DA2">
              <w:rPr>
                <w:rFonts w:ascii="Times New Roman" w:hAnsi="Times New Roman" w:cs="Times New Roman"/>
                <w:sz w:val="24"/>
                <w:szCs w:val="24"/>
              </w:rPr>
              <w:t>оренди основних засобів, матеріальні цінності на відповідальному зберіганні, переробці, комісії, монтажі), умовні активи і зобов’язання (непередбачені активи та зобов’язання) підприємства (застави, гарантії, зобов’язання тощо), бланки документів суворої звітності, інші активи.</w:t>
            </w:r>
          </w:p>
        </w:tc>
      </w:tr>
    </w:tbl>
    <w:p w:rsidR="00F349EE" w:rsidRDefault="00F349EE" w:rsidP="00F349EE">
      <w:pPr>
        <w:spacing w:after="0" w:line="240" w:lineRule="auto"/>
        <w:ind w:firstLine="567"/>
        <w:jc w:val="both"/>
        <w:rPr>
          <w:rFonts w:ascii="Times New Roman" w:hAnsi="Times New Roman" w:cs="Times New Roman"/>
          <w:b/>
          <w:sz w:val="28"/>
          <w:szCs w:val="28"/>
        </w:rPr>
      </w:pPr>
    </w:p>
    <w:p w:rsidR="00F349EE" w:rsidRDefault="00F349EE" w:rsidP="00F349EE">
      <w:pPr>
        <w:spacing w:after="0" w:line="240" w:lineRule="auto"/>
        <w:ind w:firstLine="567"/>
        <w:jc w:val="both"/>
        <w:rPr>
          <w:rFonts w:ascii="Times New Roman" w:hAnsi="Times New Roman" w:cs="Times New Roman"/>
          <w:b/>
          <w:sz w:val="28"/>
          <w:szCs w:val="28"/>
        </w:rPr>
      </w:pPr>
    </w:p>
    <w:p w:rsidR="003C2683" w:rsidRPr="003C2683" w:rsidRDefault="003C2683" w:rsidP="003C2683">
      <w:pPr>
        <w:spacing w:after="0" w:line="240" w:lineRule="auto"/>
        <w:jc w:val="both"/>
        <w:rPr>
          <w:rFonts w:ascii="Times New Roman" w:hAnsi="Times New Roman" w:cs="Times New Roman"/>
          <w:b/>
          <w:sz w:val="28"/>
          <w:szCs w:val="28"/>
        </w:rPr>
      </w:pPr>
      <w:r w:rsidRPr="003C2683">
        <w:rPr>
          <w:rFonts w:ascii="Times New Roman" w:hAnsi="Times New Roman" w:cs="Times New Roman"/>
          <w:b/>
          <w:sz w:val="28"/>
          <w:szCs w:val="28"/>
        </w:rPr>
        <w:t>Заступник Міністра</w:t>
      </w:r>
    </w:p>
    <w:p w:rsidR="00F349EE" w:rsidRPr="00697D76" w:rsidRDefault="003C2683" w:rsidP="003C2683">
      <w:pPr>
        <w:spacing w:after="0" w:line="240" w:lineRule="auto"/>
        <w:jc w:val="both"/>
        <w:rPr>
          <w:rFonts w:ascii="Times New Roman" w:hAnsi="Times New Roman" w:cs="Times New Roman"/>
          <w:b/>
          <w:sz w:val="28"/>
          <w:szCs w:val="28"/>
        </w:rPr>
      </w:pPr>
      <w:r w:rsidRPr="003C2683">
        <w:rPr>
          <w:rFonts w:ascii="Times New Roman" w:hAnsi="Times New Roman" w:cs="Times New Roman"/>
          <w:b/>
          <w:sz w:val="28"/>
          <w:szCs w:val="28"/>
        </w:rPr>
        <w:t xml:space="preserve">фінансів України                                                                  </w:t>
      </w:r>
      <w:r>
        <w:rPr>
          <w:rFonts w:ascii="Times New Roman" w:hAnsi="Times New Roman" w:cs="Times New Roman"/>
          <w:b/>
          <w:sz w:val="28"/>
          <w:szCs w:val="28"/>
        </w:rPr>
        <w:t xml:space="preserve">                                                                                 </w:t>
      </w:r>
      <w:bookmarkStart w:id="8" w:name="_GoBack"/>
      <w:bookmarkEnd w:id="8"/>
      <w:r w:rsidRPr="003C2683">
        <w:rPr>
          <w:rFonts w:ascii="Times New Roman" w:hAnsi="Times New Roman" w:cs="Times New Roman"/>
          <w:b/>
          <w:sz w:val="28"/>
          <w:szCs w:val="28"/>
        </w:rPr>
        <w:t xml:space="preserve">     Світлана ВОРОБЕЙ</w:t>
      </w:r>
    </w:p>
    <w:sectPr w:rsidR="00F349EE" w:rsidRPr="00697D76" w:rsidSect="001B19CB">
      <w:headerReference w:type="default" r:id="rId7"/>
      <w:pgSz w:w="16838" w:h="11906" w:orient="landscape"/>
      <w:pgMar w:top="709" w:right="850" w:bottom="850" w:left="85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F2E" w:rsidRDefault="00F25F2E" w:rsidP="00EC5C3C">
      <w:pPr>
        <w:spacing w:after="0" w:line="240" w:lineRule="auto"/>
      </w:pPr>
      <w:r>
        <w:separator/>
      </w:r>
    </w:p>
  </w:endnote>
  <w:endnote w:type="continuationSeparator" w:id="0">
    <w:p w:rsidR="00F25F2E" w:rsidRDefault="00F25F2E" w:rsidP="00EC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F2E" w:rsidRDefault="00F25F2E" w:rsidP="00EC5C3C">
      <w:pPr>
        <w:spacing w:after="0" w:line="240" w:lineRule="auto"/>
      </w:pPr>
      <w:r>
        <w:separator/>
      </w:r>
    </w:p>
  </w:footnote>
  <w:footnote w:type="continuationSeparator" w:id="0">
    <w:p w:rsidR="00F25F2E" w:rsidRDefault="00F25F2E" w:rsidP="00EC5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038581"/>
      <w:docPartObj>
        <w:docPartGallery w:val="Page Numbers (Top of Page)"/>
        <w:docPartUnique/>
      </w:docPartObj>
    </w:sdtPr>
    <w:sdtEndPr>
      <w:rPr>
        <w:rFonts w:ascii="Times New Roman" w:hAnsi="Times New Roman" w:cs="Times New Roman"/>
      </w:rPr>
    </w:sdtEndPr>
    <w:sdtContent>
      <w:p w:rsidR="00725D5D" w:rsidRPr="007F0A48" w:rsidRDefault="00725D5D">
        <w:pPr>
          <w:pStyle w:val="a6"/>
          <w:jc w:val="center"/>
          <w:rPr>
            <w:rFonts w:ascii="Times New Roman" w:hAnsi="Times New Roman" w:cs="Times New Roman"/>
          </w:rPr>
        </w:pPr>
        <w:r w:rsidRPr="007F0A48">
          <w:rPr>
            <w:rFonts w:ascii="Times New Roman" w:hAnsi="Times New Roman" w:cs="Times New Roman"/>
          </w:rPr>
          <w:fldChar w:fldCharType="begin"/>
        </w:r>
        <w:r w:rsidRPr="007F0A48">
          <w:rPr>
            <w:rFonts w:ascii="Times New Roman" w:hAnsi="Times New Roman" w:cs="Times New Roman"/>
          </w:rPr>
          <w:instrText>PAGE   \* MERGEFORMAT</w:instrText>
        </w:r>
        <w:r w:rsidRPr="007F0A48">
          <w:rPr>
            <w:rFonts w:ascii="Times New Roman" w:hAnsi="Times New Roman" w:cs="Times New Roman"/>
          </w:rPr>
          <w:fldChar w:fldCharType="separate"/>
        </w:r>
        <w:r>
          <w:rPr>
            <w:rFonts w:ascii="Times New Roman" w:hAnsi="Times New Roman" w:cs="Times New Roman"/>
            <w:noProof/>
          </w:rPr>
          <w:t>14</w:t>
        </w:r>
        <w:r w:rsidRPr="007F0A48">
          <w:rPr>
            <w:rFonts w:ascii="Times New Roman" w:hAnsi="Times New Roman" w:cs="Times New Roman"/>
          </w:rPr>
          <w:fldChar w:fldCharType="end"/>
        </w:r>
      </w:p>
    </w:sdtContent>
  </w:sdt>
  <w:p w:rsidR="00725D5D" w:rsidRDefault="00725D5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00"/>
    <w:rsid w:val="000002A9"/>
    <w:rsid w:val="0000086F"/>
    <w:rsid w:val="00001978"/>
    <w:rsid w:val="0000442C"/>
    <w:rsid w:val="0000545B"/>
    <w:rsid w:val="00005AFD"/>
    <w:rsid w:val="00015DB5"/>
    <w:rsid w:val="00020521"/>
    <w:rsid w:val="00023905"/>
    <w:rsid w:val="00030C56"/>
    <w:rsid w:val="00030D0C"/>
    <w:rsid w:val="000314C2"/>
    <w:rsid w:val="000409C2"/>
    <w:rsid w:val="00040AC4"/>
    <w:rsid w:val="00042B4A"/>
    <w:rsid w:val="00043157"/>
    <w:rsid w:val="000529CA"/>
    <w:rsid w:val="00055715"/>
    <w:rsid w:val="0005667E"/>
    <w:rsid w:val="00060077"/>
    <w:rsid w:val="00062666"/>
    <w:rsid w:val="000655D6"/>
    <w:rsid w:val="00066AC9"/>
    <w:rsid w:val="00071F6C"/>
    <w:rsid w:val="00075477"/>
    <w:rsid w:val="00075576"/>
    <w:rsid w:val="00077633"/>
    <w:rsid w:val="00091A41"/>
    <w:rsid w:val="00094A96"/>
    <w:rsid w:val="000961BC"/>
    <w:rsid w:val="00096669"/>
    <w:rsid w:val="0009692C"/>
    <w:rsid w:val="000A0CB0"/>
    <w:rsid w:val="000A3323"/>
    <w:rsid w:val="000A44E0"/>
    <w:rsid w:val="000B2CF8"/>
    <w:rsid w:val="000B46C7"/>
    <w:rsid w:val="000B6167"/>
    <w:rsid w:val="000C5C6D"/>
    <w:rsid w:val="000D1031"/>
    <w:rsid w:val="000D15A9"/>
    <w:rsid w:val="000D2D54"/>
    <w:rsid w:val="000E0F42"/>
    <w:rsid w:val="000F0815"/>
    <w:rsid w:val="000F0D14"/>
    <w:rsid w:val="0010275A"/>
    <w:rsid w:val="0010529F"/>
    <w:rsid w:val="00110BD4"/>
    <w:rsid w:val="00110DE0"/>
    <w:rsid w:val="0012052E"/>
    <w:rsid w:val="00121B11"/>
    <w:rsid w:val="001251A9"/>
    <w:rsid w:val="0012742D"/>
    <w:rsid w:val="00131287"/>
    <w:rsid w:val="001373E5"/>
    <w:rsid w:val="00137674"/>
    <w:rsid w:val="0014287D"/>
    <w:rsid w:val="0015037A"/>
    <w:rsid w:val="00151F30"/>
    <w:rsid w:val="00164D50"/>
    <w:rsid w:val="00165969"/>
    <w:rsid w:val="00167634"/>
    <w:rsid w:val="001809BE"/>
    <w:rsid w:val="0018626A"/>
    <w:rsid w:val="001876AE"/>
    <w:rsid w:val="00196FC7"/>
    <w:rsid w:val="00197355"/>
    <w:rsid w:val="001A64D5"/>
    <w:rsid w:val="001B05C0"/>
    <w:rsid w:val="001B0B03"/>
    <w:rsid w:val="001B19CB"/>
    <w:rsid w:val="001B3180"/>
    <w:rsid w:val="001C12E6"/>
    <w:rsid w:val="001C19EC"/>
    <w:rsid w:val="001C4DC0"/>
    <w:rsid w:val="001C520B"/>
    <w:rsid w:val="001C667A"/>
    <w:rsid w:val="001D0272"/>
    <w:rsid w:val="001D5783"/>
    <w:rsid w:val="001D7200"/>
    <w:rsid w:val="001E1BC2"/>
    <w:rsid w:val="001E63D3"/>
    <w:rsid w:val="001E6AED"/>
    <w:rsid w:val="001F1481"/>
    <w:rsid w:val="001F6ECD"/>
    <w:rsid w:val="001F73A9"/>
    <w:rsid w:val="00202463"/>
    <w:rsid w:val="00202B56"/>
    <w:rsid w:val="00212B57"/>
    <w:rsid w:val="00220656"/>
    <w:rsid w:val="002218EA"/>
    <w:rsid w:val="0022264B"/>
    <w:rsid w:val="0022329E"/>
    <w:rsid w:val="002235BA"/>
    <w:rsid w:val="002245C0"/>
    <w:rsid w:val="0023737D"/>
    <w:rsid w:val="00243875"/>
    <w:rsid w:val="00244BB5"/>
    <w:rsid w:val="00247933"/>
    <w:rsid w:val="002643E1"/>
    <w:rsid w:val="00264693"/>
    <w:rsid w:val="00267C42"/>
    <w:rsid w:val="00270740"/>
    <w:rsid w:val="00271BF9"/>
    <w:rsid w:val="00274935"/>
    <w:rsid w:val="002764CA"/>
    <w:rsid w:val="002810A0"/>
    <w:rsid w:val="002824FA"/>
    <w:rsid w:val="00282E3D"/>
    <w:rsid w:val="00287DD5"/>
    <w:rsid w:val="00294122"/>
    <w:rsid w:val="0029456C"/>
    <w:rsid w:val="00297779"/>
    <w:rsid w:val="002A1B7E"/>
    <w:rsid w:val="002A240F"/>
    <w:rsid w:val="002A44C3"/>
    <w:rsid w:val="002B697D"/>
    <w:rsid w:val="002C1148"/>
    <w:rsid w:val="002C3C31"/>
    <w:rsid w:val="002C5454"/>
    <w:rsid w:val="002C5646"/>
    <w:rsid w:val="002D75DE"/>
    <w:rsid w:val="002E789A"/>
    <w:rsid w:val="002E7B7F"/>
    <w:rsid w:val="003046E9"/>
    <w:rsid w:val="00313742"/>
    <w:rsid w:val="003215E5"/>
    <w:rsid w:val="003276A7"/>
    <w:rsid w:val="00331DFF"/>
    <w:rsid w:val="003322AB"/>
    <w:rsid w:val="003332C5"/>
    <w:rsid w:val="00333331"/>
    <w:rsid w:val="00336E6B"/>
    <w:rsid w:val="00347020"/>
    <w:rsid w:val="00352EBA"/>
    <w:rsid w:val="0035303E"/>
    <w:rsid w:val="00353A26"/>
    <w:rsid w:val="00354EE0"/>
    <w:rsid w:val="00355576"/>
    <w:rsid w:val="003560CE"/>
    <w:rsid w:val="003569DD"/>
    <w:rsid w:val="003575EB"/>
    <w:rsid w:val="0035760B"/>
    <w:rsid w:val="0036070F"/>
    <w:rsid w:val="00363039"/>
    <w:rsid w:val="0036504A"/>
    <w:rsid w:val="00365838"/>
    <w:rsid w:val="00365A77"/>
    <w:rsid w:val="00366B0B"/>
    <w:rsid w:val="00366E6D"/>
    <w:rsid w:val="00381854"/>
    <w:rsid w:val="00382F6D"/>
    <w:rsid w:val="00386F08"/>
    <w:rsid w:val="003870B6"/>
    <w:rsid w:val="003908AD"/>
    <w:rsid w:val="003A137F"/>
    <w:rsid w:val="003B1CF8"/>
    <w:rsid w:val="003B52DD"/>
    <w:rsid w:val="003C0684"/>
    <w:rsid w:val="003C2683"/>
    <w:rsid w:val="003C4E94"/>
    <w:rsid w:val="003C68FB"/>
    <w:rsid w:val="003D07AE"/>
    <w:rsid w:val="003D49C5"/>
    <w:rsid w:val="003D6FB9"/>
    <w:rsid w:val="003E7574"/>
    <w:rsid w:val="003E764A"/>
    <w:rsid w:val="003F5376"/>
    <w:rsid w:val="003F60B5"/>
    <w:rsid w:val="00401B1B"/>
    <w:rsid w:val="004041C1"/>
    <w:rsid w:val="00406E66"/>
    <w:rsid w:val="00406F9C"/>
    <w:rsid w:val="00411EEB"/>
    <w:rsid w:val="004226CA"/>
    <w:rsid w:val="00422850"/>
    <w:rsid w:val="00422F36"/>
    <w:rsid w:val="00423247"/>
    <w:rsid w:val="00426466"/>
    <w:rsid w:val="0043118D"/>
    <w:rsid w:val="004315BE"/>
    <w:rsid w:val="004333DE"/>
    <w:rsid w:val="00435A9D"/>
    <w:rsid w:val="004503D3"/>
    <w:rsid w:val="0045467D"/>
    <w:rsid w:val="00454928"/>
    <w:rsid w:val="0045528E"/>
    <w:rsid w:val="00457359"/>
    <w:rsid w:val="0045772A"/>
    <w:rsid w:val="00457DAC"/>
    <w:rsid w:val="00462B27"/>
    <w:rsid w:val="00477BF6"/>
    <w:rsid w:val="00480CC4"/>
    <w:rsid w:val="00482194"/>
    <w:rsid w:val="004835D5"/>
    <w:rsid w:val="00485026"/>
    <w:rsid w:val="0048519A"/>
    <w:rsid w:val="004909C4"/>
    <w:rsid w:val="00491AE4"/>
    <w:rsid w:val="00492DA7"/>
    <w:rsid w:val="004A033C"/>
    <w:rsid w:val="004A1677"/>
    <w:rsid w:val="004A6AD8"/>
    <w:rsid w:val="004A754C"/>
    <w:rsid w:val="004A771E"/>
    <w:rsid w:val="004B243F"/>
    <w:rsid w:val="004C1C09"/>
    <w:rsid w:val="004C7154"/>
    <w:rsid w:val="004C79BA"/>
    <w:rsid w:val="004D22C4"/>
    <w:rsid w:val="004D543E"/>
    <w:rsid w:val="004D6F06"/>
    <w:rsid w:val="004E09BE"/>
    <w:rsid w:val="004E0DBA"/>
    <w:rsid w:val="004E1B91"/>
    <w:rsid w:val="004F110C"/>
    <w:rsid w:val="004F2FDF"/>
    <w:rsid w:val="004F3F61"/>
    <w:rsid w:val="004F4063"/>
    <w:rsid w:val="004F5BE1"/>
    <w:rsid w:val="004F6956"/>
    <w:rsid w:val="00500876"/>
    <w:rsid w:val="00505F5E"/>
    <w:rsid w:val="00513BB8"/>
    <w:rsid w:val="00514A15"/>
    <w:rsid w:val="00514B3C"/>
    <w:rsid w:val="00520D11"/>
    <w:rsid w:val="00520F52"/>
    <w:rsid w:val="00521CE6"/>
    <w:rsid w:val="0052350D"/>
    <w:rsid w:val="00524685"/>
    <w:rsid w:val="00532709"/>
    <w:rsid w:val="005328D0"/>
    <w:rsid w:val="0053332E"/>
    <w:rsid w:val="00533D2C"/>
    <w:rsid w:val="005352A6"/>
    <w:rsid w:val="00537293"/>
    <w:rsid w:val="00545361"/>
    <w:rsid w:val="00545912"/>
    <w:rsid w:val="00550EE2"/>
    <w:rsid w:val="005534DB"/>
    <w:rsid w:val="00557B4B"/>
    <w:rsid w:val="00557EA2"/>
    <w:rsid w:val="00560D7E"/>
    <w:rsid w:val="005637AB"/>
    <w:rsid w:val="0056440C"/>
    <w:rsid w:val="00566A3D"/>
    <w:rsid w:val="00572CCF"/>
    <w:rsid w:val="0057591A"/>
    <w:rsid w:val="00575CBB"/>
    <w:rsid w:val="00576FCF"/>
    <w:rsid w:val="00580C68"/>
    <w:rsid w:val="0058424B"/>
    <w:rsid w:val="00585AF0"/>
    <w:rsid w:val="00585F31"/>
    <w:rsid w:val="00590510"/>
    <w:rsid w:val="00590EA7"/>
    <w:rsid w:val="00592797"/>
    <w:rsid w:val="00592CFF"/>
    <w:rsid w:val="0059622C"/>
    <w:rsid w:val="005A186A"/>
    <w:rsid w:val="005B78ED"/>
    <w:rsid w:val="005C35AC"/>
    <w:rsid w:val="005C35CF"/>
    <w:rsid w:val="005C4203"/>
    <w:rsid w:val="005C5A07"/>
    <w:rsid w:val="005C7498"/>
    <w:rsid w:val="005D426F"/>
    <w:rsid w:val="005E3C83"/>
    <w:rsid w:val="005F144C"/>
    <w:rsid w:val="005F4C75"/>
    <w:rsid w:val="006049D5"/>
    <w:rsid w:val="006060AF"/>
    <w:rsid w:val="006110AE"/>
    <w:rsid w:val="00611D92"/>
    <w:rsid w:val="00612ED8"/>
    <w:rsid w:val="0061467A"/>
    <w:rsid w:val="00621508"/>
    <w:rsid w:val="00622693"/>
    <w:rsid w:val="00626A66"/>
    <w:rsid w:val="00630294"/>
    <w:rsid w:val="00631632"/>
    <w:rsid w:val="00633931"/>
    <w:rsid w:val="00637414"/>
    <w:rsid w:val="0064369A"/>
    <w:rsid w:val="006471EC"/>
    <w:rsid w:val="006544F9"/>
    <w:rsid w:val="006623E9"/>
    <w:rsid w:val="00666439"/>
    <w:rsid w:val="00667C3D"/>
    <w:rsid w:val="00675BC0"/>
    <w:rsid w:val="00675D2D"/>
    <w:rsid w:val="00680F0E"/>
    <w:rsid w:val="006824EA"/>
    <w:rsid w:val="006828EE"/>
    <w:rsid w:val="00684F87"/>
    <w:rsid w:val="0069556A"/>
    <w:rsid w:val="00697765"/>
    <w:rsid w:val="006A7C9F"/>
    <w:rsid w:val="006B0E1D"/>
    <w:rsid w:val="006B3A00"/>
    <w:rsid w:val="006C0020"/>
    <w:rsid w:val="006C0192"/>
    <w:rsid w:val="006C2559"/>
    <w:rsid w:val="006C4312"/>
    <w:rsid w:val="006C5431"/>
    <w:rsid w:val="006C6EAB"/>
    <w:rsid w:val="006E1F22"/>
    <w:rsid w:val="006E66C9"/>
    <w:rsid w:val="006E7A9C"/>
    <w:rsid w:val="006F3328"/>
    <w:rsid w:val="006F6BC7"/>
    <w:rsid w:val="006F76A6"/>
    <w:rsid w:val="0070053D"/>
    <w:rsid w:val="00702F50"/>
    <w:rsid w:val="007044AC"/>
    <w:rsid w:val="00704930"/>
    <w:rsid w:val="0070587D"/>
    <w:rsid w:val="007123C6"/>
    <w:rsid w:val="0071491B"/>
    <w:rsid w:val="007177E3"/>
    <w:rsid w:val="00720CDA"/>
    <w:rsid w:val="00725621"/>
    <w:rsid w:val="00725D5D"/>
    <w:rsid w:val="007262C9"/>
    <w:rsid w:val="00730778"/>
    <w:rsid w:val="00730F0F"/>
    <w:rsid w:val="00732E4A"/>
    <w:rsid w:val="00741D0A"/>
    <w:rsid w:val="007444C9"/>
    <w:rsid w:val="00750122"/>
    <w:rsid w:val="00757242"/>
    <w:rsid w:val="00762B49"/>
    <w:rsid w:val="007630B7"/>
    <w:rsid w:val="00766FB6"/>
    <w:rsid w:val="00774DBF"/>
    <w:rsid w:val="00775255"/>
    <w:rsid w:val="007779E8"/>
    <w:rsid w:val="00780E69"/>
    <w:rsid w:val="00781B93"/>
    <w:rsid w:val="00783FA5"/>
    <w:rsid w:val="00786506"/>
    <w:rsid w:val="00787F5B"/>
    <w:rsid w:val="007928A0"/>
    <w:rsid w:val="0079507D"/>
    <w:rsid w:val="007A2E8C"/>
    <w:rsid w:val="007A5C10"/>
    <w:rsid w:val="007B31A6"/>
    <w:rsid w:val="007B62B5"/>
    <w:rsid w:val="007D50C1"/>
    <w:rsid w:val="007D5782"/>
    <w:rsid w:val="007D5A10"/>
    <w:rsid w:val="007D6774"/>
    <w:rsid w:val="007D6E90"/>
    <w:rsid w:val="007E0B9F"/>
    <w:rsid w:val="007E0BC0"/>
    <w:rsid w:val="007E4C1A"/>
    <w:rsid w:val="007E5274"/>
    <w:rsid w:val="007F0A48"/>
    <w:rsid w:val="007F62D9"/>
    <w:rsid w:val="00800933"/>
    <w:rsid w:val="00802DF2"/>
    <w:rsid w:val="00803A52"/>
    <w:rsid w:val="00813986"/>
    <w:rsid w:val="00820F84"/>
    <w:rsid w:val="00825203"/>
    <w:rsid w:val="0082589D"/>
    <w:rsid w:val="00825B56"/>
    <w:rsid w:val="00842319"/>
    <w:rsid w:val="00844EFE"/>
    <w:rsid w:val="00845DC1"/>
    <w:rsid w:val="00846906"/>
    <w:rsid w:val="00847D3B"/>
    <w:rsid w:val="0085017B"/>
    <w:rsid w:val="00857C04"/>
    <w:rsid w:val="0086208C"/>
    <w:rsid w:val="00871383"/>
    <w:rsid w:val="00880EBA"/>
    <w:rsid w:val="008868A4"/>
    <w:rsid w:val="0089003D"/>
    <w:rsid w:val="00890937"/>
    <w:rsid w:val="00894DD8"/>
    <w:rsid w:val="00895A48"/>
    <w:rsid w:val="00897094"/>
    <w:rsid w:val="008A112F"/>
    <w:rsid w:val="008A4D00"/>
    <w:rsid w:val="008A7F39"/>
    <w:rsid w:val="008C5632"/>
    <w:rsid w:val="008D0045"/>
    <w:rsid w:val="008D3DF1"/>
    <w:rsid w:val="008D5A22"/>
    <w:rsid w:val="008D64A4"/>
    <w:rsid w:val="008D7B58"/>
    <w:rsid w:val="008E1C04"/>
    <w:rsid w:val="008E5A07"/>
    <w:rsid w:val="008E70F3"/>
    <w:rsid w:val="008F48C1"/>
    <w:rsid w:val="008F51FC"/>
    <w:rsid w:val="008F5207"/>
    <w:rsid w:val="008F57B8"/>
    <w:rsid w:val="008F7368"/>
    <w:rsid w:val="00900A43"/>
    <w:rsid w:val="00904FC2"/>
    <w:rsid w:val="00905FDE"/>
    <w:rsid w:val="00911043"/>
    <w:rsid w:val="00915B92"/>
    <w:rsid w:val="00916042"/>
    <w:rsid w:val="009220AC"/>
    <w:rsid w:val="00924C8E"/>
    <w:rsid w:val="00925B5C"/>
    <w:rsid w:val="00933565"/>
    <w:rsid w:val="00934F4B"/>
    <w:rsid w:val="009360F6"/>
    <w:rsid w:val="00942F7F"/>
    <w:rsid w:val="00944C16"/>
    <w:rsid w:val="00954028"/>
    <w:rsid w:val="00954089"/>
    <w:rsid w:val="00960D4F"/>
    <w:rsid w:val="00961240"/>
    <w:rsid w:val="00961939"/>
    <w:rsid w:val="00966067"/>
    <w:rsid w:val="00971F35"/>
    <w:rsid w:val="00974A18"/>
    <w:rsid w:val="00976BC9"/>
    <w:rsid w:val="0098011D"/>
    <w:rsid w:val="00980F08"/>
    <w:rsid w:val="00983601"/>
    <w:rsid w:val="009900D0"/>
    <w:rsid w:val="009966A0"/>
    <w:rsid w:val="00996EDC"/>
    <w:rsid w:val="00997A44"/>
    <w:rsid w:val="009A24DD"/>
    <w:rsid w:val="009A4B45"/>
    <w:rsid w:val="009A5387"/>
    <w:rsid w:val="009B6579"/>
    <w:rsid w:val="009B734C"/>
    <w:rsid w:val="009C028D"/>
    <w:rsid w:val="009C4534"/>
    <w:rsid w:val="009D0B65"/>
    <w:rsid w:val="009E08DF"/>
    <w:rsid w:val="009E4A3F"/>
    <w:rsid w:val="009E4CBA"/>
    <w:rsid w:val="009E4FD1"/>
    <w:rsid w:val="009E626F"/>
    <w:rsid w:val="009F4248"/>
    <w:rsid w:val="009F489E"/>
    <w:rsid w:val="00A003D3"/>
    <w:rsid w:val="00A01AFF"/>
    <w:rsid w:val="00A069FC"/>
    <w:rsid w:val="00A11A83"/>
    <w:rsid w:val="00A144E6"/>
    <w:rsid w:val="00A162CA"/>
    <w:rsid w:val="00A27ED6"/>
    <w:rsid w:val="00A306DB"/>
    <w:rsid w:val="00A346CF"/>
    <w:rsid w:val="00A3739F"/>
    <w:rsid w:val="00A44DD8"/>
    <w:rsid w:val="00A459F5"/>
    <w:rsid w:val="00A46115"/>
    <w:rsid w:val="00A56770"/>
    <w:rsid w:val="00A61EF7"/>
    <w:rsid w:val="00A65941"/>
    <w:rsid w:val="00A81054"/>
    <w:rsid w:val="00A84CD4"/>
    <w:rsid w:val="00A84E9D"/>
    <w:rsid w:val="00A859E2"/>
    <w:rsid w:val="00A936C0"/>
    <w:rsid w:val="00AA160E"/>
    <w:rsid w:val="00AA3B0B"/>
    <w:rsid w:val="00AA63B0"/>
    <w:rsid w:val="00AB3BBA"/>
    <w:rsid w:val="00AB3C75"/>
    <w:rsid w:val="00AB3F5A"/>
    <w:rsid w:val="00AB468D"/>
    <w:rsid w:val="00AB51A8"/>
    <w:rsid w:val="00AC34C1"/>
    <w:rsid w:val="00AD35FD"/>
    <w:rsid w:val="00AD40C2"/>
    <w:rsid w:val="00AD56EB"/>
    <w:rsid w:val="00AE3AB5"/>
    <w:rsid w:val="00AE6A9B"/>
    <w:rsid w:val="00AE79A8"/>
    <w:rsid w:val="00AF181E"/>
    <w:rsid w:val="00AF2F31"/>
    <w:rsid w:val="00AF4BF8"/>
    <w:rsid w:val="00B07C9F"/>
    <w:rsid w:val="00B10216"/>
    <w:rsid w:val="00B11352"/>
    <w:rsid w:val="00B1236C"/>
    <w:rsid w:val="00B12D5D"/>
    <w:rsid w:val="00B13022"/>
    <w:rsid w:val="00B1318F"/>
    <w:rsid w:val="00B22B56"/>
    <w:rsid w:val="00B31DC9"/>
    <w:rsid w:val="00B460CA"/>
    <w:rsid w:val="00B53EE3"/>
    <w:rsid w:val="00B54FB4"/>
    <w:rsid w:val="00B66F74"/>
    <w:rsid w:val="00B81618"/>
    <w:rsid w:val="00B8240D"/>
    <w:rsid w:val="00B82818"/>
    <w:rsid w:val="00B85010"/>
    <w:rsid w:val="00B9308B"/>
    <w:rsid w:val="00B939E8"/>
    <w:rsid w:val="00B95C8F"/>
    <w:rsid w:val="00B96E08"/>
    <w:rsid w:val="00BB10B3"/>
    <w:rsid w:val="00BB2F12"/>
    <w:rsid w:val="00BB37AA"/>
    <w:rsid w:val="00BC258A"/>
    <w:rsid w:val="00BC41A4"/>
    <w:rsid w:val="00BD2721"/>
    <w:rsid w:val="00BD3B8B"/>
    <w:rsid w:val="00BD453F"/>
    <w:rsid w:val="00BD52A1"/>
    <w:rsid w:val="00BD6C07"/>
    <w:rsid w:val="00BE1BC0"/>
    <w:rsid w:val="00BE291E"/>
    <w:rsid w:val="00BE37C6"/>
    <w:rsid w:val="00BE73DE"/>
    <w:rsid w:val="00BE7676"/>
    <w:rsid w:val="00BE7BD8"/>
    <w:rsid w:val="00BF2674"/>
    <w:rsid w:val="00BF3402"/>
    <w:rsid w:val="00BF3E9D"/>
    <w:rsid w:val="00C001F8"/>
    <w:rsid w:val="00C134FA"/>
    <w:rsid w:val="00C24386"/>
    <w:rsid w:val="00C33560"/>
    <w:rsid w:val="00C36823"/>
    <w:rsid w:val="00C36987"/>
    <w:rsid w:val="00C36D0E"/>
    <w:rsid w:val="00C401C1"/>
    <w:rsid w:val="00C431F2"/>
    <w:rsid w:val="00C454ED"/>
    <w:rsid w:val="00C4636C"/>
    <w:rsid w:val="00C52A20"/>
    <w:rsid w:val="00C53BA9"/>
    <w:rsid w:val="00C55075"/>
    <w:rsid w:val="00C5509F"/>
    <w:rsid w:val="00C561AF"/>
    <w:rsid w:val="00C57047"/>
    <w:rsid w:val="00C72862"/>
    <w:rsid w:val="00C81697"/>
    <w:rsid w:val="00C819D3"/>
    <w:rsid w:val="00C83E5C"/>
    <w:rsid w:val="00C85947"/>
    <w:rsid w:val="00CA477F"/>
    <w:rsid w:val="00CA7FBA"/>
    <w:rsid w:val="00CB7DEE"/>
    <w:rsid w:val="00CC4856"/>
    <w:rsid w:val="00CC4B23"/>
    <w:rsid w:val="00CC4D85"/>
    <w:rsid w:val="00CD38E0"/>
    <w:rsid w:val="00CD4007"/>
    <w:rsid w:val="00CD5C05"/>
    <w:rsid w:val="00CF0B26"/>
    <w:rsid w:val="00CF466D"/>
    <w:rsid w:val="00CF58E9"/>
    <w:rsid w:val="00CF6E05"/>
    <w:rsid w:val="00CF7269"/>
    <w:rsid w:val="00D01546"/>
    <w:rsid w:val="00D01A3D"/>
    <w:rsid w:val="00D0252E"/>
    <w:rsid w:val="00D26732"/>
    <w:rsid w:val="00D302FA"/>
    <w:rsid w:val="00D423AF"/>
    <w:rsid w:val="00D454FD"/>
    <w:rsid w:val="00D46C45"/>
    <w:rsid w:val="00D51FCD"/>
    <w:rsid w:val="00D52001"/>
    <w:rsid w:val="00D52194"/>
    <w:rsid w:val="00D60691"/>
    <w:rsid w:val="00D61B93"/>
    <w:rsid w:val="00D65F08"/>
    <w:rsid w:val="00D66501"/>
    <w:rsid w:val="00D665CA"/>
    <w:rsid w:val="00D7168E"/>
    <w:rsid w:val="00D723FF"/>
    <w:rsid w:val="00D762F7"/>
    <w:rsid w:val="00D81856"/>
    <w:rsid w:val="00D83871"/>
    <w:rsid w:val="00D8626D"/>
    <w:rsid w:val="00D9620B"/>
    <w:rsid w:val="00D9672A"/>
    <w:rsid w:val="00DB03E9"/>
    <w:rsid w:val="00DB3B21"/>
    <w:rsid w:val="00DC139E"/>
    <w:rsid w:val="00DC5C39"/>
    <w:rsid w:val="00DD1A88"/>
    <w:rsid w:val="00DD6785"/>
    <w:rsid w:val="00DE05F9"/>
    <w:rsid w:val="00DE1C37"/>
    <w:rsid w:val="00DE4F9B"/>
    <w:rsid w:val="00DF3884"/>
    <w:rsid w:val="00E00458"/>
    <w:rsid w:val="00E043BC"/>
    <w:rsid w:val="00E05779"/>
    <w:rsid w:val="00E1475B"/>
    <w:rsid w:val="00E16554"/>
    <w:rsid w:val="00E203A6"/>
    <w:rsid w:val="00E22AC1"/>
    <w:rsid w:val="00E24BD8"/>
    <w:rsid w:val="00E25114"/>
    <w:rsid w:val="00E26BD1"/>
    <w:rsid w:val="00E30AC2"/>
    <w:rsid w:val="00E30D99"/>
    <w:rsid w:val="00E327A5"/>
    <w:rsid w:val="00E34A72"/>
    <w:rsid w:val="00E411E4"/>
    <w:rsid w:val="00E43D89"/>
    <w:rsid w:val="00E43F6E"/>
    <w:rsid w:val="00E442DE"/>
    <w:rsid w:val="00E4521D"/>
    <w:rsid w:val="00E60CEE"/>
    <w:rsid w:val="00E63FAC"/>
    <w:rsid w:val="00E653B1"/>
    <w:rsid w:val="00E7086E"/>
    <w:rsid w:val="00E71BFB"/>
    <w:rsid w:val="00E73F33"/>
    <w:rsid w:val="00E74A53"/>
    <w:rsid w:val="00E777B2"/>
    <w:rsid w:val="00E86A1F"/>
    <w:rsid w:val="00E96C9B"/>
    <w:rsid w:val="00E97354"/>
    <w:rsid w:val="00EA5CF9"/>
    <w:rsid w:val="00EB163F"/>
    <w:rsid w:val="00EB5BF4"/>
    <w:rsid w:val="00EC0716"/>
    <w:rsid w:val="00EC1C1B"/>
    <w:rsid w:val="00EC49EA"/>
    <w:rsid w:val="00EC5C3C"/>
    <w:rsid w:val="00EC7DA2"/>
    <w:rsid w:val="00EE3D30"/>
    <w:rsid w:val="00EE4B92"/>
    <w:rsid w:val="00EE4FD9"/>
    <w:rsid w:val="00EE5850"/>
    <w:rsid w:val="00EF1563"/>
    <w:rsid w:val="00EF7B3A"/>
    <w:rsid w:val="00F01BB7"/>
    <w:rsid w:val="00F04264"/>
    <w:rsid w:val="00F0444A"/>
    <w:rsid w:val="00F04DF6"/>
    <w:rsid w:val="00F057BD"/>
    <w:rsid w:val="00F07D89"/>
    <w:rsid w:val="00F11D54"/>
    <w:rsid w:val="00F156AD"/>
    <w:rsid w:val="00F23CB4"/>
    <w:rsid w:val="00F25F2E"/>
    <w:rsid w:val="00F30B11"/>
    <w:rsid w:val="00F33641"/>
    <w:rsid w:val="00F349EE"/>
    <w:rsid w:val="00F3573F"/>
    <w:rsid w:val="00F36CF0"/>
    <w:rsid w:val="00F4177C"/>
    <w:rsid w:val="00F43203"/>
    <w:rsid w:val="00F468E3"/>
    <w:rsid w:val="00F51355"/>
    <w:rsid w:val="00F53E41"/>
    <w:rsid w:val="00F564F9"/>
    <w:rsid w:val="00F661C7"/>
    <w:rsid w:val="00F6775B"/>
    <w:rsid w:val="00F704A2"/>
    <w:rsid w:val="00F70A46"/>
    <w:rsid w:val="00F720ED"/>
    <w:rsid w:val="00F81E43"/>
    <w:rsid w:val="00F919E3"/>
    <w:rsid w:val="00F92E7C"/>
    <w:rsid w:val="00F94410"/>
    <w:rsid w:val="00F95134"/>
    <w:rsid w:val="00FA38AC"/>
    <w:rsid w:val="00FA6918"/>
    <w:rsid w:val="00FB1018"/>
    <w:rsid w:val="00FB488D"/>
    <w:rsid w:val="00FC1AEC"/>
    <w:rsid w:val="00FC2342"/>
    <w:rsid w:val="00FC2621"/>
    <w:rsid w:val="00FC492B"/>
    <w:rsid w:val="00FC4F69"/>
    <w:rsid w:val="00FC51A2"/>
    <w:rsid w:val="00FD2D18"/>
    <w:rsid w:val="00FD4C88"/>
    <w:rsid w:val="00FD753B"/>
    <w:rsid w:val="00FE0BE7"/>
    <w:rsid w:val="00FE1AA8"/>
    <w:rsid w:val="00FF57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CEC8"/>
  <w15:chartTrackingRefBased/>
  <w15:docId w15:val="{B66CAC1A-1AFC-4117-B8C4-751CDC84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4D00"/>
  </w:style>
  <w:style w:type="paragraph" w:styleId="3">
    <w:name w:val="heading 3"/>
    <w:basedOn w:val="a"/>
    <w:link w:val="30"/>
    <w:uiPriority w:val="99"/>
    <w:qFormat/>
    <w:rsid w:val="008E70F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1C12E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EE4B9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EE4B92"/>
    <w:rPr>
      <w:rFonts w:ascii="Segoe UI" w:hAnsi="Segoe UI" w:cs="Segoe UI"/>
      <w:sz w:val="18"/>
      <w:szCs w:val="18"/>
    </w:rPr>
  </w:style>
  <w:style w:type="character" w:customStyle="1" w:styleId="30">
    <w:name w:val="Заголовок 3 Знак"/>
    <w:basedOn w:val="a0"/>
    <w:link w:val="3"/>
    <w:uiPriority w:val="99"/>
    <w:rsid w:val="008E70F3"/>
    <w:rPr>
      <w:rFonts w:ascii="Times New Roman" w:eastAsia="Times New Roman" w:hAnsi="Times New Roman" w:cs="Times New Roman"/>
      <w:b/>
      <w:bCs/>
      <w:sz w:val="27"/>
      <w:szCs w:val="27"/>
      <w:lang w:val="ru-RU" w:eastAsia="ru-RU"/>
    </w:rPr>
  </w:style>
  <w:style w:type="paragraph" w:styleId="a5">
    <w:name w:val="Normal (Web)"/>
    <w:basedOn w:val="a"/>
    <w:rsid w:val="008E70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1">
    <w:name w:val="Table Grid 1"/>
    <w:basedOn w:val="a1"/>
    <w:uiPriority w:val="99"/>
    <w:rsid w:val="008E70F3"/>
    <w:pPr>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6">
    <w:name w:val="header"/>
    <w:basedOn w:val="a"/>
    <w:link w:val="a7"/>
    <w:uiPriority w:val="99"/>
    <w:unhideWhenUsed/>
    <w:rsid w:val="00EC5C3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EC5C3C"/>
  </w:style>
  <w:style w:type="paragraph" w:styleId="a8">
    <w:name w:val="footer"/>
    <w:basedOn w:val="a"/>
    <w:link w:val="a9"/>
    <w:uiPriority w:val="99"/>
    <w:unhideWhenUsed/>
    <w:rsid w:val="00EC5C3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EC5C3C"/>
  </w:style>
  <w:style w:type="table" w:styleId="aa">
    <w:name w:val="Table Grid"/>
    <w:basedOn w:val="a1"/>
    <w:uiPriority w:val="39"/>
    <w:rsid w:val="00741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
    <w:name w:val="tc"/>
    <w:basedOn w:val="a"/>
    <w:rsid w:val="002C54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2C5454"/>
  </w:style>
  <w:style w:type="paragraph" w:customStyle="1" w:styleId="tl">
    <w:name w:val="tl"/>
    <w:basedOn w:val="a"/>
    <w:rsid w:val="002C54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annotation reference"/>
    <w:basedOn w:val="a0"/>
    <w:uiPriority w:val="99"/>
    <w:semiHidden/>
    <w:unhideWhenUsed/>
    <w:rsid w:val="0010529F"/>
    <w:rPr>
      <w:sz w:val="16"/>
      <w:szCs w:val="16"/>
    </w:rPr>
  </w:style>
  <w:style w:type="paragraph" w:styleId="ac">
    <w:name w:val="annotation text"/>
    <w:basedOn w:val="a"/>
    <w:link w:val="ad"/>
    <w:uiPriority w:val="99"/>
    <w:semiHidden/>
    <w:unhideWhenUsed/>
    <w:rsid w:val="0010529F"/>
    <w:pPr>
      <w:spacing w:line="240" w:lineRule="auto"/>
    </w:pPr>
    <w:rPr>
      <w:sz w:val="20"/>
      <w:szCs w:val="20"/>
    </w:rPr>
  </w:style>
  <w:style w:type="character" w:customStyle="1" w:styleId="ad">
    <w:name w:val="Текст примітки Знак"/>
    <w:basedOn w:val="a0"/>
    <w:link w:val="ac"/>
    <w:uiPriority w:val="99"/>
    <w:semiHidden/>
    <w:rsid w:val="0010529F"/>
    <w:rPr>
      <w:sz w:val="20"/>
      <w:szCs w:val="20"/>
    </w:rPr>
  </w:style>
  <w:style w:type="paragraph" w:styleId="ae">
    <w:name w:val="annotation subject"/>
    <w:basedOn w:val="ac"/>
    <w:next w:val="ac"/>
    <w:link w:val="af"/>
    <w:uiPriority w:val="99"/>
    <w:semiHidden/>
    <w:unhideWhenUsed/>
    <w:rsid w:val="0010529F"/>
    <w:rPr>
      <w:b/>
      <w:bCs/>
    </w:rPr>
  </w:style>
  <w:style w:type="character" w:customStyle="1" w:styleId="af">
    <w:name w:val="Тема примітки Знак"/>
    <w:basedOn w:val="ad"/>
    <w:link w:val="ae"/>
    <w:uiPriority w:val="99"/>
    <w:semiHidden/>
    <w:rsid w:val="0010529F"/>
    <w:rPr>
      <w:b/>
      <w:bCs/>
      <w:sz w:val="20"/>
      <w:szCs w:val="20"/>
    </w:rPr>
  </w:style>
  <w:style w:type="character" w:styleId="af0">
    <w:name w:val="Hyperlink"/>
    <w:basedOn w:val="a0"/>
    <w:uiPriority w:val="99"/>
    <w:semiHidden/>
    <w:unhideWhenUsed/>
    <w:rsid w:val="00802DF2"/>
    <w:rPr>
      <w:color w:val="0000FF"/>
      <w:u w:val="single"/>
    </w:rPr>
  </w:style>
  <w:style w:type="paragraph" w:styleId="af1">
    <w:name w:val="Revision"/>
    <w:hidden/>
    <w:uiPriority w:val="99"/>
    <w:semiHidden/>
    <w:rsid w:val="003C0684"/>
    <w:pPr>
      <w:spacing w:after="0" w:line="240" w:lineRule="auto"/>
    </w:pPr>
  </w:style>
  <w:style w:type="paragraph" w:customStyle="1" w:styleId="rvps7">
    <w:name w:val="rvps7"/>
    <w:basedOn w:val="a"/>
    <w:rsid w:val="003C4E9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3C4E94"/>
  </w:style>
  <w:style w:type="paragraph" w:customStyle="1" w:styleId="rvps2">
    <w:name w:val="rvps2"/>
    <w:basedOn w:val="a"/>
    <w:rsid w:val="003C4E9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C5509F"/>
  </w:style>
  <w:style w:type="paragraph" w:customStyle="1" w:styleId="tj">
    <w:name w:val="tj"/>
    <w:basedOn w:val="a"/>
    <w:rsid w:val="007E4C1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3128">
      <w:bodyDiv w:val="1"/>
      <w:marLeft w:val="0"/>
      <w:marRight w:val="0"/>
      <w:marTop w:val="0"/>
      <w:marBottom w:val="0"/>
      <w:divBdr>
        <w:top w:val="none" w:sz="0" w:space="0" w:color="auto"/>
        <w:left w:val="none" w:sz="0" w:space="0" w:color="auto"/>
        <w:bottom w:val="none" w:sz="0" w:space="0" w:color="auto"/>
        <w:right w:val="none" w:sz="0" w:space="0" w:color="auto"/>
      </w:divBdr>
    </w:div>
    <w:div w:id="118384180">
      <w:bodyDiv w:val="1"/>
      <w:marLeft w:val="0"/>
      <w:marRight w:val="0"/>
      <w:marTop w:val="0"/>
      <w:marBottom w:val="0"/>
      <w:divBdr>
        <w:top w:val="none" w:sz="0" w:space="0" w:color="auto"/>
        <w:left w:val="none" w:sz="0" w:space="0" w:color="auto"/>
        <w:bottom w:val="none" w:sz="0" w:space="0" w:color="auto"/>
        <w:right w:val="none" w:sz="0" w:space="0" w:color="auto"/>
      </w:divBdr>
    </w:div>
    <w:div w:id="138304475">
      <w:bodyDiv w:val="1"/>
      <w:marLeft w:val="0"/>
      <w:marRight w:val="0"/>
      <w:marTop w:val="0"/>
      <w:marBottom w:val="0"/>
      <w:divBdr>
        <w:top w:val="none" w:sz="0" w:space="0" w:color="auto"/>
        <w:left w:val="none" w:sz="0" w:space="0" w:color="auto"/>
        <w:bottom w:val="none" w:sz="0" w:space="0" w:color="auto"/>
        <w:right w:val="none" w:sz="0" w:space="0" w:color="auto"/>
      </w:divBdr>
      <w:divsChild>
        <w:div w:id="1327174812">
          <w:marLeft w:val="0"/>
          <w:marRight w:val="0"/>
          <w:marTop w:val="0"/>
          <w:marBottom w:val="0"/>
          <w:divBdr>
            <w:top w:val="none" w:sz="0" w:space="0" w:color="auto"/>
            <w:left w:val="none" w:sz="0" w:space="0" w:color="auto"/>
            <w:bottom w:val="none" w:sz="0" w:space="0" w:color="auto"/>
            <w:right w:val="none" w:sz="0" w:space="0" w:color="auto"/>
          </w:divBdr>
        </w:div>
        <w:div w:id="985090364">
          <w:marLeft w:val="0"/>
          <w:marRight w:val="0"/>
          <w:marTop w:val="0"/>
          <w:marBottom w:val="0"/>
          <w:divBdr>
            <w:top w:val="none" w:sz="0" w:space="0" w:color="auto"/>
            <w:left w:val="none" w:sz="0" w:space="0" w:color="auto"/>
            <w:bottom w:val="none" w:sz="0" w:space="0" w:color="auto"/>
            <w:right w:val="none" w:sz="0" w:space="0" w:color="auto"/>
          </w:divBdr>
        </w:div>
        <w:div w:id="303002716">
          <w:marLeft w:val="0"/>
          <w:marRight w:val="0"/>
          <w:marTop w:val="0"/>
          <w:marBottom w:val="0"/>
          <w:divBdr>
            <w:top w:val="none" w:sz="0" w:space="0" w:color="auto"/>
            <w:left w:val="none" w:sz="0" w:space="0" w:color="auto"/>
            <w:bottom w:val="none" w:sz="0" w:space="0" w:color="auto"/>
            <w:right w:val="none" w:sz="0" w:space="0" w:color="auto"/>
          </w:divBdr>
        </w:div>
        <w:div w:id="272904864">
          <w:marLeft w:val="0"/>
          <w:marRight w:val="0"/>
          <w:marTop w:val="0"/>
          <w:marBottom w:val="0"/>
          <w:divBdr>
            <w:top w:val="none" w:sz="0" w:space="0" w:color="auto"/>
            <w:left w:val="none" w:sz="0" w:space="0" w:color="auto"/>
            <w:bottom w:val="none" w:sz="0" w:space="0" w:color="auto"/>
            <w:right w:val="none" w:sz="0" w:space="0" w:color="auto"/>
          </w:divBdr>
        </w:div>
        <w:div w:id="1203711166">
          <w:marLeft w:val="0"/>
          <w:marRight w:val="0"/>
          <w:marTop w:val="0"/>
          <w:marBottom w:val="0"/>
          <w:divBdr>
            <w:top w:val="none" w:sz="0" w:space="0" w:color="auto"/>
            <w:left w:val="none" w:sz="0" w:space="0" w:color="auto"/>
            <w:bottom w:val="none" w:sz="0" w:space="0" w:color="auto"/>
            <w:right w:val="none" w:sz="0" w:space="0" w:color="auto"/>
          </w:divBdr>
        </w:div>
        <w:div w:id="357048235">
          <w:marLeft w:val="0"/>
          <w:marRight w:val="0"/>
          <w:marTop w:val="0"/>
          <w:marBottom w:val="0"/>
          <w:divBdr>
            <w:top w:val="none" w:sz="0" w:space="0" w:color="auto"/>
            <w:left w:val="none" w:sz="0" w:space="0" w:color="auto"/>
            <w:bottom w:val="none" w:sz="0" w:space="0" w:color="auto"/>
            <w:right w:val="none" w:sz="0" w:space="0" w:color="auto"/>
          </w:divBdr>
        </w:div>
        <w:div w:id="1853298550">
          <w:marLeft w:val="0"/>
          <w:marRight w:val="0"/>
          <w:marTop w:val="0"/>
          <w:marBottom w:val="0"/>
          <w:divBdr>
            <w:top w:val="none" w:sz="0" w:space="0" w:color="auto"/>
            <w:left w:val="none" w:sz="0" w:space="0" w:color="auto"/>
            <w:bottom w:val="none" w:sz="0" w:space="0" w:color="auto"/>
            <w:right w:val="none" w:sz="0" w:space="0" w:color="auto"/>
          </w:divBdr>
        </w:div>
      </w:divsChild>
    </w:div>
    <w:div w:id="356198692">
      <w:bodyDiv w:val="1"/>
      <w:marLeft w:val="0"/>
      <w:marRight w:val="0"/>
      <w:marTop w:val="0"/>
      <w:marBottom w:val="0"/>
      <w:divBdr>
        <w:top w:val="none" w:sz="0" w:space="0" w:color="auto"/>
        <w:left w:val="none" w:sz="0" w:space="0" w:color="auto"/>
        <w:bottom w:val="none" w:sz="0" w:space="0" w:color="auto"/>
        <w:right w:val="none" w:sz="0" w:space="0" w:color="auto"/>
      </w:divBdr>
    </w:div>
    <w:div w:id="591932905">
      <w:bodyDiv w:val="1"/>
      <w:marLeft w:val="0"/>
      <w:marRight w:val="0"/>
      <w:marTop w:val="0"/>
      <w:marBottom w:val="0"/>
      <w:divBdr>
        <w:top w:val="none" w:sz="0" w:space="0" w:color="auto"/>
        <w:left w:val="none" w:sz="0" w:space="0" w:color="auto"/>
        <w:bottom w:val="none" w:sz="0" w:space="0" w:color="auto"/>
        <w:right w:val="none" w:sz="0" w:space="0" w:color="auto"/>
      </w:divBdr>
    </w:div>
    <w:div w:id="737553481">
      <w:bodyDiv w:val="1"/>
      <w:marLeft w:val="0"/>
      <w:marRight w:val="0"/>
      <w:marTop w:val="0"/>
      <w:marBottom w:val="0"/>
      <w:divBdr>
        <w:top w:val="none" w:sz="0" w:space="0" w:color="auto"/>
        <w:left w:val="none" w:sz="0" w:space="0" w:color="auto"/>
        <w:bottom w:val="none" w:sz="0" w:space="0" w:color="auto"/>
        <w:right w:val="none" w:sz="0" w:space="0" w:color="auto"/>
      </w:divBdr>
    </w:div>
    <w:div w:id="752818990">
      <w:bodyDiv w:val="1"/>
      <w:marLeft w:val="0"/>
      <w:marRight w:val="0"/>
      <w:marTop w:val="0"/>
      <w:marBottom w:val="0"/>
      <w:divBdr>
        <w:top w:val="none" w:sz="0" w:space="0" w:color="auto"/>
        <w:left w:val="none" w:sz="0" w:space="0" w:color="auto"/>
        <w:bottom w:val="none" w:sz="0" w:space="0" w:color="auto"/>
        <w:right w:val="none" w:sz="0" w:space="0" w:color="auto"/>
      </w:divBdr>
    </w:div>
    <w:div w:id="811678013">
      <w:bodyDiv w:val="1"/>
      <w:marLeft w:val="0"/>
      <w:marRight w:val="0"/>
      <w:marTop w:val="0"/>
      <w:marBottom w:val="0"/>
      <w:divBdr>
        <w:top w:val="none" w:sz="0" w:space="0" w:color="auto"/>
        <w:left w:val="none" w:sz="0" w:space="0" w:color="auto"/>
        <w:bottom w:val="none" w:sz="0" w:space="0" w:color="auto"/>
        <w:right w:val="none" w:sz="0" w:space="0" w:color="auto"/>
      </w:divBdr>
    </w:div>
    <w:div w:id="1036002242">
      <w:bodyDiv w:val="1"/>
      <w:marLeft w:val="0"/>
      <w:marRight w:val="0"/>
      <w:marTop w:val="0"/>
      <w:marBottom w:val="0"/>
      <w:divBdr>
        <w:top w:val="none" w:sz="0" w:space="0" w:color="auto"/>
        <w:left w:val="none" w:sz="0" w:space="0" w:color="auto"/>
        <w:bottom w:val="none" w:sz="0" w:space="0" w:color="auto"/>
        <w:right w:val="none" w:sz="0" w:space="0" w:color="auto"/>
      </w:divBdr>
      <w:divsChild>
        <w:div w:id="1521771871">
          <w:marLeft w:val="0"/>
          <w:marRight w:val="0"/>
          <w:marTop w:val="0"/>
          <w:marBottom w:val="0"/>
          <w:divBdr>
            <w:top w:val="none" w:sz="0" w:space="0" w:color="auto"/>
            <w:left w:val="none" w:sz="0" w:space="0" w:color="auto"/>
            <w:bottom w:val="none" w:sz="0" w:space="0" w:color="auto"/>
            <w:right w:val="none" w:sz="0" w:space="0" w:color="auto"/>
          </w:divBdr>
        </w:div>
        <w:div w:id="598760362">
          <w:marLeft w:val="0"/>
          <w:marRight w:val="0"/>
          <w:marTop w:val="0"/>
          <w:marBottom w:val="0"/>
          <w:divBdr>
            <w:top w:val="none" w:sz="0" w:space="0" w:color="auto"/>
            <w:left w:val="none" w:sz="0" w:space="0" w:color="auto"/>
            <w:bottom w:val="none" w:sz="0" w:space="0" w:color="auto"/>
            <w:right w:val="none" w:sz="0" w:space="0" w:color="auto"/>
          </w:divBdr>
        </w:div>
      </w:divsChild>
    </w:div>
    <w:div w:id="1055006932">
      <w:bodyDiv w:val="1"/>
      <w:marLeft w:val="0"/>
      <w:marRight w:val="0"/>
      <w:marTop w:val="0"/>
      <w:marBottom w:val="0"/>
      <w:divBdr>
        <w:top w:val="none" w:sz="0" w:space="0" w:color="auto"/>
        <w:left w:val="none" w:sz="0" w:space="0" w:color="auto"/>
        <w:bottom w:val="none" w:sz="0" w:space="0" w:color="auto"/>
        <w:right w:val="none" w:sz="0" w:space="0" w:color="auto"/>
      </w:divBdr>
    </w:div>
    <w:div w:id="1151796941">
      <w:bodyDiv w:val="1"/>
      <w:marLeft w:val="0"/>
      <w:marRight w:val="0"/>
      <w:marTop w:val="0"/>
      <w:marBottom w:val="0"/>
      <w:divBdr>
        <w:top w:val="none" w:sz="0" w:space="0" w:color="auto"/>
        <w:left w:val="none" w:sz="0" w:space="0" w:color="auto"/>
        <w:bottom w:val="none" w:sz="0" w:space="0" w:color="auto"/>
        <w:right w:val="none" w:sz="0" w:space="0" w:color="auto"/>
      </w:divBdr>
      <w:divsChild>
        <w:div w:id="373239353">
          <w:marLeft w:val="0"/>
          <w:marRight w:val="0"/>
          <w:marTop w:val="0"/>
          <w:marBottom w:val="0"/>
          <w:divBdr>
            <w:top w:val="none" w:sz="0" w:space="0" w:color="auto"/>
            <w:left w:val="none" w:sz="0" w:space="0" w:color="auto"/>
            <w:bottom w:val="none" w:sz="0" w:space="0" w:color="auto"/>
            <w:right w:val="none" w:sz="0" w:space="0" w:color="auto"/>
          </w:divBdr>
        </w:div>
        <w:div w:id="1361517676">
          <w:marLeft w:val="0"/>
          <w:marRight w:val="0"/>
          <w:marTop w:val="0"/>
          <w:marBottom w:val="0"/>
          <w:divBdr>
            <w:top w:val="none" w:sz="0" w:space="0" w:color="auto"/>
            <w:left w:val="none" w:sz="0" w:space="0" w:color="auto"/>
            <w:bottom w:val="none" w:sz="0" w:space="0" w:color="auto"/>
            <w:right w:val="none" w:sz="0" w:space="0" w:color="auto"/>
          </w:divBdr>
        </w:div>
        <w:div w:id="1892115247">
          <w:marLeft w:val="0"/>
          <w:marRight w:val="0"/>
          <w:marTop w:val="0"/>
          <w:marBottom w:val="0"/>
          <w:divBdr>
            <w:top w:val="none" w:sz="0" w:space="0" w:color="auto"/>
            <w:left w:val="none" w:sz="0" w:space="0" w:color="auto"/>
            <w:bottom w:val="none" w:sz="0" w:space="0" w:color="auto"/>
            <w:right w:val="none" w:sz="0" w:space="0" w:color="auto"/>
          </w:divBdr>
        </w:div>
        <w:div w:id="970672122">
          <w:marLeft w:val="0"/>
          <w:marRight w:val="0"/>
          <w:marTop w:val="0"/>
          <w:marBottom w:val="0"/>
          <w:divBdr>
            <w:top w:val="none" w:sz="0" w:space="0" w:color="auto"/>
            <w:left w:val="none" w:sz="0" w:space="0" w:color="auto"/>
            <w:bottom w:val="none" w:sz="0" w:space="0" w:color="auto"/>
            <w:right w:val="none" w:sz="0" w:space="0" w:color="auto"/>
          </w:divBdr>
        </w:div>
        <w:div w:id="1841962962">
          <w:marLeft w:val="0"/>
          <w:marRight w:val="0"/>
          <w:marTop w:val="0"/>
          <w:marBottom w:val="0"/>
          <w:divBdr>
            <w:top w:val="none" w:sz="0" w:space="0" w:color="auto"/>
            <w:left w:val="none" w:sz="0" w:space="0" w:color="auto"/>
            <w:bottom w:val="none" w:sz="0" w:space="0" w:color="auto"/>
            <w:right w:val="none" w:sz="0" w:space="0" w:color="auto"/>
          </w:divBdr>
        </w:div>
        <w:div w:id="1191214084">
          <w:marLeft w:val="0"/>
          <w:marRight w:val="0"/>
          <w:marTop w:val="0"/>
          <w:marBottom w:val="0"/>
          <w:divBdr>
            <w:top w:val="none" w:sz="0" w:space="0" w:color="auto"/>
            <w:left w:val="none" w:sz="0" w:space="0" w:color="auto"/>
            <w:bottom w:val="none" w:sz="0" w:space="0" w:color="auto"/>
            <w:right w:val="none" w:sz="0" w:space="0" w:color="auto"/>
          </w:divBdr>
        </w:div>
      </w:divsChild>
    </w:div>
    <w:div w:id="1154489947">
      <w:bodyDiv w:val="1"/>
      <w:marLeft w:val="0"/>
      <w:marRight w:val="0"/>
      <w:marTop w:val="0"/>
      <w:marBottom w:val="0"/>
      <w:divBdr>
        <w:top w:val="none" w:sz="0" w:space="0" w:color="auto"/>
        <w:left w:val="none" w:sz="0" w:space="0" w:color="auto"/>
        <w:bottom w:val="none" w:sz="0" w:space="0" w:color="auto"/>
        <w:right w:val="none" w:sz="0" w:space="0" w:color="auto"/>
      </w:divBdr>
    </w:div>
    <w:div w:id="1377970700">
      <w:bodyDiv w:val="1"/>
      <w:marLeft w:val="0"/>
      <w:marRight w:val="0"/>
      <w:marTop w:val="0"/>
      <w:marBottom w:val="0"/>
      <w:divBdr>
        <w:top w:val="none" w:sz="0" w:space="0" w:color="auto"/>
        <w:left w:val="none" w:sz="0" w:space="0" w:color="auto"/>
        <w:bottom w:val="none" w:sz="0" w:space="0" w:color="auto"/>
        <w:right w:val="none" w:sz="0" w:space="0" w:color="auto"/>
      </w:divBdr>
    </w:div>
    <w:div w:id="1504392310">
      <w:bodyDiv w:val="1"/>
      <w:marLeft w:val="0"/>
      <w:marRight w:val="0"/>
      <w:marTop w:val="0"/>
      <w:marBottom w:val="0"/>
      <w:divBdr>
        <w:top w:val="none" w:sz="0" w:space="0" w:color="auto"/>
        <w:left w:val="none" w:sz="0" w:space="0" w:color="auto"/>
        <w:bottom w:val="none" w:sz="0" w:space="0" w:color="auto"/>
        <w:right w:val="none" w:sz="0" w:space="0" w:color="auto"/>
      </w:divBdr>
    </w:div>
    <w:div w:id="1525557628">
      <w:bodyDiv w:val="1"/>
      <w:marLeft w:val="0"/>
      <w:marRight w:val="0"/>
      <w:marTop w:val="0"/>
      <w:marBottom w:val="0"/>
      <w:divBdr>
        <w:top w:val="none" w:sz="0" w:space="0" w:color="auto"/>
        <w:left w:val="none" w:sz="0" w:space="0" w:color="auto"/>
        <w:bottom w:val="none" w:sz="0" w:space="0" w:color="auto"/>
        <w:right w:val="none" w:sz="0" w:space="0" w:color="auto"/>
      </w:divBdr>
    </w:div>
    <w:div w:id="1564753351">
      <w:bodyDiv w:val="1"/>
      <w:marLeft w:val="0"/>
      <w:marRight w:val="0"/>
      <w:marTop w:val="0"/>
      <w:marBottom w:val="0"/>
      <w:divBdr>
        <w:top w:val="none" w:sz="0" w:space="0" w:color="auto"/>
        <w:left w:val="none" w:sz="0" w:space="0" w:color="auto"/>
        <w:bottom w:val="none" w:sz="0" w:space="0" w:color="auto"/>
        <w:right w:val="none" w:sz="0" w:space="0" w:color="auto"/>
      </w:divBdr>
    </w:div>
    <w:div w:id="1739672600">
      <w:bodyDiv w:val="1"/>
      <w:marLeft w:val="0"/>
      <w:marRight w:val="0"/>
      <w:marTop w:val="0"/>
      <w:marBottom w:val="0"/>
      <w:divBdr>
        <w:top w:val="none" w:sz="0" w:space="0" w:color="auto"/>
        <w:left w:val="none" w:sz="0" w:space="0" w:color="auto"/>
        <w:bottom w:val="none" w:sz="0" w:space="0" w:color="auto"/>
        <w:right w:val="none" w:sz="0" w:space="0" w:color="auto"/>
      </w:divBdr>
    </w:div>
    <w:div w:id="1851336017">
      <w:bodyDiv w:val="1"/>
      <w:marLeft w:val="0"/>
      <w:marRight w:val="0"/>
      <w:marTop w:val="0"/>
      <w:marBottom w:val="0"/>
      <w:divBdr>
        <w:top w:val="none" w:sz="0" w:space="0" w:color="auto"/>
        <w:left w:val="none" w:sz="0" w:space="0" w:color="auto"/>
        <w:bottom w:val="none" w:sz="0" w:space="0" w:color="auto"/>
        <w:right w:val="none" w:sz="0" w:space="0" w:color="auto"/>
      </w:divBdr>
    </w:div>
    <w:div w:id="1903445480">
      <w:bodyDiv w:val="1"/>
      <w:marLeft w:val="0"/>
      <w:marRight w:val="0"/>
      <w:marTop w:val="0"/>
      <w:marBottom w:val="0"/>
      <w:divBdr>
        <w:top w:val="none" w:sz="0" w:space="0" w:color="auto"/>
        <w:left w:val="none" w:sz="0" w:space="0" w:color="auto"/>
        <w:bottom w:val="none" w:sz="0" w:space="0" w:color="auto"/>
        <w:right w:val="none" w:sz="0" w:space="0" w:color="auto"/>
      </w:divBdr>
    </w:div>
    <w:div w:id="2019261060">
      <w:bodyDiv w:val="1"/>
      <w:marLeft w:val="0"/>
      <w:marRight w:val="0"/>
      <w:marTop w:val="0"/>
      <w:marBottom w:val="0"/>
      <w:divBdr>
        <w:top w:val="none" w:sz="0" w:space="0" w:color="auto"/>
        <w:left w:val="none" w:sz="0" w:space="0" w:color="auto"/>
        <w:bottom w:val="none" w:sz="0" w:space="0" w:color="auto"/>
        <w:right w:val="none" w:sz="0" w:space="0" w:color="auto"/>
      </w:divBdr>
    </w:div>
    <w:div w:id="202231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BEC2-91EC-4BE0-AEA8-CF668B71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10711</Words>
  <Characters>6106</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Ministry of Finance of Ukraine</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Іщенко Валентина Сергіївна</dc:creator>
  <cp:keywords/>
  <dc:description/>
  <cp:lastModifiedBy>КОВТУН Олексій Вікторович</cp:lastModifiedBy>
  <cp:revision>4</cp:revision>
  <dcterms:created xsi:type="dcterms:W3CDTF">2025-10-21T14:33:00Z</dcterms:created>
  <dcterms:modified xsi:type="dcterms:W3CDTF">2025-10-22T08:26:00Z</dcterms:modified>
</cp:coreProperties>
</file>