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B4" w:rsidRPr="005F76F2" w:rsidRDefault="007127B4">
      <w:pPr>
        <w:pStyle w:val="a3"/>
        <w:jc w:val="both"/>
        <w:rPr>
          <w:b/>
          <w:sz w:val="28"/>
          <w:szCs w:val="28"/>
          <w:lang w:val="uk-UA"/>
        </w:rPr>
      </w:pPr>
    </w:p>
    <w:tbl>
      <w:tblPr>
        <w:tblW w:w="500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5104"/>
      </w:tblGrid>
      <w:tr w:rsidR="007127B4" w:rsidRPr="005F76F2" w:rsidTr="00275973">
        <w:trPr>
          <w:trHeight w:val="1770"/>
          <w:tblCellSpacing w:w="15" w:type="dxa"/>
        </w:trPr>
        <w:tc>
          <w:tcPr>
            <w:tcW w:w="2368" w:type="pct"/>
            <w:vAlign w:val="center"/>
          </w:tcPr>
          <w:p w:rsidR="007127B4" w:rsidRPr="005F76F2" w:rsidRDefault="007127B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86" w:type="pct"/>
          </w:tcPr>
          <w:p w:rsidR="001200FE" w:rsidRPr="005F76F2" w:rsidRDefault="001200FE" w:rsidP="006B6E33">
            <w:pPr>
              <w:pStyle w:val="a3"/>
              <w:spacing w:before="0" w:beforeAutospacing="0" w:after="0" w:afterAutospacing="0"/>
              <w:ind w:left="391"/>
              <w:jc w:val="both"/>
              <w:rPr>
                <w:sz w:val="28"/>
                <w:szCs w:val="28"/>
                <w:lang w:val="uk-UA"/>
              </w:rPr>
            </w:pPr>
            <w:r w:rsidRPr="005F76F2">
              <w:rPr>
                <w:sz w:val="28"/>
                <w:szCs w:val="28"/>
                <w:lang w:val="uk-UA"/>
              </w:rPr>
              <w:t>ЗАТВЕРДЖЕНО</w:t>
            </w:r>
          </w:p>
          <w:p w:rsidR="00762941" w:rsidRPr="005F76F2" w:rsidRDefault="001200FE" w:rsidP="006B6E33">
            <w:pPr>
              <w:pStyle w:val="a3"/>
              <w:spacing w:before="0" w:beforeAutospacing="0" w:after="0" w:afterAutospacing="0"/>
              <w:ind w:left="391"/>
              <w:jc w:val="both"/>
              <w:rPr>
                <w:sz w:val="28"/>
                <w:szCs w:val="28"/>
                <w:lang w:val="uk-UA"/>
              </w:rPr>
            </w:pPr>
            <w:r w:rsidRPr="005F76F2">
              <w:rPr>
                <w:sz w:val="28"/>
                <w:szCs w:val="28"/>
                <w:lang w:val="uk-UA"/>
              </w:rPr>
              <w:t>Наказ Міністерства фінансів України</w:t>
            </w:r>
          </w:p>
          <w:p w:rsidR="00762941" w:rsidRPr="005F76F2" w:rsidRDefault="00762941" w:rsidP="006B6E33">
            <w:pPr>
              <w:pStyle w:val="a3"/>
              <w:spacing w:before="0" w:beforeAutospacing="0" w:after="0" w:afterAutospacing="0"/>
              <w:ind w:left="391"/>
              <w:jc w:val="both"/>
              <w:rPr>
                <w:sz w:val="28"/>
                <w:szCs w:val="28"/>
                <w:lang w:val="uk-UA"/>
              </w:rPr>
            </w:pPr>
          </w:p>
          <w:p w:rsidR="007127B4" w:rsidRPr="005F76F2" w:rsidRDefault="00B10079" w:rsidP="006C0946">
            <w:pPr>
              <w:pStyle w:val="a3"/>
              <w:spacing w:before="0" w:beforeAutospacing="0" w:after="0" w:afterAutospacing="0"/>
              <w:ind w:left="391"/>
              <w:jc w:val="both"/>
              <w:rPr>
                <w:sz w:val="28"/>
                <w:szCs w:val="28"/>
                <w:lang w:val="uk-UA"/>
              </w:rPr>
            </w:pPr>
            <w:r w:rsidRPr="005F76F2">
              <w:rPr>
                <w:sz w:val="28"/>
                <w:szCs w:val="28"/>
                <w:lang w:val="uk-UA"/>
              </w:rPr>
              <w:t>___________</w:t>
            </w:r>
            <w:r w:rsidR="001200FE" w:rsidRPr="005F76F2">
              <w:rPr>
                <w:sz w:val="28"/>
                <w:szCs w:val="28"/>
                <w:lang w:val="uk-UA"/>
              </w:rPr>
              <w:t>201</w:t>
            </w:r>
            <w:r w:rsidR="006C0946" w:rsidRPr="005F76F2">
              <w:rPr>
                <w:sz w:val="28"/>
                <w:szCs w:val="28"/>
                <w:lang w:val="uk-UA"/>
              </w:rPr>
              <w:t>9</w:t>
            </w:r>
            <w:r w:rsidR="001200FE" w:rsidRPr="005F76F2">
              <w:rPr>
                <w:sz w:val="28"/>
                <w:szCs w:val="28"/>
                <w:lang w:val="uk-UA"/>
              </w:rPr>
              <w:t xml:space="preserve"> року №</w:t>
            </w:r>
            <w:r w:rsidRPr="005F76F2">
              <w:rPr>
                <w:sz w:val="28"/>
                <w:szCs w:val="28"/>
                <w:lang w:val="uk-UA"/>
              </w:rPr>
              <w:t>_________</w:t>
            </w:r>
          </w:p>
        </w:tc>
      </w:tr>
    </w:tbl>
    <w:p w:rsidR="00762941" w:rsidRPr="005F76F2" w:rsidRDefault="00762941" w:rsidP="00B77959">
      <w:pPr>
        <w:pStyle w:val="a3"/>
        <w:jc w:val="center"/>
        <w:rPr>
          <w:b/>
          <w:sz w:val="28"/>
          <w:szCs w:val="28"/>
          <w:lang w:val="uk-UA"/>
        </w:rPr>
      </w:pPr>
    </w:p>
    <w:p w:rsidR="00B10079" w:rsidRPr="005F76F2" w:rsidRDefault="00B10079" w:rsidP="00B77959">
      <w:pPr>
        <w:pStyle w:val="a3"/>
        <w:jc w:val="center"/>
        <w:rPr>
          <w:b/>
          <w:sz w:val="28"/>
          <w:szCs w:val="28"/>
          <w:lang w:val="uk-UA"/>
        </w:rPr>
      </w:pPr>
    </w:p>
    <w:p w:rsidR="00B10079" w:rsidRPr="005F76F2" w:rsidRDefault="00B10079" w:rsidP="00B77959">
      <w:pPr>
        <w:pStyle w:val="a3"/>
        <w:jc w:val="center"/>
        <w:rPr>
          <w:b/>
          <w:sz w:val="28"/>
          <w:szCs w:val="28"/>
          <w:lang w:val="uk-UA"/>
        </w:rPr>
      </w:pPr>
    </w:p>
    <w:p w:rsidR="00B10079" w:rsidRPr="005F76F2" w:rsidRDefault="00B10079" w:rsidP="00B77959">
      <w:pPr>
        <w:pStyle w:val="a3"/>
        <w:jc w:val="center"/>
        <w:rPr>
          <w:b/>
          <w:sz w:val="28"/>
          <w:szCs w:val="28"/>
          <w:lang w:val="uk-UA"/>
        </w:rPr>
      </w:pPr>
    </w:p>
    <w:p w:rsidR="00B10079" w:rsidRPr="005F76F2" w:rsidRDefault="00B10079" w:rsidP="00B77959">
      <w:pPr>
        <w:pStyle w:val="a3"/>
        <w:jc w:val="center"/>
        <w:rPr>
          <w:b/>
          <w:sz w:val="28"/>
          <w:szCs w:val="28"/>
          <w:lang w:val="uk-UA"/>
        </w:rPr>
      </w:pPr>
    </w:p>
    <w:p w:rsidR="00224099" w:rsidRPr="005F76F2" w:rsidRDefault="00BE0004" w:rsidP="00B77959">
      <w:pPr>
        <w:pStyle w:val="a3"/>
        <w:jc w:val="center"/>
        <w:rPr>
          <w:b/>
          <w:sz w:val="28"/>
          <w:szCs w:val="28"/>
          <w:lang w:val="uk-UA"/>
        </w:rPr>
      </w:pPr>
      <w:r w:rsidRPr="005F76F2">
        <w:rPr>
          <w:b/>
          <w:sz w:val="28"/>
          <w:szCs w:val="28"/>
          <w:lang w:val="uk-UA"/>
        </w:rPr>
        <w:t>П</w:t>
      </w:r>
      <w:r w:rsidR="007127B4" w:rsidRPr="005F76F2">
        <w:rPr>
          <w:b/>
          <w:sz w:val="28"/>
          <w:szCs w:val="28"/>
          <w:lang w:val="uk-UA"/>
        </w:rPr>
        <w:t>ОРЯДОК</w:t>
      </w:r>
    </w:p>
    <w:p w:rsidR="00761BCB" w:rsidRPr="005F76F2" w:rsidRDefault="00075304" w:rsidP="00B77959">
      <w:pPr>
        <w:pStyle w:val="a3"/>
        <w:jc w:val="center"/>
        <w:rPr>
          <w:b/>
          <w:sz w:val="28"/>
          <w:szCs w:val="28"/>
          <w:lang w:val="uk-UA"/>
        </w:rPr>
      </w:pPr>
      <w:r w:rsidRPr="005F76F2">
        <w:rPr>
          <w:b/>
          <w:sz w:val="28"/>
          <w:szCs w:val="28"/>
          <w:lang w:val="uk-UA"/>
        </w:rPr>
        <w:t xml:space="preserve">обміну інформацією між Міністерством фінансів України та </w:t>
      </w:r>
      <w:r w:rsidR="00A73E97" w:rsidRPr="005F76F2">
        <w:rPr>
          <w:b/>
          <w:sz w:val="28"/>
          <w:szCs w:val="28"/>
          <w:lang w:val="uk-UA"/>
        </w:rPr>
        <w:t>суб’єктами</w:t>
      </w:r>
      <w:r w:rsidRPr="005F76F2">
        <w:rPr>
          <w:b/>
          <w:sz w:val="28"/>
          <w:szCs w:val="28"/>
          <w:lang w:val="uk-UA"/>
        </w:rPr>
        <w:t xml:space="preserve"> ринку природного газу</w:t>
      </w:r>
    </w:p>
    <w:p w:rsidR="007127B4" w:rsidRPr="005F76F2" w:rsidRDefault="00075304" w:rsidP="00A7145B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 xml:space="preserve">І. Основні положення </w:t>
      </w:r>
    </w:p>
    <w:p w:rsidR="0000778F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 xml:space="preserve">1. Цей Порядок визначає </w:t>
      </w:r>
      <w:r w:rsidRPr="00D75F52">
        <w:rPr>
          <w:sz w:val="28"/>
          <w:szCs w:val="28"/>
          <w:lang w:val="uk-UA"/>
        </w:rPr>
        <w:t xml:space="preserve">механізм обміну інформацією між Міністерством фінансів України та суб’єктами ринку природного газу відповідно до </w:t>
      </w:r>
      <w:r w:rsidR="003E53AA">
        <w:rPr>
          <w:sz w:val="28"/>
          <w:szCs w:val="28"/>
          <w:lang w:val="uk-UA"/>
        </w:rPr>
        <w:t xml:space="preserve">пункту 3 </w:t>
      </w:r>
      <w:r w:rsidRPr="00D75F52">
        <w:rPr>
          <w:sz w:val="28"/>
          <w:szCs w:val="28"/>
          <w:lang w:val="uk-UA"/>
        </w:rPr>
        <w:t xml:space="preserve">постанови Кабінету Міністрів України від </w:t>
      </w:r>
      <w:r w:rsidR="00701771">
        <w:rPr>
          <w:sz w:val="28"/>
          <w:szCs w:val="28"/>
          <w:lang w:val="uk-UA"/>
        </w:rPr>
        <w:t>27</w:t>
      </w:r>
      <w:r w:rsidRPr="00D75F52">
        <w:rPr>
          <w:sz w:val="28"/>
          <w:szCs w:val="28"/>
          <w:lang w:val="uk-UA"/>
        </w:rPr>
        <w:t xml:space="preserve"> </w:t>
      </w:r>
      <w:r w:rsidR="00701771">
        <w:rPr>
          <w:sz w:val="28"/>
          <w:szCs w:val="28"/>
          <w:lang w:val="uk-UA"/>
        </w:rPr>
        <w:t>лютого 2019 року № 143</w:t>
      </w:r>
      <w:r w:rsidR="00D75F52" w:rsidRPr="00D75F52">
        <w:rPr>
          <w:sz w:val="28"/>
          <w:szCs w:val="28"/>
          <w:lang w:val="uk-UA"/>
        </w:rPr>
        <w:t xml:space="preserve"> </w:t>
      </w:r>
      <w:r w:rsidRPr="00D75F52">
        <w:rPr>
          <w:sz w:val="28"/>
          <w:szCs w:val="28"/>
          <w:lang w:val="uk-UA"/>
        </w:rPr>
        <w:t>«</w:t>
      </w:r>
      <w:r w:rsidR="00701771">
        <w:rPr>
          <w:sz w:val="28"/>
          <w:szCs w:val="28"/>
          <w:lang w:val="uk-UA"/>
        </w:rPr>
        <w:t>П</w:t>
      </w:r>
      <w:r w:rsidRPr="005F76F2">
        <w:rPr>
          <w:sz w:val="28"/>
          <w:szCs w:val="28"/>
          <w:lang w:val="uk-UA"/>
        </w:rPr>
        <w:t xml:space="preserve">итання споживання природного газу» (далі – </w:t>
      </w:r>
      <w:r w:rsidR="008C5C73" w:rsidRPr="005F76F2">
        <w:rPr>
          <w:sz w:val="28"/>
          <w:szCs w:val="28"/>
          <w:lang w:val="uk-UA"/>
        </w:rPr>
        <w:t>п</w:t>
      </w:r>
      <w:r w:rsidRPr="005F76F2">
        <w:rPr>
          <w:sz w:val="28"/>
          <w:szCs w:val="28"/>
          <w:lang w:val="uk-UA"/>
        </w:rPr>
        <w:t>останова), набір даних щодо зазначеної інформації, їх структуру та технічні деталі.</w:t>
      </w:r>
    </w:p>
    <w:p w:rsidR="0000778F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2. Терміни в цьому Порядку вживаються у значенн</w:t>
      </w:r>
      <w:r w:rsidR="00A73E97" w:rsidRPr="005F76F2">
        <w:rPr>
          <w:sz w:val="28"/>
          <w:szCs w:val="28"/>
          <w:lang w:val="uk-UA"/>
        </w:rPr>
        <w:t>ях, наведених у Законі України «Про ринок природного газу</w:t>
      </w:r>
      <w:r w:rsidR="003E53AA">
        <w:rPr>
          <w:sz w:val="28"/>
          <w:szCs w:val="28"/>
          <w:lang w:val="uk-UA"/>
        </w:rPr>
        <w:t>».</w:t>
      </w:r>
    </w:p>
    <w:p w:rsidR="0000778F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 xml:space="preserve">3. Суб’єктами інформаційного обміну відповідно до цього Порядку є: </w:t>
      </w:r>
    </w:p>
    <w:p w:rsidR="00D363C9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Міністерство фінансів України;</w:t>
      </w:r>
    </w:p>
    <w:p w:rsidR="00D363C9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оператори газорозподільних систем;</w:t>
      </w:r>
    </w:p>
    <w:p w:rsidR="0000778F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4. Суб’єкти інформаційного обміну є відповідальними за своєчасність, повноту та достовірність наданої інформації у межах компетенції згідно із законодавством.</w:t>
      </w:r>
    </w:p>
    <w:p w:rsidR="00BD0083" w:rsidRPr="005F76F2" w:rsidRDefault="00075304" w:rsidP="00537FCB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ІІ. Вимоги щодо організації обміну інформацією</w:t>
      </w:r>
    </w:p>
    <w:p w:rsidR="00BD0083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 xml:space="preserve">1. Обмін інформацією здійснюється на центральному рівні в електронній формі з використанням кваліфікованого електронного підпису. Кваліфікований </w:t>
      </w:r>
      <w:r w:rsidRPr="005F76F2">
        <w:rPr>
          <w:sz w:val="28"/>
          <w:szCs w:val="28"/>
          <w:lang w:val="uk-UA"/>
        </w:rPr>
        <w:lastRenderedPageBreak/>
        <w:t>електронний підпис використовується для ідентифікації підписувача та підтвердження цілісності даних в електронній формі з до</w:t>
      </w:r>
      <w:r w:rsidR="00A73E97" w:rsidRPr="005F76F2">
        <w:rPr>
          <w:sz w:val="28"/>
          <w:szCs w:val="28"/>
          <w:lang w:val="uk-UA"/>
        </w:rPr>
        <w:t>держанням вимог Закону України «Про електронні довірчі послуги»</w:t>
      </w:r>
      <w:r w:rsidRPr="005F76F2">
        <w:rPr>
          <w:sz w:val="28"/>
          <w:szCs w:val="28"/>
          <w:lang w:val="uk-UA"/>
        </w:rPr>
        <w:t>.</w:t>
      </w:r>
    </w:p>
    <w:p w:rsidR="0069046C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 xml:space="preserve">2. Для забезпечення обміну </w:t>
      </w:r>
      <w:r w:rsidR="005638E0" w:rsidRPr="005F76F2">
        <w:rPr>
          <w:sz w:val="28"/>
          <w:szCs w:val="28"/>
          <w:lang w:val="uk-UA"/>
        </w:rPr>
        <w:t xml:space="preserve">інформацією </w:t>
      </w:r>
      <w:r w:rsidRPr="005F76F2">
        <w:rPr>
          <w:sz w:val="28"/>
          <w:szCs w:val="28"/>
          <w:lang w:val="uk-UA"/>
        </w:rPr>
        <w:t xml:space="preserve">(в тому числі в автоматизованому режимі) між суб’єктами обміну інформації використовується </w:t>
      </w:r>
      <w:proofErr w:type="spellStart"/>
      <w:r w:rsidRPr="005F76F2">
        <w:rPr>
          <w:sz w:val="28"/>
          <w:szCs w:val="28"/>
          <w:lang w:val="uk-UA"/>
        </w:rPr>
        <w:t>web</w:t>
      </w:r>
      <w:proofErr w:type="spellEnd"/>
      <w:r w:rsidRPr="005F76F2">
        <w:rPr>
          <w:sz w:val="28"/>
          <w:szCs w:val="28"/>
          <w:lang w:val="uk-UA"/>
        </w:rPr>
        <w:t xml:space="preserve"> ресурс обміну інформації (далі – </w:t>
      </w:r>
      <w:proofErr w:type="spellStart"/>
      <w:r w:rsidRPr="005F76F2">
        <w:rPr>
          <w:sz w:val="28"/>
          <w:szCs w:val="28"/>
          <w:lang w:val="uk-UA"/>
        </w:rPr>
        <w:t>web</w:t>
      </w:r>
      <w:proofErr w:type="spellEnd"/>
      <w:r w:rsidRPr="005F76F2">
        <w:rPr>
          <w:sz w:val="28"/>
          <w:szCs w:val="28"/>
          <w:lang w:val="uk-UA"/>
        </w:rPr>
        <w:t xml:space="preserve"> ресурс), який доступний за посиланням – </w:t>
      </w:r>
      <w:hyperlink r:id="rId8" w:history="1">
        <w:r w:rsidRPr="005F76F2">
          <w:rPr>
            <w:sz w:val="28"/>
            <w:szCs w:val="28"/>
            <w:lang w:val="uk-UA"/>
          </w:rPr>
          <w:t>https://box.minfin.gov.ua</w:t>
        </w:r>
      </w:hyperlink>
      <w:r w:rsidRPr="005F76F2">
        <w:rPr>
          <w:sz w:val="28"/>
          <w:szCs w:val="28"/>
          <w:lang w:val="uk-UA"/>
        </w:rPr>
        <w:t xml:space="preserve">. </w:t>
      </w:r>
    </w:p>
    <w:p w:rsidR="00A73E97" w:rsidRPr="005F76F2" w:rsidRDefault="00777631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 xml:space="preserve">Міністерство фінансів України надає доступ до </w:t>
      </w:r>
      <w:proofErr w:type="spellStart"/>
      <w:r w:rsidRPr="005F76F2">
        <w:rPr>
          <w:sz w:val="28"/>
          <w:szCs w:val="28"/>
          <w:lang w:val="uk-UA"/>
        </w:rPr>
        <w:t>web</w:t>
      </w:r>
      <w:proofErr w:type="spellEnd"/>
      <w:r w:rsidRPr="005F76F2">
        <w:rPr>
          <w:sz w:val="28"/>
          <w:szCs w:val="28"/>
          <w:lang w:val="uk-UA"/>
        </w:rPr>
        <w:t xml:space="preserve"> ресурсу на підставі листів суб’єктів інформаційного обміну, що надсилаються до Міністерства фінансів України</w:t>
      </w:r>
      <w:r w:rsidR="00A73E97" w:rsidRPr="005F76F2">
        <w:rPr>
          <w:sz w:val="28"/>
          <w:szCs w:val="28"/>
          <w:lang w:val="uk-UA"/>
        </w:rPr>
        <w:t>,</w:t>
      </w:r>
      <w:r w:rsidRPr="005F76F2">
        <w:rPr>
          <w:sz w:val="28"/>
          <w:szCs w:val="28"/>
          <w:lang w:val="uk-UA"/>
        </w:rPr>
        <w:t xml:space="preserve"> </w:t>
      </w:r>
      <w:r w:rsidR="003C1F36" w:rsidRPr="005F76F2">
        <w:rPr>
          <w:sz w:val="28"/>
          <w:szCs w:val="28"/>
          <w:lang w:val="uk-UA"/>
        </w:rPr>
        <w:t>в яких зазначається</w:t>
      </w:r>
      <w:r w:rsidRPr="005F76F2">
        <w:rPr>
          <w:sz w:val="28"/>
          <w:szCs w:val="28"/>
          <w:lang w:val="uk-UA"/>
        </w:rPr>
        <w:t xml:space="preserve">: </w:t>
      </w:r>
    </w:p>
    <w:p w:rsidR="001E5653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 xml:space="preserve">1) </w:t>
      </w:r>
      <w:r w:rsidR="005638E0" w:rsidRPr="005F76F2">
        <w:rPr>
          <w:sz w:val="28"/>
          <w:szCs w:val="28"/>
          <w:lang w:val="uk-UA"/>
        </w:rPr>
        <w:t>посадова особа</w:t>
      </w:r>
      <w:r w:rsidRPr="005F76F2">
        <w:rPr>
          <w:sz w:val="28"/>
          <w:szCs w:val="28"/>
          <w:lang w:val="uk-UA"/>
        </w:rPr>
        <w:t>, яка відповідає за обмін інформацією (уповноважена особа);</w:t>
      </w:r>
    </w:p>
    <w:p w:rsidR="001E5653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2) контактний номер телефону уповноваженої особи;</w:t>
      </w:r>
    </w:p>
    <w:p w:rsidR="001E5653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3) адрес</w:t>
      </w:r>
      <w:r w:rsidR="00A73E97" w:rsidRPr="005F76F2">
        <w:rPr>
          <w:sz w:val="28"/>
          <w:szCs w:val="28"/>
          <w:lang w:val="uk-UA"/>
        </w:rPr>
        <w:t>а</w:t>
      </w:r>
      <w:r w:rsidRPr="005F76F2">
        <w:rPr>
          <w:sz w:val="28"/>
          <w:szCs w:val="28"/>
          <w:lang w:val="uk-UA"/>
        </w:rPr>
        <w:t xml:space="preserve"> офіційної (робочої) електронної пошти уповноваженої особи;</w:t>
      </w:r>
    </w:p>
    <w:p w:rsidR="001E5653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4) IP адреса(и), з якої(</w:t>
      </w:r>
      <w:proofErr w:type="spellStart"/>
      <w:r w:rsidRPr="005F76F2">
        <w:rPr>
          <w:sz w:val="28"/>
          <w:szCs w:val="28"/>
          <w:lang w:val="uk-UA"/>
        </w:rPr>
        <w:t>их</w:t>
      </w:r>
      <w:proofErr w:type="spellEnd"/>
      <w:r w:rsidRPr="005F76F2">
        <w:rPr>
          <w:sz w:val="28"/>
          <w:szCs w:val="28"/>
          <w:lang w:val="uk-UA"/>
        </w:rPr>
        <w:t xml:space="preserve">) буде виконуватись обмін інформацією </w:t>
      </w:r>
      <w:r w:rsidRPr="005F76F2">
        <w:rPr>
          <w:sz w:val="28"/>
          <w:szCs w:val="28"/>
          <w:lang w:val="uk-UA"/>
        </w:rPr>
        <w:br/>
        <w:t>(не дозволяється зазначення більше 10 IP адрес);</w:t>
      </w:r>
    </w:p>
    <w:p w:rsidR="001E5653" w:rsidRPr="005F76F2" w:rsidRDefault="00075304" w:rsidP="00537FCB">
      <w:pPr>
        <w:pStyle w:val="a3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5) посилання на кваліфікований сертифікат відкритого ключа уповноваженої особи суб’єкта обміну інформацією.</w:t>
      </w:r>
    </w:p>
    <w:p w:rsidR="001E5653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 xml:space="preserve">Міністерство фінансів України на </w:t>
      </w:r>
      <w:r w:rsidR="003E53AA">
        <w:rPr>
          <w:sz w:val="28"/>
          <w:szCs w:val="28"/>
          <w:lang w:val="uk-UA"/>
        </w:rPr>
        <w:t>адресу електронної пошти</w:t>
      </w:r>
      <w:r w:rsidRPr="005F76F2">
        <w:rPr>
          <w:sz w:val="28"/>
          <w:szCs w:val="28"/>
          <w:lang w:val="uk-UA"/>
        </w:rPr>
        <w:t xml:space="preserve">, вказану у листі суб’єкта інформаційного обміну, надсилає електронного листа </w:t>
      </w:r>
      <w:r w:rsidR="00A73E97" w:rsidRPr="005F76F2">
        <w:rPr>
          <w:sz w:val="28"/>
          <w:szCs w:val="28"/>
          <w:lang w:val="uk-UA"/>
        </w:rPr>
        <w:t>і</w:t>
      </w:r>
      <w:r w:rsidRPr="005F76F2">
        <w:rPr>
          <w:sz w:val="28"/>
          <w:szCs w:val="28"/>
          <w:lang w:val="uk-UA"/>
        </w:rPr>
        <w:t xml:space="preserve">з зашифрованим вкладенням, що містить </w:t>
      </w:r>
      <w:proofErr w:type="spellStart"/>
      <w:r w:rsidRPr="005F76F2">
        <w:rPr>
          <w:sz w:val="28"/>
          <w:szCs w:val="28"/>
          <w:lang w:val="uk-UA"/>
        </w:rPr>
        <w:t>авторизаційні</w:t>
      </w:r>
      <w:proofErr w:type="spellEnd"/>
      <w:r w:rsidRPr="005F76F2">
        <w:rPr>
          <w:sz w:val="28"/>
          <w:szCs w:val="28"/>
          <w:lang w:val="uk-UA"/>
        </w:rPr>
        <w:t xml:space="preserve"> дані для доступу до </w:t>
      </w:r>
      <w:proofErr w:type="spellStart"/>
      <w:r w:rsidRPr="005F76F2">
        <w:rPr>
          <w:sz w:val="28"/>
          <w:szCs w:val="28"/>
          <w:lang w:val="uk-UA"/>
        </w:rPr>
        <w:t>web</w:t>
      </w:r>
      <w:proofErr w:type="spellEnd"/>
      <w:r w:rsidRPr="005F76F2">
        <w:rPr>
          <w:sz w:val="28"/>
          <w:szCs w:val="28"/>
          <w:lang w:val="uk-UA"/>
        </w:rPr>
        <w:t xml:space="preserve"> ресурсу. Для шифрування вкладення використовується кваліфікований сертифікат відкритого ключа уповноваженої особи суб’єкта інформаційного обміну, відповідальної за обмін інформацією.</w:t>
      </w:r>
    </w:p>
    <w:p w:rsidR="00777631" w:rsidRPr="005F76F2" w:rsidRDefault="00777631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 xml:space="preserve">З </w:t>
      </w:r>
      <w:r w:rsidR="006E1AF6" w:rsidRPr="005F76F2">
        <w:rPr>
          <w:sz w:val="28"/>
          <w:szCs w:val="28"/>
          <w:lang w:val="uk-UA"/>
        </w:rPr>
        <w:t xml:space="preserve">метою забезпечення автентичності, достовірності та цілісності інформації, що міститься в електронних файлах, які передаються до Міністерства фінансів України згідно з цим Порядком, такі документи підписуються </w:t>
      </w:r>
      <w:r w:rsidR="00DB6B5A" w:rsidRPr="005F76F2">
        <w:rPr>
          <w:sz w:val="28"/>
          <w:szCs w:val="28"/>
          <w:lang w:val="uk-UA"/>
        </w:rPr>
        <w:t>кваліфікованим</w:t>
      </w:r>
      <w:r w:rsidR="009F5D7A" w:rsidRPr="005F76F2">
        <w:rPr>
          <w:sz w:val="28"/>
          <w:szCs w:val="28"/>
          <w:lang w:val="uk-UA"/>
        </w:rPr>
        <w:t xml:space="preserve"> електронним</w:t>
      </w:r>
      <w:r w:rsidR="006E1AF6" w:rsidRPr="005F76F2">
        <w:rPr>
          <w:sz w:val="28"/>
          <w:szCs w:val="28"/>
          <w:lang w:val="uk-UA"/>
        </w:rPr>
        <w:t xml:space="preserve"> підписом уповноважених осіб.</w:t>
      </w:r>
    </w:p>
    <w:p w:rsidR="001E5653" w:rsidRPr="005F76F2" w:rsidRDefault="006E1AF6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Задля</w:t>
      </w:r>
      <w:r w:rsidR="00075304" w:rsidRPr="005F76F2">
        <w:rPr>
          <w:sz w:val="28"/>
          <w:szCs w:val="28"/>
          <w:lang w:val="uk-UA"/>
        </w:rPr>
        <w:t xml:space="preserve"> запобігання </w:t>
      </w:r>
      <w:r w:rsidR="00A73E97" w:rsidRPr="005F76F2">
        <w:rPr>
          <w:sz w:val="28"/>
          <w:szCs w:val="28"/>
          <w:lang w:val="uk-UA"/>
        </w:rPr>
        <w:t xml:space="preserve">незаконному доступу інформація </w:t>
      </w:r>
      <w:r w:rsidR="00075304" w:rsidRPr="005F76F2">
        <w:rPr>
          <w:sz w:val="28"/>
          <w:szCs w:val="28"/>
          <w:lang w:val="uk-UA"/>
        </w:rPr>
        <w:t xml:space="preserve">передається в зашифрованому вигляді із використанням технологічного кваліфікованого </w:t>
      </w:r>
      <w:r w:rsidR="00075304" w:rsidRPr="005F76F2">
        <w:rPr>
          <w:sz w:val="28"/>
          <w:szCs w:val="28"/>
          <w:lang w:val="uk-UA"/>
        </w:rPr>
        <w:lastRenderedPageBreak/>
        <w:t>сертифіката відкритого ключа Міністерства фінансів України, який розмі</w:t>
      </w:r>
      <w:r w:rsidR="00A73E97" w:rsidRPr="005F76F2">
        <w:rPr>
          <w:sz w:val="28"/>
          <w:szCs w:val="28"/>
          <w:lang w:val="uk-UA"/>
        </w:rPr>
        <w:t xml:space="preserve">щено на </w:t>
      </w:r>
      <w:proofErr w:type="spellStart"/>
      <w:r w:rsidR="00A73E97" w:rsidRPr="005F76F2">
        <w:rPr>
          <w:sz w:val="28"/>
          <w:szCs w:val="28"/>
          <w:lang w:val="uk-UA"/>
        </w:rPr>
        <w:t>web</w:t>
      </w:r>
      <w:proofErr w:type="spellEnd"/>
      <w:r w:rsidR="00A73E97" w:rsidRPr="005F76F2">
        <w:rPr>
          <w:sz w:val="28"/>
          <w:szCs w:val="28"/>
          <w:lang w:val="uk-UA"/>
        </w:rPr>
        <w:t xml:space="preserve"> ресурсі у каталозі «</w:t>
      </w:r>
      <w:proofErr w:type="spellStart"/>
      <w:r w:rsidR="00A73E97" w:rsidRPr="005F76F2">
        <w:rPr>
          <w:sz w:val="28"/>
          <w:szCs w:val="28"/>
          <w:lang w:val="uk-UA"/>
        </w:rPr>
        <w:t>PublicKey</w:t>
      </w:r>
      <w:proofErr w:type="spellEnd"/>
      <w:r w:rsidR="00A73E97" w:rsidRPr="005F76F2">
        <w:rPr>
          <w:sz w:val="28"/>
          <w:szCs w:val="28"/>
          <w:lang w:val="uk-UA"/>
        </w:rPr>
        <w:t>»</w:t>
      </w:r>
      <w:r w:rsidR="00075304" w:rsidRPr="005F76F2">
        <w:rPr>
          <w:sz w:val="28"/>
          <w:szCs w:val="28"/>
          <w:lang w:val="uk-UA"/>
        </w:rPr>
        <w:t>.</w:t>
      </w:r>
    </w:p>
    <w:p w:rsidR="001E5653" w:rsidRPr="005F76F2" w:rsidRDefault="006E1AF6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Д</w:t>
      </w:r>
      <w:r w:rsidR="00075304" w:rsidRPr="005F76F2">
        <w:rPr>
          <w:sz w:val="28"/>
          <w:szCs w:val="28"/>
          <w:lang w:val="uk-UA"/>
        </w:rPr>
        <w:t>ля накладання кваліфікованого електронного підпису та шифрування даних використовують</w:t>
      </w:r>
      <w:r w:rsidRPr="005F76F2">
        <w:rPr>
          <w:sz w:val="28"/>
          <w:szCs w:val="28"/>
          <w:lang w:val="uk-UA"/>
        </w:rPr>
        <w:t>ся</w:t>
      </w:r>
      <w:r w:rsidR="00075304" w:rsidRPr="005F76F2">
        <w:rPr>
          <w:sz w:val="28"/>
          <w:szCs w:val="28"/>
          <w:lang w:val="uk-UA"/>
        </w:rPr>
        <w:t xml:space="preserve"> засоби кваліфікованого електронного підпису.</w:t>
      </w:r>
    </w:p>
    <w:p w:rsidR="001E5653" w:rsidRPr="005F76F2" w:rsidRDefault="006E1AF6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П</w:t>
      </w:r>
      <w:r w:rsidR="00075304" w:rsidRPr="005F76F2">
        <w:rPr>
          <w:sz w:val="28"/>
          <w:szCs w:val="28"/>
          <w:lang w:val="uk-UA"/>
        </w:rPr>
        <w:t xml:space="preserve">ідписані та зашифровані файли </w:t>
      </w:r>
      <w:r w:rsidRPr="005F76F2">
        <w:rPr>
          <w:sz w:val="28"/>
          <w:szCs w:val="28"/>
          <w:lang w:val="uk-UA"/>
        </w:rPr>
        <w:t xml:space="preserve">розміщуються </w:t>
      </w:r>
      <w:r w:rsidR="00A73E97" w:rsidRPr="005F76F2">
        <w:rPr>
          <w:sz w:val="28"/>
          <w:szCs w:val="28"/>
          <w:lang w:val="uk-UA"/>
        </w:rPr>
        <w:t>у вхідному каталозі «</w:t>
      </w:r>
      <w:r w:rsidR="00075304" w:rsidRPr="005F76F2">
        <w:rPr>
          <w:sz w:val="28"/>
          <w:szCs w:val="28"/>
          <w:lang w:val="uk-UA"/>
        </w:rPr>
        <w:t>IN</w:t>
      </w:r>
      <w:r w:rsidR="00A73E97" w:rsidRPr="005F76F2">
        <w:rPr>
          <w:sz w:val="28"/>
          <w:szCs w:val="28"/>
          <w:lang w:val="uk-UA"/>
        </w:rPr>
        <w:t>»</w:t>
      </w:r>
      <w:r w:rsidR="00075304" w:rsidRPr="005F76F2">
        <w:rPr>
          <w:sz w:val="28"/>
          <w:szCs w:val="28"/>
          <w:lang w:val="uk-UA"/>
        </w:rPr>
        <w:t xml:space="preserve"> </w:t>
      </w:r>
      <w:proofErr w:type="spellStart"/>
      <w:r w:rsidR="00075304" w:rsidRPr="005F76F2">
        <w:rPr>
          <w:sz w:val="28"/>
          <w:szCs w:val="28"/>
          <w:lang w:val="uk-UA"/>
        </w:rPr>
        <w:t>web</w:t>
      </w:r>
      <w:proofErr w:type="spellEnd"/>
      <w:r w:rsidR="00075304" w:rsidRPr="005F76F2">
        <w:rPr>
          <w:sz w:val="28"/>
          <w:szCs w:val="28"/>
          <w:lang w:val="uk-UA"/>
        </w:rPr>
        <w:t xml:space="preserve"> ресурсу. Після обробк</w:t>
      </w:r>
      <w:r w:rsidR="00A73E97" w:rsidRPr="005F76F2">
        <w:rPr>
          <w:sz w:val="28"/>
          <w:szCs w:val="28"/>
          <w:lang w:val="uk-UA"/>
        </w:rPr>
        <w:t>и файл переміщується в каталог «</w:t>
      </w:r>
      <w:proofErr w:type="spellStart"/>
      <w:r w:rsidR="00A73E97" w:rsidRPr="005F76F2">
        <w:rPr>
          <w:sz w:val="28"/>
          <w:szCs w:val="28"/>
          <w:lang w:val="uk-UA"/>
        </w:rPr>
        <w:t>Arc</w:t>
      </w:r>
      <w:proofErr w:type="spellEnd"/>
      <w:r w:rsidR="00A73E97" w:rsidRPr="005F76F2">
        <w:rPr>
          <w:sz w:val="28"/>
          <w:szCs w:val="28"/>
          <w:lang w:val="uk-UA"/>
        </w:rPr>
        <w:t>»</w:t>
      </w:r>
      <w:r w:rsidR="00075304" w:rsidRPr="005F76F2">
        <w:rPr>
          <w:sz w:val="28"/>
          <w:szCs w:val="28"/>
          <w:lang w:val="uk-UA"/>
        </w:rPr>
        <w:t xml:space="preserve"> </w:t>
      </w:r>
      <w:proofErr w:type="spellStart"/>
      <w:r w:rsidR="00075304" w:rsidRPr="005F76F2">
        <w:rPr>
          <w:sz w:val="28"/>
          <w:szCs w:val="28"/>
          <w:lang w:val="uk-UA"/>
        </w:rPr>
        <w:t>web</w:t>
      </w:r>
      <w:proofErr w:type="spellEnd"/>
      <w:r w:rsidR="00075304" w:rsidRPr="005F76F2">
        <w:rPr>
          <w:sz w:val="28"/>
          <w:szCs w:val="28"/>
          <w:lang w:val="uk-UA"/>
        </w:rPr>
        <w:t xml:space="preserve"> ресурсу.</w:t>
      </w:r>
    </w:p>
    <w:p w:rsidR="001E5653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Для підвищення</w:t>
      </w:r>
      <w:r w:rsidR="00A73E97" w:rsidRPr="005F76F2">
        <w:rPr>
          <w:sz w:val="28"/>
          <w:szCs w:val="28"/>
          <w:lang w:val="uk-UA"/>
        </w:rPr>
        <w:t xml:space="preserve"> безпеки доступу до </w:t>
      </w:r>
      <w:proofErr w:type="spellStart"/>
      <w:r w:rsidR="00A73E97" w:rsidRPr="005F76F2">
        <w:rPr>
          <w:sz w:val="28"/>
          <w:szCs w:val="28"/>
          <w:lang w:val="uk-UA"/>
        </w:rPr>
        <w:t>web</w:t>
      </w:r>
      <w:proofErr w:type="spellEnd"/>
      <w:r w:rsidR="00A73E97" w:rsidRPr="005F76F2">
        <w:rPr>
          <w:sz w:val="28"/>
          <w:szCs w:val="28"/>
          <w:lang w:val="uk-UA"/>
        </w:rPr>
        <w:t xml:space="preserve"> ресурсу</w:t>
      </w:r>
      <w:r w:rsidRPr="005F76F2">
        <w:rPr>
          <w:sz w:val="28"/>
          <w:szCs w:val="28"/>
          <w:lang w:val="uk-UA"/>
        </w:rPr>
        <w:t xml:space="preserve"> уповноважені особи суб’єктів інформаційного обміну можуть включити додатково автентифікацію за допомогою другого </w:t>
      </w:r>
      <w:proofErr w:type="spellStart"/>
      <w:r w:rsidRPr="005F76F2">
        <w:rPr>
          <w:sz w:val="28"/>
          <w:szCs w:val="28"/>
          <w:lang w:val="uk-UA"/>
        </w:rPr>
        <w:t>фактор</w:t>
      </w:r>
      <w:r w:rsidR="00A73E97" w:rsidRPr="005F76F2">
        <w:rPr>
          <w:sz w:val="28"/>
          <w:szCs w:val="28"/>
          <w:lang w:val="uk-UA"/>
        </w:rPr>
        <w:t>а</w:t>
      </w:r>
      <w:proofErr w:type="spellEnd"/>
      <w:r w:rsidRPr="005F76F2">
        <w:rPr>
          <w:sz w:val="28"/>
          <w:szCs w:val="28"/>
          <w:lang w:val="uk-UA"/>
        </w:rPr>
        <w:t xml:space="preserve"> TOTP (</w:t>
      </w:r>
      <w:proofErr w:type="spellStart"/>
      <w:r w:rsidRPr="005F76F2">
        <w:rPr>
          <w:sz w:val="28"/>
          <w:szCs w:val="28"/>
          <w:lang w:val="uk-UA"/>
        </w:rPr>
        <w:t>Time-based</w:t>
      </w:r>
      <w:proofErr w:type="spellEnd"/>
      <w:r w:rsidRPr="005F76F2">
        <w:rPr>
          <w:sz w:val="28"/>
          <w:szCs w:val="28"/>
          <w:lang w:val="uk-UA"/>
        </w:rPr>
        <w:t xml:space="preserve"> </w:t>
      </w:r>
      <w:proofErr w:type="spellStart"/>
      <w:r w:rsidRPr="005F76F2">
        <w:rPr>
          <w:sz w:val="28"/>
          <w:szCs w:val="28"/>
          <w:lang w:val="uk-UA"/>
        </w:rPr>
        <w:t>One-Time</w:t>
      </w:r>
      <w:proofErr w:type="spellEnd"/>
      <w:r w:rsidRPr="005F76F2">
        <w:rPr>
          <w:sz w:val="28"/>
          <w:szCs w:val="28"/>
          <w:lang w:val="uk-UA"/>
        </w:rPr>
        <w:t xml:space="preserve"> </w:t>
      </w:r>
      <w:proofErr w:type="spellStart"/>
      <w:r w:rsidRPr="005F76F2">
        <w:rPr>
          <w:sz w:val="28"/>
          <w:szCs w:val="28"/>
          <w:lang w:val="uk-UA"/>
        </w:rPr>
        <w:t>Password</w:t>
      </w:r>
      <w:proofErr w:type="spellEnd"/>
      <w:r w:rsidRPr="005F76F2">
        <w:rPr>
          <w:sz w:val="28"/>
          <w:szCs w:val="28"/>
          <w:lang w:val="uk-UA"/>
        </w:rPr>
        <w:t>).</w:t>
      </w:r>
    </w:p>
    <w:p w:rsidR="00BD0083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 xml:space="preserve">У разі виникнення питань щодо роботи з системою уповноважені особи суб’єктів інформаційного обміну можуть надіслати питання на електронну адресу: </w:t>
      </w:r>
      <w:hyperlink r:id="rId9" w:history="1">
        <w:r w:rsidRPr="005F76F2">
          <w:rPr>
            <w:sz w:val="28"/>
            <w:szCs w:val="28"/>
            <w:lang w:val="uk-UA"/>
          </w:rPr>
          <w:t>support@minfin.gov.ua</w:t>
        </w:r>
      </w:hyperlink>
      <w:r w:rsidRPr="005F76F2">
        <w:rPr>
          <w:sz w:val="28"/>
          <w:szCs w:val="28"/>
          <w:lang w:val="uk-UA"/>
        </w:rPr>
        <w:t>.</w:t>
      </w:r>
    </w:p>
    <w:p w:rsidR="009176AA" w:rsidRPr="005F76F2" w:rsidRDefault="00075304" w:rsidP="00537FCB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ІІІ. Інформація, що підлягає передачі</w:t>
      </w:r>
    </w:p>
    <w:p w:rsidR="00BD0083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 xml:space="preserve">1. </w:t>
      </w:r>
      <w:r w:rsidR="006E1AF6" w:rsidRPr="005F76F2">
        <w:rPr>
          <w:sz w:val="28"/>
          <w:szCs w:val="28"/>
          <w:lang w:val="uk-UA"/>
        </w:rPr>
        <w:t xml:space="preserve">До 15 числа місяця, що передує місяцю постачання </w:t>
      </w:r>
      <w:r w:rsidR="003C1F36" w:rsidRPr="005F76F2">
        <w:rPr>
          <w:sz w:val="28"/>
          <w:szCs w:val="28"/>
          <w:lang w:val="uk-UA"/>
        </w:rPr>
        <w:t>суб’єктами, визначеними</w:t>
      </w:r>
      <w:r w:rsidR="006E1AF6" w:rsidRPr="005F76F2">
        <w:rPr>
          <w:sz w:val="28"/>
          <w:szCs w:val="28"/>
          <w:lang w:val="uk-UA"/>
        </w:rPr>
        <w:t xml:space="preserve"> в </w:t>
      </w:r>
      <w:r w:rsidR="003C1F36" w:rsidRPr="005F76F2">
        <w:rPr>
          <w:sz w:val="28"/>
          <w:szCs w:val="28"/>
          <w:lang w:val="uk-UA"/>
        </w:rPr>
        <w:t xml:space="preserve">пункті 3 </w:t>
      </w:r>
      <w:r w:rsidR="008C5C73" w:rsidRPr="005F76F2">
        <w:rPr>
          <w:sz w:val="28"/>
          <w:szCs w:val="28"/>
          <w:lang w:val="uk-UA"/>
        </w:rPr>
        <w:t>п</w:t>
      </w:r>
      <w:r w:rsidR="003C1F36" w:rsidRPr="005F76F2">
        <w:rPr>
          <w:sz w:val="28"/>
          <w:szCs w:val="28"/>
          <w:lang w:val="uk-UA"/>
        </w:rPr>
        <w:t>останов</w:t>
      </w:r>
      <w:r w:rsidR="00C72EF9" w:rsidRPr="005F76F2">
        <w:rPr>
          <w:sz w:val="28"/>
          <w:szCs w:val="28"/>
          <w:lang w:val="uk-UA"/>
        </w:rPr>
        <w:t>и</w:t>
      </w:r>
      <w:r w:rsidR="003C1F36" w:rsidRPr="005F76F2">
        <w:rPr>
          <w:sz w:val="28"/>
          <w:szCs w:val="28"/>
          <w:lang w:val="uk-UA"/>
        </w:rPr>
        <w:t>,</w:t>
      </w:r>
      <w:r w:rsidR="006E1AF6" w:rsidRPr="005F76F2">
        <w:rPr>
          <w:sz w:val="28"/>
          <w:szCs w:val="28"/>
          <w:lang w:val="uk-UA"/>
        </w:rPr>
        <w:t xml:space="preserve"> </w:t>
      </w:r>
      <w:r w:rsidRPr="005F76F2">
        <w:rPr>
          <w:sz w:val="28"/>
          <w:szCs w:val="28"/>
          <w:lang w:val="uk-UA"/>
        </w:rPr>
        <w:t>пода</w:t>
      </w:r>
      <w:r w:rsidR="003C1F36" w:rsidRPr="005F76F2">
        <w:rPr>
          <w:sz w:val="28"/>
          <w:szCs w:val="28"/>
          <w:lang w:val="uk-UA"/>
        </w:rPr>
        <w:t>ється</w:t>
      </w:r>
      <w:r w:rsidRPr="005F76F2">
        <w:rPr>
          <w:sz w:val="28"/>
          <w:szCs w:val="28"/>
          <w:lang w:val="uk-UA"/>
        </w:rPr>
        <w:t xml:space="preserve"> </w:t>
      </w:r>
      <w:r w:rsidR="003C1F36" w:rsidRPr="005F76F2">
        <w:rPr>
          <w:sz w:val="28"/>
          <w:szCs w:val="28"/>
          <w:lang w:val="uk-UA"/>
        </w:rPr>
        <w:t xml:space="preserve">до </w:t>
      </w:r>
      <w:r w:rsidRPr="005F76F2">
        <w:rPr>
          <w:sz w:val="28"/>
          <w:szCs w:val="28"/>
          <w:lang w:val="uk-UA"/>
        </w:rPr>
        <w:t>Мін</w:t>
      </w:r>
      <w:r w:rsidR="00537FCB" w:rsidRPr="005F76F2">
        <w:rPr>
          <w:sz w:val="28"/>
          <w:szCs w:val="28"/>
          <w:lang w:val="uk-UA"/>
        </w:rPr>
        <w:t>істерства фінансів України</w:t>
      </w:r>
      <w:r w:rsidRPr="005F76F2">
        <w:rPr>
          <w:sz w:val="28"/>
          <w:szCs w:val="28"/>
          <w:lang w:val="uk-UA"/>
        </w:rPr>
        <w:t xml:space="preserve">, </w:t>
      </w:r>
      <w:r w:rsidR="003C1F36" w:rsidRPr="005F76F2">
        <w:rPr>
          <w:sz w:val="28"/>
          <w:szCs w:val="28"/>
          <w:lang w:val="uk-UA"/>
        </w:rPr>
        <w:t xml:space="preserve">така </w:t>
      </w:r>
      <w:r w:rsidRPr="005F76F2">
        <w:rPr>
          <w:sz w:val="28"/>
          <w:szCs w:val="28"/>
          <w:lang w:val="uk-UA"/>
        </w:rPr>
        <w:t>інформаці</w:t>
      </w:r>
      <w:r w:rsidR="003C1F36" w:rsidRPr="005F76F2">
        <w:rPr>
          <w:sz w:val="28"/>
          <w:szCs w:val="28"/>
          <w:lang w:val="uk-UA"/>
        </w:rPr>
        <w:t>я</w:t>
      </w:r>
      <w:r w:rsidRPr="005F76F2">
        <w:rPr>
          <w:sz w:val="28"/>
          <w:szCs w:val="28"/>
          <w:lang w:val="uk-UA"/>
        </w:rPr>
        <w:t>:</w:t>
      </w:r>
    </w:p>
    <w:p w:rsidR="00BD0083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поштов</w:t>
      </w:r>
      <w:r w:rsidR="00537FCB" w:rsidRPr="005F76F2">
        <w:rPr>
          <w:sz w:val="28"/>
          <w:szCs w:val="28"/>
          <w:lang w:val="uk-UA"/>
        </w:rPr>
        <w:t>а</w:t>
      </w:r>
      <w:r w:rsidRPr="005F76F2">
        <w:rPr>
          <w:sz w:val="28"/>
          <w:szCs w:val="28"/>
          <w:lang w:val="uk-UA"/>
        </w:rPr>
        <w:t xml:space="preserve"> адрес</w:t>
      </w:r>
      <w:r w:rsidR="00537FCB" w:rsidRPr="005F76F2">
        <w:rPr>
          <w:sz w:val="28"/>
          <w:szCs w:val="28"/>
          <w:lang w:val="uk-UA"/>
        </w:rPr>
        <w:t>а</w:t>
      </w:r>
      <w:r w:rsidRPr="005F76F2">
        <w:rPr>
          <w:sz w:val="28"/>
          <w:szCs w:val="28"/>
          <w:lang w:val="uk-UA"/>
        </w:rPr>
        <w:t xml:space="preserve"> об’єкта </w:t>
      </w:r>
      <w:proofErr w:type="spellStart"/>
      <w:r w:rsidRPr="005F76F2">
        <w:rPr>
          <w:sz w:val="28"/>
          <w:szCs w:val="28"/>
          <w:lang w:val="uk-UA"/>
        </w:rPr>
        <w:t>газовикористання</w:t>
      </w:r>
      <w:proofErr w:type="spellEnd"/>
      <w:r w:rsidRPr="005F76F2">
        <w:rPr>
          <w:sz w:val="28"/>
          <w:szCs w:val="28"/>
          <w:lang w:val="uk-UA"/>
        </w:rPr>
        <w:t>;</w:t>
      </w:r>
    </w:p>
    <w:p w:rsidR="00BD0083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дат</w:t>
      </w:r>
      <w:r w:rsidR="00537FCB" w:rsidRPr="005F76F2">
        <w:rPr>
          <w:sz w:val="28"/>
          <w:szCs w:val="28"/>
          <w:lang w:val="uk-UA"/>
        </w:rPr>
        <w:t>а</w:t>
      </w:r>
      <w:r w:rsidRPr="005F76F2">
        <w:rPr>
          <w:sz w:val="28"/>
          <w:szCs w:val="28"/>
          <w:lang w:val="uk-UA"/>
        </w:rPr>
        <w:t xml:space="preserve"> договору розподілу природного газу, укладеного з побутовим споживачем;</w:t>
      </w:r>
    </w:p>
    <w:p w:rsidR="00EA2854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номер договору розподілу природного газу, укладеного з побутовим споживачем;</w:t>
      </w:r>
    </w:p>
    <w:p w:rsidR="00913E2F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персональн</w:t>
      </w:r>
      <w:r w:rsidR="00537FCB" w:rsidRPr="005F76F2">
        <w:rPr>
          <w:sz w:val="28"/>
          <w:szCs w:val="28"/>
          <w:lang w:val="uk-UA"/>
        </w:rPr>
        <w:t>ий код</w:t>
      </w:r>
      <w:r w:rsidRPr="005F76F2">
        <w:rPr>
          <w:sz w:val="28"/>
          <w:szCs w:val="28"/>
          <w:lang w:val="uk-UA"/>
        </w:rPr>
        <w:t xml:space="preserve"> ідентифікації споживача як суб’єкта ринку природного газу або його точк</w:t>
      </w:r>
      <w:r w:rsidR="0029101E" w:rsidRPr="005F76F2">
        <w:rPr>
          <w:sz w:val="28"/>
          <w:szCs w:val="28"/>
          <w:lang w:val="uk-UA"/>
        </w:rPr>
        <w:t>и комерційного обліку (EIC-код).</w:t>
      </w:r>
    </w:p>
    <w:p w:rsidR="0029101E" w:rsidRPr="005F76F2" w:rsidRDefault="0029101E" w:rsidP="0029101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>Специфікацію набора даних наведено у додатку до цього Порядку.</w:t>
      </w:r>
    </w:p>
    <w:p w:rsidR="0029101E" w:rsidRPr="005F76F2" w:rsidRDefault="0029101E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304F44" w:rsidRPr="005F76F2" w:rsidRDefault="00075304" w:rsidP="00537F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 xml:space="preserve">2. Інформація, що отримується </w:t>
      </w:r>
      <w:r w:rsidR="00537FCB" w:rsidRPr="005F76F2">
        <w:rPr>
          <w:sz w:val="28"/>
          <w:szCs w:val="28"/>
          <w:lang w:val="uk-UA"/>
        </w:rPr>
        <w:t>Міністерством фінансів України</w:t>
      </w:r>
      <w:r w:rsidRPr="005F76F2">
        <w:rPr>
          <w:sz w:val="28"/>
          <w:szCs w:val="28"/>
          <w:lang w:val="uk-UA"/>
        </w:rPr>
        <w:t xml:space="preserve"> відповідно до цього Порядку, подається у вигляді файлів та вноситься до сховища аналітичних даних. Файли повинні бути сформовані у форматі </w:t>
      </w:r>
      <w:proofErr w:type="spellStart"/>
      <w:r w:rsidRPr="005F76F2">
        <w:rPr>
          <w:sz w:val="28"/>
          <w:szCs w:val="28"/>
          <w:lang w:val="uk-UA"/>
        </w:rPr>
        <w:t>xBase</w:t>
      </w:r>
      <w:proofErr w:type="spellEnd"/>
      <w:r w:rsidRPr="005F76F2">
        <w:rPr>
          <w:sz w:val="28"/>
          <w:szCs w:val="28"/>
          <w:lang w:val="uk-UA"/>
        </w:rPr>
        <w:t xml:space="preserve"> (DBF). Один файл має містити не більше одного мільйону записів. У випадках коли кількість </w:t>
      </w:r>
      <w:r w:rsidR="00537FCB" w:rsidRPr="005F76F2">
        <w:rPr>
          <w:sz w:val="28"/>
          <w:szCs w:val="28"/>
          <w:lang w:val="uk-UA"/>
        </w:rPr>
        <w:t xml:space="preserve">записів перевищую один мільйон, </w:t>
      </w:r>
      <w:r w:rsidRPr="005F76F2">
        <w:rPr>
          <w:sz w:val="28"/>
          <w:szCs w:val="28"/>
          <w:lang w:val="uk-UA"/>
        </w:rPr>
        <w:t xml:space="preserve"> записи</w:t>
      </w:r>
      <w:r w:rsidR="00537FCB" w:rsidRPr="005F76F2">
        <w:rPr>
          <w:sz w:val="28"/>
          <w:szCs w:val="28"/>
          <w:lang w:val="uk-UA"/>
        </w:rPr>
        <w:t>,</w:t>
      </w:r>
      <w:r w:rsidRPr="005F76F2">
        <w:rPr>
          <w:sz w:val="28"/>
          <w:szCs w:val="28"/>
          <w:lang w:val="uk-UA"/>
        </w:rPr>
        <w:t xml:space="preserve"> які перевищили цю кількість</w:t>
      </w:r>
      <w:r w:rsidR="00537FCB" w:rsidRPr="005F76F2">
        <w:rPr>
          <w:sz w:val="28"/>
          <w:szCs w:val="28"/>
          <w:lang w:val="uk-UA"/>
        </w:rPr>
        <w:t>,</w:t>
      </w:r>
      <w:r w:rsidRPr="005F76F2">
        <w:rPr>
          <w:sz w:val="28"/>
          <w:szCs w:val="28"/>
          <w:lang w:val="uk-UA"/>
        </w:rPr>
        <w:t xml:space="preserve"> </w:t>
      </w:r>
      <w:r w:rsidRPr="005F76F2">
        <w:rPr>
          <w:sz w:val="28"/>
          <w:szCs w:val="28"/>
          <w:lang w:val="uk-UA"/>
        </w:rPr>
        <w:lastRenderedPageBreak/>
        <w:t>формуються в окремий файл тієї ж структури за наступним порядковим номером. Файли повинні бути сформовані у кодуванні – Windows-1251;</w:t>
      </w:r>
    </w:p>
    <w:p w:rsidR="00537FCB" w:rsidRPr="005F76F2" w:rsidRDefault="00075304">
      <w:pPr>
        <w:spacing w:line="360" w:lineRule="auto"/>
        <w:ind w:firstLine="720"/>
        <w:rPr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 xml:space="preserve">Загальна структура найменування </w:t>
      </w:r>
      <w:proofErr w:type="spellStart"/>
      <w:r w:rsidRPr="005F76F2">
        <w:rPr>
          <w:sz w:val="28"/>
          <w:szCs w:val="28"/>
          <w:lang w:val="uk-UA"/>
        </w:rPr>
        <w:t>файл</w:t>
      </w:r>
      <w:r w:rsidR="00537FCB" w:rsidRPr="005F76F2">
        <w:rPr>
          <w:sz w:val="28"/>
          <w:szCs w:val="28"/>
          <w:lang w:val="uk-UA"/>
        </w:rPr>
        <w:t>а</w:t>
      </w:r>
      <w:proofErr w:type="spellEnd"/>
      <w:r w:rsidRPr="005F76F2">
        <w:rPr>
          <w:sz w:val="28"/>
          <w:szCs w:val="28"/>
          <w:lang w:val="uk-UA"/>
        </w:rPr>
        <w:t xml:space="preserve"> має </w:t>
      </w:r>
      <w:r w:rsidR="00537FCB" w:rsidRPr="005F76F2">
        <w:rPr>
          <w:sz w:val="28"/>
          <w:szCs w:val="28"/>
          <w:lang w:val="uk-UA"/>
        </w:rPr>
        <w:t xml:space="preserve">такий </w:t>
      </w:r>
      <w:r w:rsidRPr="005F76F2">
        <w:rPr>
          <w:sz w:val="28"/>
          <w:szCs w:val="28"/>
          <w:lang w:val="uk-UA"/>
        </w:rPr>
        <w:t>вигляд</w:t>
      </w:r>
      <w:r w:rsidR="00537FCB" w:rsidRPr="005F76F2">
        <w:rPr>
          <w:sz w:val="28"/>
          <w:szCs w:val="28"/>
          <w:lang w:val="uk-UA"/>
        </w:rPr>
        <w:t>:</w:t>
      </w:r>
    </w:p>
    <w:p w:rsidR="00304F44" w:rsidRPr="005F76F2" w:rsidRDefault="00075304">
      <w:pPr>
        <w:spacing w:line="360" w:lineRule="auto"/>
        <w:ind w:firstLine="720"/>
        <w:rPr>
          <w:sz w:val="28"/>
          <w:szCs w:val="28"/>
          <w:lang w:val="uk-UA"/>
        </w:rPr>
      </w:pPr>
      <w:proofErr w:type="spellStart"/>
      <w:r w:rsidRPr="005F76F2">
        <w:rPr>
          <w:b/>
          <w:sz w:val="28"/>
          <w:szCs w:val="28"/>
          <w:lang w:val="uk-UA"/>
        </w:rPr>
        <w:t>EEEEEEEE_YYYYMMDD_TO_NN.dbf</w:t>
      </w:r>
      <w:proofErr w:type="spellEnd"/>
      <w:r w:rsidRPr="005F76F2">
        <w:rPr>
          <w:sz w:val="28"/>
          <w:szCs w:val="28"/>
          <w:lang w:val="uk-UA"/>
        </w:rPr>
        <w:t>, де:</w:t>
      </w:r>
    </w:p>
    <w:p w:rsidR="00304F44" w:rsidRPr="005F76F2" w:rsidRDefault="00075304" w:rsidP="00537FCB">
      <w:pPr>
        <w:pStyle w:val="a9"/>
        <w:suppressAutoHyphens w:val="0"/>
        <w:spacing w:after="16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5F76F2">
        <w:rPr>
          <w:rFonts w:ascii="Times New Roman" w:hAnsi="Times New Roman"/>
          <w:b/>
          <w:sz w:val="28"/>
          <w:szCs w:val="28"/>
          <w:lang w:val="uk-UA"/>
        </w:rPr>
        <w:t xml:space="preserve">EEEEEEEE </w:t>
      </w:r>
      <w:r w:rsidRPr="005F76F2">
        <w:rPr>
          <w:rFonts w:ascii="Times New Roman" w:hAnsi="Times New Roman"/>
          <w:sz w:val="28"/>
          <w:szCs w:val="28"/>
          <w:lang w:val="uk-UA"/>
        </w:rPr>
        <w:t xml:space="preserve">– код за </w:t>
      </w:r>
      <w:r w:rsidR="005638E0" w:rsidRPr="005F76F2">
        <w:rPr>
          <w:rFonts w:ascii="Times New Roman" w:hAnsi="Times New Roman"/>
          <w:sz w:val="28"/>
          <w:szCs w:val="28"/>
          <w:lang w:val="uk-UA"/>
        </w:rPr>
        <w:t xml:space="preserve">ЄДРПОУ </w:t>
      </w:r>
      <w:r w:rsidRPr="005F76F2">
        <w:rPr>
          <w:rFonts w:ascii="Times New Roman" w:hAnsi="Times New Roman"/>
          <w:sz w:val="28"/>
          <w:szCs w:val="28"/>
          <w:lang w:val="uk-UA"/>
        </w:rPr>
        <w:t>компанії</w:t>
      </w:r>
      <w:r w:rsidR="00537FCB" w:rsidRPr="005F76F2">
        <w:rPr>
          <w:rFonts w:ascii="Times New Roman" w:hAnsi="Times New Roman"/>
          <w:sz w:val="28"/>
          <w:szCs w:val="28"/>
          <w:lang w:val="uk-UA"/>
        </w:rPr>
        <w:t>,</w:t>
      </w:r>
      <w:r w:rsidRPr="005F76F2">
        <w:rPr>
          <w:rFonts w:ascii="Times New Roman" w:hAnsi="Times New Roman"/>
          <w:sz w:val="28"/>
          <w:szCs w:val="28"/>
          <w:lang w:val="uk-UA"/>
        </w:rPr>
        <w:t xml:space="preserve"> яка надає інформацію;</w:t>
      </w:r>
    </w:p>
    <w:p w:rsidR="00304F44" w:rsidRPr="005F76F2" w:rsidRDefault="00075304" w:rsidP="00537FCB">
      <w:pPr>
        <w:pStyle w:val="a9"/>
        <w:suppressAutoHyphens w:val="0"/>
        <w:spacing w:after="16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76F2">
        <w:rPr>
          <w:rFonts w:ascii="Times New Roman" w:hAnsi="Times New Roman"/>
          <w:b/>
          <w:sz w:val="28"/>
          <w:szCs w:val="28"/>
          <w:lang w:val="uk-UA"/>
        </w:rPr>
        <w:t xml:space="preserve">YYYYMMDD </w:t>
      </w:r>
      <w:r w:rsidRPr="005F76F2">
        <w:rPr>
          <w:rFonts w:ascii="Times New Roman" w:hAnsi="Times New Roman"/>
          <w:sz w:val="28"/>
          <w:szCs w:val="28"/>
          <w:lang w:val="uk-UA"/>
        </w:rPr>
        <w:t>–</w:t>
      </w:r>
      <w:r w:rsidRPr="005F76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76F2">
        <w:rPr>
          <w:rFonts w:ascii="Times New Roman" w:hAnsi="Times New Roman"/>
          <w:sz w:val="28"/>
          <w:szCs w:val="28"/>
          <w:lang w:val="uk-UA"/>
        </w:rPr>
        <w:t>дата</w:t>
      </w:r>
      <w:r w:rsidR="00537FCB" w:rsidRPr="005F76F2">
        <w:rPr>
          <w:rFonts w:ascii="Times New Roman" w:hAnsi="Times New Roman"/>
          <w:sz w:val="28"/>
          <w:szCs w:val="28"/>
          <w:lang w:val="uk-UA"/>
        </w:rPr>
        <w:t>,</w:t>
      </w:r>
      <w:r w:rsidRPr="005F76F2">
        <w:rPr>
          <w:rFonts w:ascii="Times New Roman" w:hAnsi="Times New Roman"/>
          <w:sz w:val="28"/>
          <w:szCs w:val="28"/>
          <w:lang w:val="uk-UA"/>
        </w:rPr>
        <w:t xml:space="preserve"> за яку п</w:t>
      </w:r>
      <w:r w:rsidR="00537FCB" w:rsidRPr="005F76F2">
        <w:rPr>
          <w:rFonts w:ascii="Times New Roman" w:hAnsi="Times New Roman"/>
          <w:sz w:val="28"/>
          <w:szCs w:val="28"/>
          <w:lang w:val="uk-UA"/>
        </w:rPr>
        <w:t xml:space="preserve">одається інформація у вигляді </w:t>
      </w:r>
      <w:proofErr w:type="spellStart"/>
      <w:r w:rsidRPr="005F76F2">
        <w:rPr>
          <w:rFonts w:ascii="Times New Roman" w:hAnsi="Times New Roman"/>
          <w:sz w:val="28"/>
          <w:szCs w:val="28"/>
          <w:lang w:val="uk-UA"/>
        </w:rPr>
        <w:t>Рікмісяцьдень</w:t>
      </w:r>
      <w:proofErr w:type="spellEnd"/>
      <w:r w:rsidRPr="005F76F2">
        <w:rPr>
          <w:rFonts w:ascii="Times New Roman" w:hAnsi="Times New Roman"/>
          <w:sz w:val="28"/>
          <w:szCs w:val="28"/>
          <w:lang w:val="uk-UA"/>
        </w:rPr>
        <w:t>(20181024);</w:t>
      </w:r>
    </w:p>
    <w:p w:rsidR="00304F44" w:rsidRPr="005F76F2" w:rsidRDefault="00075304" w:rsidP="00537FCB">
      <w:pPr>
        <w:pStyle w:val="a9"/>
        <w:suppressAutoHyphens w:val="0"/>
        <w:spacing w:after="16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5F76F2">
        <w:rPr>
          <w:rFonts w:ascii="Times New Roman" w:hAnsi="Times New Roman"/>
          <w:b/>
          <w:sz w:val="28"/>
          <w:szCs w:val="28"/>
          <w:lang w:val="uk-UA"/>
        </w:rPr>
        <w:t xml:space="preserve">T </w:t>
      </w:r>
      <w:r w:rsidRPr="005F76F2">
        <w:rPr>
          <w:rFonts w:ascii="Times New Roman" w:hAnsi="Times New Roman"/>
          <w:sz w:val="28"/>
          <w:szCs w:val="28"/>
          <w:lang w:val="uk-UA"/>
        </w:rPr>
        <w:t>–</w:t>
      </w:r>
      <w:r w:rsidRPr="005F76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76F2">
        <w:rPr>
          <w:rFonts w:ascii="Times New Roman" w:hAnsi="Times New Roman"/>
          <w:sz w:val="28"/>
          <w:szCs w:val="28"/>
          <w:lang w:val="uk-UA"/>
        </w:rPr>
        <w:t>тип файл</w:t>
      </w:r>
      <w:r w:rsidR="00537FCB" w:rsidRPr="005F76F2">
        <w:rPr>
          <w:rFonts w:ascii="Times New Roman" w:hAnsi="Times New Roman"/>
          <w:sz w:val="28"/>
          <w:szCs w:val="28"/>
          <w:lang w:val="uk-UA"/>
        </w:rPr>
        <w:t>а:</w:t>
      </w:r>
    </w:p>
    <w:p w:rsidR="00304F44" w:rsidRPr="005F76F2" w:rsidRDefault="00537FCB" w:rsidP="00537FCB">
      <w:pPr>
        <w:pStyle w:val="a9"/>
        <w:suppressAutoHyphens w:val="0"/>
        <w:spacing w:after="160" w:line="360" w:lineRule="auto"/>
        <w:ind w:left="709" w:firstLine="425"/>
        <w:rPr>
          <w:rFonts w:ascii="Times New Roman" w:hAnsi="Times New Roman"/>
          <w:sz w:val="28"/>
          <w:szCs w:val="28"/>
          <w:lang w:val="uk-UA"/>
        </w:rPr>
      </w:pPr>
      <w:r w:rsidRPr="005F76F2">
        <w:rPr>
          <w:rFonts w:ascii="Times New Roman" w:hAnsi="Times New Roman"/>
          <w:b/>
          <w:sz w:val="28"/>
          <w:szCs w:val="28"/>
          <w:lang w:val="uk-UA"/>
        </w:rPr>
        <w:t xml:space="preserve">1 </w:t>
      </w:r>
      <w:r w:rsidRPr="005F76F2">
        <w:rPr>
          <w:rFonts w:ascii="Times New Roman" w:hAnsi="Times New Roman"/>
          <w:sz w:val="28"/>
          <w:szCs w:val="28"/>
          <w:lang w:val="uk-UA"/>
        </w:rPr>
        <w:t>–</w:t>
      </w:r>
      <w:r w:rsidR="00075304" w:rsidRPr="005F76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75304" w:rsidRPr="005F76F2">
        <w:rPr>
          <w:rFonts w:ascii="Times New Roman" w:hAnsi="Times New Roman"/>
          <w:sz w:val="28"/>
          <w:szCs w:val="28"/>
          <w:lang w:val="uk-UA"/>
        </w:rPr>
        <w:t>інформація щодо споживачів природного газу;</w:t>
      </w:r>
    </w:p>
    <w:p w:rsidR="00304F44" w:rsidRPr="005F76F2" w:rsidRDefault="00075304" w:rsidP="00537FCB">
      <w:pPr>
        <w:pStyle w:val="a9"/>
        <w:suppressAutoHyphens w:val="0"/>
        <w:spacing w:after="160" w:line="360" w:lineRule="auto"/>
        <w:ind w:left="709"/>
        <w:rPr>
          <w:rFonts w:ascii="Times New Roman" w:hAnsi="Times New Roman"/>
          <w:b/>
          <w:sz w:val="28"/>
          <w:szCs w:val="28"/>
          <w:lang w:val="uk-UA"/>
        </w:rPr>
      </w:pPr>
      <w:r w:rsidRPr="005F76F2">
        <w:rPr>
          <w:rFonts w:ascii="Times New Roman" w:hAnsi="Times New Roman"/>
          <w:b/>
          <w:sz w:val="28"/>
          <w:szCs w:val="28"/>
          <w:lang w:val="uk-UA"/>
        </w:rPr>
        <w:t xml:space="preserve">O </w:t>
      </w:r>
      <w:r w:rsidRPr="005F76F2">
        <w:rPr>
          <w:rFonts w:ascii="Times New Roman" w:hAnsi="Times New Roman"/>
          <w:sz w:val="28"/>
          <w:szCs w:val="28"/>
          <w:lang w:val="uk-UA"/>
        </w:rPr>
        <w:t>– тип операції</w:t>
      </w:r>
      <w:r w:rsidR="00537FCB" w:rsidRPr="005F76F2">
        <w:rPr>
          <w:rFonts w:ascii="Times New Roman" w:hAnsi="Times New Roman"/>
          <w:sz w:val="28"/>
          <w:szCs w:val="28"/>
          <w:lang w:val="uk-UA"/>
        </w:rPr>
        <w:t>:</w:t>
      </w:r>
    </w:p>
    <w:p w:rsidR="00304F44" w:rsidRPr="005F76F2" w:rsidRDefault="00075304" w:rsidP="00537FCB">
      <w:pPr>
        <w:pStyle w:val="a9"/>
        <w:suppressAutoHyphens w:val="0"/>
        <w:spacing w:after="160" w:line="360" w:lineRule="auto"/>
        <w:ind w:left="709" w:firstLine="425"/>
        <w:rPr>
          <w:rFonts w:ascii="Times New Roman" w:hAnsi="Times New Roman"/>
          <w:b/>
          <w:sz w:val="28"/>
          <w:szCs w:val="28"/>
          <w:lang w:val="uk-UA"/>
        </w:rPr>
      </w:pPr>
      <w:r w:rsidRPr="005F76F2">
        <w:rPr>
          <w:rFonts w:ascii="Times New Roman" w:hAnsi="Times New Roman"/>
          <w:b/>
          <w:sz w:val="28"/>
          <w:szCs w:val="28"/>
          <w:lang w:val="uk-UA"/>
        </w:rPr>
        <w:t xml:space="preserve">I </w:t>
      </w:r>
      <w:r w:rsidRPr="005F76F2">
        <w:rPr>
          <w:rFonts w:ascii="Times New Roman" w:hAnsi="Times New Roman"/>
          <w:sz w:val="28"/>
          <w:szCs w:val="28"/>
          <w:lang w:val="uk-UA"/>
        </w:rPr>
        <w:t>–</w:t>
      </w:r>
      <w:r w:rsidRPr="005F76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76F2">
        <w:rPr>
          <w:rFonts w:ascii="Times New Roman" w:hAnsi="Times New Roman"/>
          <w:sz w:val="28"/>
          <w:szCs w:val="28"/>
          <w:lang w:val="uk-UA"/>
        </w:rPr>
        <w:t>вставка нового запису;</w:t>
      </w:r>
    </w:p>
    <w:p w:rsidR="00304F44" w:rsidRPr="005F76F2" w:rsidRDefault="00075304" w:rsidP="00537FCB">
      <w:pPr>
        <w:pStyle w:val="a9"/>
        <w:suppressAutoHyphens w:val="0"/>
        <w:spacing w:after="160" w:line="360" w:lineRule="auto"/>
        <w:ind w:left="709" w:firstLine="425"/>
        <w:rPr>
          <w:rFonts w:ascii="Times New Roman" w:hAnsi="Times New Roman"/>
          <w:b/>
          <w:sz w:val="28"/>
          <w:szCs w:val="28"/>
          <w:lang w:val="uk-UA"/>
        </w:rPr>
      </w:pPr>
      <w:r w:rsidRPr="005F76F2">
        <w:rPr>
          <w:rFonts w:ascii="Times New Roman" w:hAnsi="Times New Roman"/>
          <w:b/>
          <w:sz w:val="28"/>
          <w:szCs w:val="28"/>
          <w:lang w:val="uk-UA"/>
        </w:rPr>
        <w:t xml:space="preserve">U </w:t>
      </w:r>
      <w:r w:rsidRPr="005F76F2">
        <w:rPr>
          <w:rFonts w:ascii="Times New Roman" w:hAnsi="Times New Roman"/>
          <w:sz w:val="28"/>
          <w:szCs w:val="28"/>
          <w:lang w:val="uk-UA"/>
        </w:rPr>
        <w:t>–</w:t>
      </w:r>
      <w:r w:rsidRPr="005F76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76F2">
        <w:rPr>
          <w:rFonts w:ascii="Times New Roman" w:hAnsi="Times New Roman"/>
          <w:sz w:val="28"/>
          <w:szCs w:val="28"/>
          <w:lang w:val="uk-UA"/>
        </w:rPr>
        <w:t>оновлення існуючого запису;</w:t>
      </w:r>
    </w:p>
    <w:p w:rsidR="00304F44" w:rsidRPr="005F76F2" w:rsidRDefault="00075304" w:rsidP="00537FCB">
      <w:pPr>
        <w:pStyle w:val="a9"/>
        <w:suppressAutoHyphens w:val="0"/>
        <w:spacing w:after="160" w:line="360" w:lineRule="auto"/>
        <w:ind w:left="709" w:firstLine="425"/>
        <w:rPr>
          <w:rFonts w:ascii="Times New Roman" w:hAnsi="Times New Roman"/>
          <w:b/>
          <w:sz w:val="28"/>
          <w:szCs w:val="28"/>
          <w:lang w:val="uk-UA"/>
        </w:rPr>
      </w:pPr>
      <w:r w:rsidRPr="005F76F2">
        <w:rPr>
          <w:rFonts w:ascii="Times New Roman" w:hAnsi="Times New Roman"/>
          <w:b/>
          <w:sz w:val="28"/>
          <w:szCs w:val="28"/>
          <w:lang w:val="uk-UA"/>
        </w:rPr>
        <w:t xml:space="preserve">D </w:t>
      </w:r>
      <w:r w:rsidRPr="005F76F2">
        <w:rPr>
          <w:rFonts w:ascii="Times New Roman" w:hAnsi="Times New Roman"/>
          <w:sz w:val="28"/>
          <w:szCs w:val="28"/>
          <w:lang w:val="uk-UA"/>
        </w:rPr>
        <w:t>–</w:t>
      </w:r>
      <w:r w:rsidRPr="005F76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76F2">
        <w:rPr>
          <w:rFonts w:ascii="Times New Roman" w:hAnsi="Times New Roman"/>
          <w:sz w:val="28"/>
          <w:szCs w:val="28"/>
          <w:lang w:val="uk-UA"/>
        </w:rPr>
        <w:t>«логічне» видалення запису</w:t>
      </w:r>
      <w:r w:rsidR="00537FCB" w:rsidRPr="005F76F2">
        <w:rPr>
          <w:rFonts w:ascii="Times New Roman" w:hAnsi="Times New Roman"/>
          <w:sz w:val="28"/>
          <w:szCs w:val="28"/>
          <w:lang w:val="uk-UA"/>
        </w:rPr>
        <w:t>;</w:t>
      </w:r>
    </w:p>
    <w:p w:rsidR="00304F44" w:rsidRPr="005F76F2" w:rsidRDefault="00075304" w:rsidP="00537FCB">
      <w:pPr>
        <w:pStyle w:val="a9"/>
        <w:suppressAutoHyphens w:val="0"/>
        <w:spacing w:after="16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5F76F2">
        <w:rPr>
          <w:rFonts w:ascii="Times New Roman" w:hAnsi="Times New Roman"/>
          <w:b/>
          <w:sz w:val="28"/>
          <w:szCs w:val="28"/>
          <w:lang w:val="uk-UA"/>
        </w:rPr>
        <w:t>N</w:t>
      </w:r>
      <w:r w:rsidRPr="005F76F2">
        <w:rPr>
          <w:rFonts w:ascii="Times New Roman" w:hAnsi="Times New Roman"/>
          <w:sz w:val="28"/>
          <w:szCs w:val="28"/>
          <w:lang w:val="uk-UA"/>
        </w:rPr>
        <w:t xml:space="preserve"> – порядковий номер файл</w:t>
      </w:r>
      <w:r w:rsidR="00537FCB" w:rsidRPr="005F76F2">
        <w:rPr>
          <w:rFonts w:ascii="Times New Roman" w:hAnsi="Times New Roman"/>
          <w:sz w:val="28"/>
          <w:szCs w:val="28"/>
          <w:lang w:val="uk-UA"/>
        </w:rPr>
        <w:t>а</w:t>
      </w:r>
      <w:r w:rsidRPr="005F76F2">
        <w:rPr>
          <w:rFonts w:ascii="Times New Roman" w:hAnsi="Times New Roman"/>
          <w:sz w:val="28"/>
          <w:szCs w:val="28"/>
          <w:lang w:val="uk-UA"/>
        </w:rPr>
        <w:t xml:space="preserve"> за дату</w:t>
      </w:r>
      <w:r w:rsidR="00537FCB" w:rsidRPr="005F76F2">
        <w:rPr>
          <w:rFonts w:ascii="Times New Roman" w:hAnsi="Times New Roman"/>
          <w:sz w:val="28"/>
          <w:szCs w:val="28"/>
          <w:lang w:val="uk-UA"/>
        </w:rPr>
        <w:t>,</w:t>
      </w:r>
      <w:r w:rsidRPr="005F76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7FCB" w:rsidRPr="005F76F2">
        <w:rPr>
          <w:rFonts w:ascii="Times New Roman" w:hAnsi="Times New Roman"/>
          <w:sz w:val="28"/>
          <w:szCs w:val="28"/>
          <w:lang w:val="uk-UA"/>
        </w:rPr>
        <w:t>за яку подається інформація.</w:t>
      </w:r>
    </w:p>
    <w:p w:rsidR="00304F44" w:rsidRPr="005F76F2" w:rsidRDefault="00075304">
      <w:pPr>
        <w:spacing w:line="360" w:lineRule="auto"/>
        <w:ind w:firstLine="720"/>
        <w:rPr>
          <w:b/>
          <w:sz w:val="28"/>
          <w:szCs w:val="28"/>
          <w:lang w:val="uk-UA"/>
        </w:rPr>
      </w:pPr>
      <w:r w:rsidRPr="005F76F2">
        <w:rPr>
          <w:sz w:val="28"/>
          <w:szCs w:val="28"/>
          <w:lang w:val="uk-UA"/>
        </w:rPr>
        <w:t xml:space="preserve">Наприклад, </w:t>
      </w:r>
      <w:r w:rsidRPr="005F76F2">
        <w:rPr>
          <w:b/>
          <w:sz w:val="28"/>
          <w:szCs w:val="28"/>
          <w:lang w:val="uk-UA"/>
        </w:rPr>
        <w:t>03338649_20181024_1i_01.dbf</w:t>
      </w:r>
      <w:r w:rsidR="008C5C73" w:rsidRPr="005F76F2">
        <w:rPr>
          <w:b/>
          <w:sz w:val="28"/>
          <w:szCs w:val="28"/>
          <w:lang w:val="uk-UA"/>
        </w:rPr>
        <w:t>:</w:t>
      </w:r>
    </w:p>
    <w:p w:rsidR="00304F44" w:rsidRPr="005F76F2" w:rsidRDefault="00075304" w:rsidP="000D42C0">
      <w:pPr>
        <w:pStyle w:val="a9"/>
        <w:suppressAutoHyphens w:val="0"/>
        <w:spacing w:after="16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5F76F2">
        <w:rPr>
          <w:rFonts w:ascii="Times New Roman" w:hAnsi="Times New Roman"/>
          <w:b/>
          <w:sz w:val="28"/>
          <w:szCs w:val="28"/>
          <w:lang w:val="uk-UA"/>
        </w:rPr>
        <w:t>03338649</w:t>
      </w:r>
      <w:r w:rsidR="000D42C0" w:rsidRPr="005F76F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F76F2">
        <w:rPr>
          <w:rFonts w:ascii="Times New Roman" w:hAnsi="Times New Roman"/>
          <w:sz w:val="28"/>
          <w:szCs w:val="28"/>
          <w:lang w:val="uk-UA"/>
        </w:rPr>
        <w:t xml:space="preserve"> ПАТ "ВІННИЦЯГАЗ";</w:t>
      </w:r>
    </w:p>
    <w:p w:rsidR="00304F44" w:rsidRPr="005F76F2" w:rsidRDefault="00075304" w:rsidP="000D42C0">
      <w:pPr>
        <w:pStyle w:val="a9"/>
        <w:suppressAutoHyphens w:val="0"/>
        <w:spacing w:after="16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5F76F2">
        <w:rPr>
          <w:rFonts w:ascii="Times New Roman" w:hAnsi="Times New Roman"/>
          <w:b/>
          <w:sz w:val="28"/>
          <w:szCs w:val="28"/>
          <w:lang w:val="uk-UA"/>
        </w:rPr>
        <w:t xml:space="preserve">20181024 </w:t>
      </w:r>
      <w:r w:rsidRPr="005F76F2">
        <w:rPr>
          <w:rFonts w:ascii="Times New Roman" w:hAnsi="Times New Roman"/>
          <w:sz w:val="28"/>
          <w:szCs w:val="28"/>
          <w:lang w:val="uk-UA"/>
        </w:rPr>
        <w:t>–</w:t>
      </w:r>
      <w:r w:rsidRPr="005F76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76F2">
        <w:rPr>
          <w:rFonts w:ascii="Times New Roman" w:hAnsi="Times New Roman"/>
          <w:sz w:val="28"/>
          <w:szCs w:val="28"/>
          <w:lang w:val="uk-UA"/>
        </w:rPr>
        <w:t>інформація станом на 24 жовтня 2018 року;</w:t>
      </w:r>
    </w:p>
    <w:p w:rsidR="00304F44" w:rsidRPr="005F76F2" w:rsidRDefault="00075304" w:rsidP="000D42C0">
      <w:pPr>
        <w:pStyle w:val="a9"/>
        <w:suppressAutoHyphens w:val="0"/>
        <w:spacing w:after="160" w:line="36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5F76F2">
        <w:rPr>
          <w:rFonts w:ascii="Times New Roman" w:hAnsi="Times New Roman"/>
          <w:b/>
          <w:sz w:val="28"/>
          <w:szCs w:val="28"/>
          <w:lang w:val="uk-UA"/>
        </w:rPr>
        <w:t>1</w:t>
      </w:r>
      <w:r w:rsidR="000D42C0" w:rsidRPr="005F76F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F76F2">
        <w:rPr>
          <w:rFonts w:ascii="Times New Roman" w:hAnsi="Times New Roman"/>
          <w:sz w:val="28"/>
          <w:szCs w:val="28"/>
          <w:lang w:val="uk-UA"/>
        </w:rPr>
        <w:t xml:space="preserve"> інформація щодо споживачів природного газу;</w:t>
      </w:r>
    </w:p>
    <w:p w:rsidR="00304F44" w:rsidRPr="005F76F2" w:rsidRDefault="00075304" w:rsidP="000D42C0">
      <w:pPr>
        <w:pStyle w:val="a9"/>
        <w:suppressAutoHyphens w:val="0"/>
        <w:spacing w:after="160" w:line="36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5F76F2">
        <w:rPr>
          <w:rFonts w:ascii="Times New Roman" w:hAnsi="Times New Roman"/>
          <w:b/>
          <w:sz w:val="28"/>
          <w:szCs w:val="28"/>
          <w:lang w:val="uk-UA"/>
        </w:rPr>
        <w:t xml:space="preserve">i </w:t>
      </w:r>
      <w:r w:rsidR="000D42C0" w:rsidRPr="005F76F2">
        <w:rPr>
          <w:rFonts w:ascii="Times New Roman" w:hAnsi="Times New Roman"/>
          <w:sz w:val="28"/>
          <w:szCs w:val="28"/>
          <w:lang w:val="uk-UA"/>
        </w:rPr>
        <w:t>–</w:t>
      </w:r>
      <w:r w:rsidRPr="005F76F2">
        <w:rPr>
          <w:rFonts w:ascii="Times New Roman" w:hAnsi="Times New Roman"/>
          <w:sz w:val="28"/>
          <w:szCs w:val="28"/>
          <w:lang w:val="uk-UA"/>
        </w:rPr>
        <w:t xml:space="preserve"> вставка нового запису;</w:t>
      </w:r>
    </w:p>
    <w:p w:rsidR="00304F44" w:rsidRPr="005F76F2" w:rsidRDefault="00075304" w:rsidP="000D42C0">
      <w:pPr>
        <w:pStyle w:val="a9"/>
        <w:suppressAutoHyphens w:val="0"/>
        <w:spacing w:after="160" w:line="36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5F76F2">
        <w:rPr>
          <w:rFonts w:ascii="Times New Roman" w:hAnsi="Times New Roman"/>
          <w:b/>
          <w:sz w:val="28"/>
          <w:szCs w:val="28"/>
          <w:lang w:val="uk-UA"/>
        </w:rPr>
        <w:t xml:space="preserve">01 </w:t>
      </w:r>
      <w:r w:rsidRPr="005F76F2">
        <w:rPr>
          <w:rFonts w:ascii="Times New Roman" w:hAnsi="Times New Roman"/>
          <w:sz w:val="28"/>
          <w:szCs w:val="28"/>
          <w:lang w:val="uk-UA"/>
        </w:rPr>
        <w:t>– перший файл за звітну дату.</w:t>
      </w:r>
    </w:p>
    <w:p w:rsidR="0018737E" w:rsidRPr="005F76F2" w:rsidRDefault="00075304" w:rsidP="000D42C0">
      <w:pPr>
        <w:pStyle w:val="a3"/>
        <w:spacing w:before="0" w:beforeAutospacing="0" w:after="0" w:afterAutospacing="0" w:line="360" w:lineRule="auto"/>
        <w:ind w:firstLine="709"/>
        <w:jc w:val="center"/>
        <w:rPr>
          <w:lang w:val="uk-UA"/>
        </w:rPr>
      </w:pPr>
      <w:r w:rsidRPr="005F76F2">
        <w:rPr>
          <w:rStyle w:val="rvts15"/>
          <w:b/>
          <w:bCs/>
          <w:sz w:val="28"/>
          <w:szCs w:val="28"/>
          <w:lang w:val="uk-UA"/>
        </w:rPr>
        <w:t xml:space="preserve">IV. Захист інформації </w:t>
      </w:r>
      <w:r w:rsidR="008C5C73" w:rsidRPr="005F76F2">
        <w:rPr>
          <w:rStyle w:val="rvts15"/>
          <w:b/>
          <w:bCs/>
          <w:sz w:val="28"/>
          <w:szCs w:val="28"/>
          <w:lang w:val="uk-UA"/>
        </w:rPr>
        <w:t>під час</w:t>
      </w:r>
      <w:r w:rsidRPr="005F76F2">
        <w:rPr>
          <w:rStyle w:val="rvts15"/>
          <w:b/>
          <w:bCs/>
          <w:sz w:val="28"/>
          <w:szCs w:val="28"/>
          <w:lang w:val="uk-UA"/>
        </w:rPr>
        <w:t xml:space="preserve"> інформаційн</w:t>
      </w:r>
      <w:r w:rsidR="008C5C73" w:rsidRPr="005F76F2">
        <w:rPr>
          <w:rStyle w:val="rvts15"/>
          <w:b/>
          <w:bCs/>
          <w:sz w:val="28"/>
          <w:szCs w:val="28"/>
          <w:lang w:val="uk-UA"/>
        </w:rPr>
        <w:t>ої</w:t>
      </w:r>
      <w:r w:rsidRPr="005F76F2">
        <w:rPr>
          <w:rStyle w:val="rvts15"/>
          <w:b/>
          <w:bCs/>
          <w:sz w:val="28"/>
          <w:szCs w:val="28"/>
          <w:lang w:val="uk-UA"/>
        </w:rPr>
        <w:t xml:space="preserve"> взаємодії</w:t>
      </w:r>
    </w:p>
    <w:p w:rsidR="0018737E" w:rsidRPr="005F76F2" w:rsidRDefault="00075304" w:rsidP="000D42C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n49"/>
      <w:bookmarkEnd w:id="0"/>
      <w:r w:rsidRPr="005F76F2">
        <w:rPr>
          <w:sz w:val="28"/>
          <w:szCs w:val="28"/>
          <w:lang w:val="uk-UA"/>
        </w:rPr>
        <w:t>1. П</w:t>
      </w:r>
      <w:r w:rsidR="008C5C73" w:rsidRPr="005F76F2">
        <w:rPr>
          <w:sz w:val="28"/>
          <w:szCs w:val="28"/>
          <w:lang w:val="uk-UA"/>
        </w:rPr>
        <w:t>ід час</w:t>
      </w:r>
      <w:r w:rsidRPr="005F76F2">
        <w:rPr>
          <w:sz w:val="28"/>
          <w:szCs w:val="28"/>
          <w:lang w:val="uk-UA"/>
        </w:rPr>
        <w:t xml:space="preserve"> інформаційн</w:t>
      </w:r>
      <w:r w:rsidR="008C5C73" w:rsidRPr="005F76F2">
        <w:rPr>
          <w:sz w:val="28"/>
          <w:szCs w:val="28"/>
          <w:lang w:val="uk-UA"/>
        </w:rPr>
        <w:t>ої</w:t>
      </w:r>
      <w:r w:rsidRPr="005F76F2">
        <w:rPr>
          <w:sz w:val="28"/>
          <w:szCs w:val="28"/>
          <w:lang w:val="uk-UA"/>
        </w:rPr>
        <w:t xml:space="preserve"> взаємодії згідно з цим Порядком суб’єкт</w:t>
      </w:r>
      <w:r w:rsidR="003C1F36" w:rsidRPr="005F76F2">
        <w:rPr>
          <w:sz w:val="28"/>
          <w:szCs w:val="28"/>
          <w:lang w:val="uk-UA"/>
        </w:rPr>
        <w:t>ами</w:t>
      </w:r>
      <w:r w:rsidRPr="005F76F2">
        <w:rPr>
          <w:sz w:val="28"/>
          <w:szCs w:val="28"/>
          <w:lang w:val="uk-UA"/>
        </w:rPr>
        <w:t xml:space="preserve"> інформаційного обміну впроваджують</w:t>
      </w:r>
      <w:r w:rsidR="003C1F36" w:rsidRPr="005F76F2">
        <w:rPr>
          <w:sz w:val="28"/>
          <w:szCs w:val="28"/>
          <w:lang w:val="uk-UA"/>
        </w:rPr>
        <w:t>ся</w:t>
      </w:r>
      <w:r w:rsidRPr="005F76F2">
        <w:rPr>
          <w:sz w:val="28"/>
          <w:szCs w:val="28"/>
          <w:lang w:val="uk-UA"/>
        </w:rPr>
        <w:t xml:space="preserve"> організаційно-технічні заходи, які забезпечують захист інформації, що передається.</w:t>
      </w:r>
    </w:p>
    <w:p w:rsidR="0018737E" w:rsidRPr="005F76F2" w:rsidRDefault="00075304" w:rsidP="0018737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bookmarkStart w:id="1" w:name="n50"/>
      <w:bookmarkEnd w:id="1"/>
      <w:r w:rsidRPr="005F76F2">
        <w:rPr>
          <w:sz w:val="28"/>
          <w:szCs w:val="28"/>
          <w:lang w:val="uk-UA"/>
        </w:rPr>
        <w:t>2. Для захисту інформації застосовуються засоби технічного та криптографічного захисту інформації, що мають сертифікат відповідності або позитивний експертний висновок за результатами державної експертизи у сферах технічного та криптографічного захисту інформації відповідно.</w:t>
      </w:r>
    </w:p>
    <w:p w:rsidR="0018737E" w:rsidRPr="005F76F2" w:rsidRDefault="00075304" w:rsidP="0018737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bookmarkStart w:id="2" w:name="n51"/>
      <w:bookmarkEnd w:id="2"/>
      <w:r w:rsidRPr="005F76F2">
        <w:rPr>
          <w:sz w:val="28"/>
          <w:szCs w:val="28"/>
          <w:lang w:val="uk-UA"/>
        </w:rPr>
        <w:t>3. Обробка інформації здійснюється виключно з метою виконання суб’єктами інформаційного обміну повноважень відповідно до законодавства.</w:t>
      </w:r>
    </w:p>
    <w:p w:rsidR="0018737E" w:rsidRPr="005F76F2" w:rsidRDefault="00075304" w:rsidP="0018737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bookmarkStart w:id="3" w:name="n52"/>
      <w:bookmarkEnd w:id="3"/>
      <w:r w:rsidRPr="005F76F2">
        <w:rPr>
          <w:sz w:val="28"/>
          <w:szCs w:val="28"/>
          <w:lang w:val="uk-UA"/>
        </w:rPr>
        <w:lastRenderedPageBreak/>
        <w:t>4. Передача інформації третій стороні забороняється, якщо інше не передбачено законом.</w:t>
      </w:r>
    </w:p>
    <w:p w:rsidR="0018737E" w:rsidRPr="005F76F2" w:rsidRDefault="00075304" w:rsidP="0018737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bookmarkStart w:id="4" w:name="n53"/>
      <w:bookmarkEnd w:id="4"/>
      <w:r w:rsidRPr="005F76F2">
        <w:rPr>
          <w:sz w:val="28"/>
          <w:szCs w:val="28"/>
          <w:lang w:val="uk-UA"/>
        </w:rPr>
        <w:t>5. Не підлягає передачі інформація, яка становить державну таємницю, а також службова інформація, матеріальним носіям якої у суб’єктів інформаційного обміну</w:t>
      </w:r>
      <w:r w:rsidR="000D42C0" w:rsidRPr="005F76F2">
        <w:rPr>
          <w:sz w:val="28"/>
          <w:szCs w:val="28"/>
          <w:lang w:val="uk-UA"/>
        </w:rPr>
        <w:t xml:space="preserve"> надано гриф обмеження доступу «Для службового користування»</w:t>
      </w:r>
      <w:r w:rsidRPr="005F76F2">
        <w:rPr>
          <w:sz w:val="28"/>
          <w:szCs w:val="28"/>
          <w:lang w:val="uk-UA"/>
        </w:rPr>
        <w:t>.</w:t>
      </w:r>
    </w:p>
    <w:p w:rsidR="00BE0004" w:rsidRPr="005F76F2" w:rsidRDefault="00BE0004" w:rsidP="00BE0004">
      <w:pPr>
        <w:pStyle w:val="a3"/>
        <w:spacing w:before="12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tbl>
      <w:tblPr>
        <w:tblStyle w:val="aa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0C553B" w:rsidRPr="005F76F2" w:rsidTr="000D42C0">
        <w:tc>
          <w:tcPr>
            <w:tcW w:w="4885" w:type="dxa"/>
          </w:tcPr>
          <w:p w:rsidR="000C553B" w:rsidRPr="005F76F2" w:rsidRDefault="00075304" w:rsidP="000C553B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6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В. о. директора Департаменту інформаційних систем та технологій</w:t>
            </w:r>
          </w:p>
        </w:tc>
        <w:tc>
          <w:tcPr>
            <w:tcW w:w="4885" w:type="dxa"/>
          </w:tcPr>
          <w:p w:rsidR="000C553B" w:rsidRPr="005F76F2" w:rsidRDefault="000C553B" w:rsidP="000C553B">
            <w:pPr>
              <w:pStyle w:val="a3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C553B" w:rsidRPr="005F76F2" w:rsidRDefault="00075304" w:rsidP="000C553B">
            <w:pPr>
              <w:pStyle w:val="a3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6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М. В. Матюшенко </w:t>
            </w:r>
          </w:p>
        </w:tc>
      </w:tr>
    </w:tbl>
    <w:p w:rsidR="00CC1C70" w:rsidRPr="005F76F2" w:rsidRDefault="00CC1C70" w:rsidP="000C553B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CC1C70" w:rsidRPr="005F76F2" w:rsidRDefault="00075304">
      <w:pPr>
        <w:rPr>
          <w:b/>
          <w:sz w:val="28"/>
          <w:szCs w:val="28"/>
          <w:lang w:val="uk-UA"/>
        </w:rPr>
      </w:pPr>
      <w:r w:rsidRPr="005F76F2">
        <w:rPr>
          <w:b/>
          <w:sz w:val="28"/>
          <w:szCs w:val="28"/>
          <w:lang w:val="uk-UA"/>
        </w:rPr>
        <w:br w:type="page"/>
      </w:r>
    </w:p>
    <w:tbl>
      <w:tblPr>
        <w:tblW w:w="4110" w:type="dxa"/>
        <w:tblInd w:w="4962" w:type="dxa"/>
        <w:tblLook w:val="04A0" w:firstRow="1" w:lastRow="0" w:firstColumn="1" w:lastColumn="0" w:noHBand="0" w:noVBand="1"/>
      </w:tblPr>
      <w:tblGrid>
        <w:gridCol w:w="4110"/>
      </w:tblGrid>
      <w:tr w:rsidR="00CC1C70" w:rsidRPr="005F76F2" w:rsidTr="00B7026A">
        <w:tc>
          <w:tcPr>
            <w:tcW w:w="4110" w:type="dxa"/>
          </w:tcPr>
          <w:p w:rsidR="00CC1C70" w:rsidRPr="005F76F2" w:rsidRDefault="00075304" w:rsidP="00B7026A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5F76F2">
              <w:rPr>
                <w:rFonts w:eastAsia="Calibri"/>
                <w:sz w:val="28"/>
                <w:szCs w:val="28"/>
                <w:lang w:val="uk-UA"/>
              </w:rPr>
              <w:lastRenderedPageBreak/>
              <w:t xml:space="preserve">Додаток  </w:t>
            </w:r>
          </w:p>
          <w:p w:rsidR="00CC1C70" w:rsidRPr="005F76F2" w:rsidRDefault="00075304" w:rsidP="00B7026A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5F76F2">
              <w:rPr>
                <w:rFonts w:eastAsia="Calibri"/>
                <w:sz w:val="28"/>
                <w:szCs w:val="28"/>
                <w:lang w:val="uk-UA"/>
              </w:rPr>
              <w:t>до Порядку обміну інформацією між Міністерством фінансів України та суб'єктами ринку природного газу</w:t>
            </w:r>
          </w:p>
          <w:p w:rsidR="00CC1C70" w:rsidRPr="005F76F2" w:rsidRDefault="00CC1C70" w:rsidP="00B70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CC1C70" w:rsidRPr="005F76F2" w:rsidRDefault="00CC1C70" w:rsidP="00CC1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</w:p>
    <w:p w:rsidR="00CC1C70" w:rsidRPr="005F76F2" w:rsidRDefault="00075304" w:rsidP="00CC1C70">
      <w:pPr>
        <w:spacing w:after="200" w:line="276" w:lineRule="auto"/>
        <w:jc w:val="center"/>
        <w:rPr>
          <w:rFonts w:eastAsia="Calibri"/>
          <w:b/>
          <w:lang w:val="uk-UA"/>
        </w:rPr>
      </w:pPr>
      <w:r w:rsidRPr="005F76F2">
        <w:rPr>
          <w:rFonts w:eastAsia="Calibri"/>
          <w:b/>
          <w:sz w:val="28"/>
          <w:szCs w:val="28"/>
          <w:lang w:val="uk-UA"/>
        </w:rPr>
        <w:t>СПЕЦИФІКАЦІЯ НАБОРУ ДАНИХ</w:t>
      </w:r>
      <w:r w:rsidRPr="005F76F2">
        <w:rPr>
          <w:rFonts w:eastAsia="Calibri"/>
          <w:b/>
          <w:sz w:val="28"/>
          <w:szCs w:val="28"/>
          <w:lang w:val="uk-UA"/>
        </w:rPr>
        <w:br/>
        <w:t xml:space="preserve"> щодо об’єктів </w:t>
      </w:r>
      <w:proofErr w:type="spellStart"/>
      <w:r w:rsidRPr="005F76F2">
        <w:rPr>
          <w:rFonts w:eastAsia="Calibri"/>
          <w:b/>
          <w:sz w:val="28"/>
          <w:szCs w:val="28"/>
          <w:lang w:val="uk-UA"/>
        </w:rPr>
        <w:t>газовикористання</w:t>
      </w:r>
      <w:proofErr w:type="spellEnd"/>
      <w:r w:rsidR="00EE4931" w:rsidRPr="005F76F2">
        <w:rPr>
          <w:rFonts w:eastAsia="Calibri"/>
          <w:b/>
          <w:sz w:val="28"/>
          <w:szCs w:val="28"/>
          <w:lang w:val="uk-UA"/>
        </w:rPr>
        <w:t xml:space="preserve"> (на виконання пункту 3 п</w:t>
      </w:r>
      <w:r w:rsidRPr="005F76F2">
        <w:rPr>
          <w:rFonts w:eastAsia="Calibri"/>
          <w:b/>
          <w:sz w:val="28"/>
          <w:szCs w:val="28"/>
          <w:lang w:val="uk-UA"/>
        </w:rPr>
        <w:t xml:space="preserve">останови Кабінету Міністрів України </w:t>
      </w:r>
      <w:r w:rsidRPr="00921B49">
        <w:rPr>
          <w:rFonts w:eastAsia="Calibri"/>
          <w:b/>
          <w:sz w:val="28"/>
          <w:szCs w:val="28"/>
          <w:lang w:val="uk-UA"/>
        </w:rPr>
        <w:t>від __ _______ 2019 року № ___)</w:t>
      </w:r>
    </w:p>
    <w:p w:rsidR="00CC1C70" w:rsidRPr="005F76F2" w:rsidRDefault="00CC1C70" w:rsidP="00CC1C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2410"/>
        <w:gridCol w:w="567"/>
        <w:gridCol w:w="3402"/>
      </w:tblGrid>
      <w:tr w:rsidR="005F76F2" w:rsidRPr="005F76F2" w:rsidTr="00D3748D">
        <w:trPr>
          <w:cantSplit/>
          <w:trHeight w:val="1649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CC1C70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bookmarkStart w:id="5" w:name="o56"/>
            <w:bookmarkEnd w:id="5"/>
            <w:r w:rsidRPr="005F76F2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1" w:type="dxa"/>
            <w:shd w:val="clear" w:color="000000" w:fill="9BC2E6"/>
            <w:noWrap/>
            <w:vAlign w:val="center"/>
            <w:hideMark/>
          </w:tcPr>
          <w:p w:rsidR="00CC1C70" w:rsidRPr="005F76F2" w:rsidRDefault="00075304" w:rsidP="00B7026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76F2">
              <w:rPr>
                <w:b/>
                <w:bCs/>
                <w:sz w:val="20"/>
                <w:szCs w:val="20"/>
                <w:lang w:val="uk-UA"/>
              </w:rPr>
              <w:t>Найменування поля</w:t>
            </w:r>
          </w:p>
        </w:tc>
        <w:tc>
          <w:tcPr>
            <w:tcW w:w="2410" w:type="dxa"/>
            <w:shd w:val="clear" w:color="000000" w:fill="9BC2E6"/>
            <w:noWrap/>
            <w:vAlign w:val="center"/>
            <w:hideMark/>
          </w:tcPr>
          <w:p w:rsidR="00CC1C70" w:rsidRPr="005F76F2" w:rsidRDefault="00075304" w:rsidP="00B7026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76F2">
              <w:rPr>
                <w:b/>
                <w:bCs/>
                <w:sz w:val="20"/>
                <w:szCs w:val="20"/>
                <w:lang w:val="uk-UA"/>
              </w:rPr>
              <w:t>Тип даних</w:t>
            </w:r>
          </w:p>
        </w:tc>
        <w:tc>
          <w:tcPr>
            <w:tcW w:w="567" w:type="dxa"/>
            <w:shd w:val="clear" w:color="000000" w:fill="9BC2E6"/>
            <w:noWrap/>
            <w:textDirection w:val="btLr"/>
            <w:vAlign w:val="center"/>
            <w:hideMark/>
          </w:tcPr>
          <w:p w:rsidR="00CC1C70" w:rsidRPr="005F76F2" w:rsidRDefault="00075304" w:rsidP="00B7026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76F2">
              <w:rPr>
                <w:b/>
                <w:bCs/>
                <w:sz w:val="20"/>
                <w:szCs w:val="20"/>
                <w:lang w:val="uk-UA"/>
              </w:rPr>
              <w:t>Обов’язковість</w:t>
            </w:r>
          </w:p>
        </w:tc>
        <w:tc>
          <w:tcPr>
            <w:tcW w:w="3402" w:type="dxa"/>
            <w:shd w:val="clear" w:color="000000" w:fill="9BC2E6"/>
            <w:noWrap/>
            <w:vAlign w:val="center"/>
            <w:hideMark/>
          </w:tcPr>
          <w:p w:rsidR="00CC1C70" w:rsidRPr="005F76F2" w:rsidRDefault="00075304" w:rsidP="00B7026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76F2">
              <w:rPr>
                <w:b/>
                <w:bCs/>
                <w:sz w:val="20"/>
                <w:szCs w:val="20"/>
                <w:lang w:val="uk-UA"/>
              </w:rPr>
              <w:t>Опис</w:t>
            </w:r>
          </w:p>
        </w:tc>
      </w:tr>
      <w:tr w:rsidR="005F76F2" w:rsidRPr="005F76F2" w:rsidTr="00D3748D">
        <w:trPr>
          <w:cantSplit/>
          <w:trHeight w:val="265"/>
        </w:trPr>
        <w:tc>
          <w:tcPr>
            <w:tcW w:w="1838" w:type="dxa"/>
            <w:vAlign w:val="center"/>
          </w:tcPr>
          <w:p w:rsidR="00CC1C70" w:rsidRPr="005F76F2" w:rsidRDefault="00075304" w:rsidP="00F333F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F76F2">
              <w:rPr>
                <w:b/>
                <w:bCs/>
                <w:sz w:val="20"/>
                <w:szCs w:val="20"/>
                <w:lang w:val="uk-UA"/>
              </w:rPr>
              <w:t>EIC-код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1C70" w:rsidRPr="005F76F2" w:rsidRDefault="00075304" w:rsidP="00B7026A">
            <w:pPr>
              <w:rPr>
                <w:b/>
                <w:sz w:val="20"/>
                <w:szCs w:val="20"/>
                <w:lang w:val="uk-UA"/>
              </w:rPr>
            </w:pPr>
            <w:r w:rsidRPr="005F76F2">
              <w:rPr>
                <w:b/>
                <w:sz w:val="20"/>
                <w:szCs w:val="20"/>
                <w:lang w:val="uk-UA"/>
              </w:rPr>
              <w:t>EIC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C1C70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b/>
                <w:sz w:val="20"/>
                <w:szCs w:val="20"/>
                <w:lang w:val="uk-UA"/>
              </w:rPr>
              <w:t>VARCHAR2(16 BYTE)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04F44" w:rsidRPr="005F76F2" w:rsidRDefault="00075304">
            <w:pPr>
              <w:jc w:val="center"/>
              <w:rPr>
                <w:sz w:val="20"/>
                <w:szCs w:val="20"/>
                <w:lang w:val="uk-UA"/>
              </w:rPr>
            </w:pPr>
            <w:r w:rsidRPr="005F76F2">
              <w:rPr>
                <w:b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C1C70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b/>
                <w:sz w:val="20"/>
                <w:szCs w:val="20"/>
                <w:lang w:val="uk-UA"/>
              </w:rPr>
              <w:t>Код EIC, використовується як унікальний ідентифікатор</w:t>
            </w:r>
          </w:p>
        </w:tc>
      </w:tr>
      <w:tr w:rsidR="005F76F2" w:rsidRPr="005F76F2" w:rsidTr="00D3748D">
        <w:tc>
          <w:tcPr>
            <w:tcW w:w="1838" w:type="dxa"/>
            <w:vMerge w:val="restart"/>
            <w:vAlign w:val="center"/>
            <w:hideMark/>
          </w:tcPr>
          <w:p w:rsidR="00304F44" w:rsidRPr="005F76F2" w:rsidRDefault="0007530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F76F2">
              <w:rPr>
                <w:b/>
                <w:bCs/>
                <w:sz w:val="20"/>
                <w:szCs w:val="20"/>
                <w:lang w:val="uk-UA"/>
              </w:rPr>
              <w:t>Договір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C1C70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AGREEMENTD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C1C70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DATE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F44" w:rsidRPr="005F76F2" w:rsidRDefault="00075304">
            <w:pPr>
              <w:jc w:val="center"/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Так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C1C70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Дата договору</w:t>
            </w:r>
          </w:p>
        </w:tc>
      </w:tr>
      <w:tr w:rsidR="005F76F2" w:rsidRPr="005F76F2" w:rsidTr="00D3748D">
        <w:tc>
          <w:tcPr>
            <w:tcW w:w="1838" w:type="dxa"/>
            <w:vMerge/>
            <w:vAlign w:val="center"/>
            <w:hideMark/>
          </w:tcPr>
          <w:p w:rsidR="00304F44" w:rsidRPr="005F76F2" w:rsidRDefault="00304F44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C1C70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AGREEMENTN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C1C70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VARCHAR2(32 BYTE)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F44" w:rsidRPr="005F76F2" w:rsidRDefault="00075304">
            <w:pPr>
              <w:jc w:val="center"/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Так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C1C70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Номер договору</w:t>
            </w:r>
          </w:p>
        </w:tc>
      </w:tr>
      <w:tr w:rsidR="005F76F2" w:rsidRPr="005F76F2" w:rsidTr="00D3748D">
        <w:trPr>
          <w:trHeight w:val="204"/>
        </w:trPr>
        <w:tc>
          <w:tcPr>
            <w:tcW w:w="1838" w:type="dxa"/>
            <w:vMerge w:val="restart"/>
            <w:shd w:val="clear" w:color="auto" w:fill="auto"/>
            <w:textDirection w:val="btLr"/>
            <w:vAlign w:val="center"/>
          </w:tcPr>
          <w:p w:rsidR="00304F44" w:rsidRPr="005F76F2" w:rsidRDefault="0007530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F76F2">
              <w:rPr>
                <w:b/>
                <w:bCs/>
                <w:sz w:val="20"/>
                <w:szCs w:val="20"/>
                <w:lang w:val="uk-UA"/>
              </w:rPr>
              <w:t>Поштова адреса об’єкт</w:t>
            </w:r>
            <w:r w:rsidR="00D3748D" w:rsidRPr="005F76F2">
              <w:rPr>
                <w:b/>
                <w:bCs/>
                <w:sz w:val="20"/>
                <w:szCs w:val="20"/>
                <w:lang w:val="uk-UA"/>
              </w:rPr>
              <w:t>а</w:t>
            </w:r>
            <w:r w:rsidRPr="005F76F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F76F2">
              <w:rPr>
                <w:b/>
                <w:bCs/>
                <w:sz w:val="20"/>
                <w:szCs w:val="20"/>
                <w:lang w:val="uk-UA"/>
              </w:rPr>
              <w:t>газови</w:t>
            </w:r>
            <w:proofErr w:type="spellEnd"/>
            <w:r w:rsidRPr="005F76F2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5F76F2">
              <w:rPr>
                <w:b/>
                <w:bCs/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ZIPCODE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VARCHAR2(6 BYTE)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04F44" w:rsidRPr="005F76F2" w:rsidRDefault="00075304">
            <w:pPr>
              <w:jc w:val="center"/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Так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Поштовий індекс</w:t>
            </w:r>
          </w:p>
        </w:tc>
      </w:tr>
      <w:tr w:rsidR="005F76F2" w:rsidRPr="005F76F2" w:rsidTr="00D3748D">
        <w:trPr>
          <w:trHeight w:val="53"/>
        </w:trPr>
        <w:tc>
          <w:tcPr>
            <w:tcW w:w="1838" w:type="dxa"/>
            <w:vMerge/>
            <w:vAlign w:val="center"/>
          </w:tcPr>
          <w:p w:rsidR="00913E2F" w:rsidRPr="005F76F2" w:rsidRDefault="00913E2F" w:rsidP="00B7026A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REGIONALCO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NUMBER(3,0)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F44" w:rsidRPr="005F76F2" w:rsidRDefault="00075304">
            <w:pPr>
              <w:jc w:val="center"/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Так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Код регіону відповідно до довідника НБУ</w:t>
            </w:r>
          </w:p>
        </w:tc>
      </w:tr>
      <w:tr w:rsidR="005F76F2" w:rsidRPr="005F76F2" w:rsidTr="00D3748D">
        <w:tc>
          <w:tcPr>
            <w:tcW w:w="1838" w:type="dxa"/>
            <w:vMerge/>
            <w:shd w:val="clear" w:color="auto" w:fill="auto"/>
            <w:textDirection w:val="btLr"/>
            <w:vAlign w:val="center"/>
          </w:tcPr>
          <w:p w:rsidR="00913E2F" w:rsidRPr="005F76F2" w:rsidRDefault="00913E2F" w:rsidP="00B7026A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CITY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VARCHAR2(64 BYTE)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F44" w:rsidRPr="005F76F2" w:rsidRDefault="00075304">
            <w:pPr>
              <w:jc w:val="center"/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Так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Місто/ селище/ село</w:t>
            </w:r>
          </w:p>
        </w:tc>
      </w:tr>
      <w:tr w:rsidR="005F76F2" w:rsidRPr="005F76F2" w:rsidTr="00D3748D">
        <w:tc>
          <w:tcPr>
            <w:tcW w:w="1838" w:type="dxa"/>
            <w:vMerge/>
            <w:vAlign w:val="center"/>
          </w:tcPr>
          <w:p w:rsidR="00913E2F" w:rsidRPr="005F76F2" w:rsidRDefault="00913E2F" w:rsidP="00B7026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STREET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VARCHAR2(64 BYTE)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F44" w:rsidRPr="005F76F2" w:rsidRDefault="00075304">
            <w:pPr>
              <w:jc w:val="center"/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Так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Вулиця</w:t>
            </w:r>
          </w:p>
        </w:tc>
      </w:tr>
      <w:tr w:rsidR="005F76F2" w:rsidRPr="005F76F2" w:rsidTr="00D3748D">
        <w:tc>
          <w:tcPr>
            <w:tcW w:w="1838" w:type="dxa"/>
            <w:vMerge/>
            <w:vAlign w:val="center"/>
          </w:tcPr>
          <w:p w:rsidR="00913E2F" w:rsidRPr="005F76F2" w:rsidRDefault="00913E2F" w:rsidP="00B7026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HOUSE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VARCHAR2(15 BYTE)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F44" w:rsidRPr="005F76F2" w:rsidRDefault="00075304">
            <w:pPr>
              <w:jc w:val="center"/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Так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Дім</w:t>
            </w:r>
          </w:p>
        </w:tc>
      </w:tr>
      <w:tr w:rsidR="00D3748D" w:rsidRPr="005F76F2" w:rsidTr="00D3748D">
        <w:trPr>
          <w:trHeight w:val="587"/>
        </w:trPr>
        <w:tc>
          <w:tcPr>
            <w:tcW w:w="1838" w:type="dxa"/>
            <w:vMerge/>
            <w:shd w:val="clear" w:color="auto" w:fill="auto"/>
            <w:vAlign w:val="center"/>
          </w:tcPr>
          <w:p w:rsidR="00913E2F" w:rsidRPr="005F76F2" w:rsidRDefault="00913E2F" w:rsidP="00B7026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FLAT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VARCHAR2(5 BYTE)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04F44" w:rsidRPr="005F76F2" w:rsidRDefault="00075304">
            <w:pPr>
              <w:jc w:val="center"/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Так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913E2F" w:rsidRPr="005F76F2" w:rsidRDefault="00075304" w:rsidP="00B7026A">
            <w:pPr>
              <w:rPr>
                <w:sz w:val="20"/>
                <w:szCs w:val="20"/>
                <w:lang w:val="uk-UA"/>
              </w:rPr>
            </w:pPr>
            <w:r w:rsidRPr="005F76F2">
              <w:rPr>
                <w:sz w:val="20"/>
                <w:szCs w:val="20"/>
                <w:lang w:val="uk-UA"/>
              </w:rPr>
              <w:t>Квартира</w:t>
            </w:r>
          </w:p>
        </w:tc>
      </w:tr>
    </w:tbl>
    <w:p w:rsidR="00B22E99" w:rsidRPr="005F76F2" w:rsidRDefault="00B22E99" w:rsidP="0098387C">
      <w:pPr>
        <w:pStyle w:val="a9"/>
        <w:spacing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bookmarkStart w:id="6" w:name="_GoBack"/>
      <w:bookmarkEnd w:id="6"/>
    </w:p>
    <w:sectPr w:rsidR="00B22E99" w:rsidRPr="005F76F2" w:rsidSect="00921B49">
      <w:headerReference w:type="default" r:id="rId10"/>
      <w:pgSz w:w="11906" w:h="16838"/>
      <w:pgMar w:top="567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20" w:rsidRDefault="005D1720" w:rsidP="00E85842">
      <w:r>
        <w:separator/>
      </w:r>
    </w:p>
  </w:endnote>
  <w:endnote w:type="continuationSeparator" w:id="0">
    <w:p w:rsidR="005D1720" w:rsidRDefault="005D1720" w:rsidP="00E8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20" w:rsidRDefault="005D1720" w:rsidP="00E85842">
      <w:r>
        <w:separator/>
      </w:r>
    </w:p>
  </w:footnote>
  <w:footnote w:type="continuationSeparator" w:id="0">
    <w:p w:rsidR="005D1720" w:rsidRDefault="005D1720" w:rsidP="00E8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0731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5842" w:rsidRDefault="00075304">
        <w:pPr>
          <w:pStyle w:val="af2"/>
          <w:jc w:val="center"/>
        </w:pPr>
        <w:r w:rsidRPr="00921B49">
          <w:fldChar w:fldCharType="begin"/>
        </w:r>
        <w:r w:rsidR="00E85842" w:rsidRPr="00921B49">
          <w:instrText xml:space="preserve"> PAGE   \* MERGEFORMAT </w:instrText>
        </w:r>
        <w:r w:rsidRPr="00921B49">
          <w:fldChar w:fldCharType="separate"/>
        </w:r>
        <w:r w:rsidR="00701771">
          <w:rPr>
            <w:noProof/>
          </w:rPr>
          <w:t>2</w:t>
        </w:r>
        <w:r w:rsidRPr="00921B49">
          <w:rPr>
            <w:noProof/>
          </w:rPr>
          <w:fldChar w:fldCharType="end"/>
        </w:r>
      </w:p>
    </w:sdtContent>
  </w:sdt>
  <w:p w:rsidR="00E85842" w:rsidRDefault="00E8584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AF8"/>
    <w:multiLevelType w:val="hybridMultilevel"/>
    <w:tmpl w:val="D1CA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645"/>
    <w:multiLevelType w:val="multilevel"/>
    <w:tmpl w:val="8C46F7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2" w15:restartNumberingAfterBreak="0">
    <w:nsid w:val="171B1623"/>
    <w:multiLevelType w:val="multilevel"/>
    <w:tmpl w:val="C61836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D354056"/>
    <w:multiLevelType w:val="hybridMultilevel"/>
    <w:tmpl w:val="E02212E0"/>
    <w:lvl w:ilvl="0" w:tplc="7466DD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626F"/>
    <w:multiLevelType w:val="multilevel"/>
    <w:tmpl w:val="FEB63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0" w:hanging="2160"/>
      </w:pPr>
      <w:rPr>
        <w:rFonts w:hint="default"/>
      </w:rPr>
    </w:lvl>
  </w:abstractNum>
  <w:abstractNum w:abstractNumId="5" w15:restartNumberingAfterBreak="0">
    <w:nsid w:val="32AC2510"/>
    <w:multiLevelType w:val="hybridMultilevel"/>
    <w:tmpl w:val="EC7271E4"/>
    <w:lvl w:ilvl="0" w:tplc="CDD4DA22">
      <w:start w:val="1"/>
      <w:numFmt w:val="decimal"/>
      <w:lvlText w:val="%1."/>
      <w:lvlJc w:val="left"/>
      <w:pPr>
        <w:ind w:left="1261" w:hanging="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AC13C0"/>
    <w:multiLevelType w:val="multilevel"/>
    <w:tmpl w:val="CA12A97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222319"/>
    <w:multiLevelType w:val="hybridMultilevel"/>
    <w:tmpl w:val="18364EBA"/>
    <w:lvl w:ilvl="0" w:tplc="E49A7A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D291FE4"/>
    <w:multiLevelType w:val="hybridMultilevel"/>
    <w:tmpl w:val="4D9E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F6033"/>
    <w:multiLevelType w:val="hybridMultilevel"/>
    <w:tmpl w:val="86A02C00"/>
    <w:lvl w:ilvl="0" w:tplc="D2AEF2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B6FBC"/>
    <w:multiLevelType w:val="multilevel"/>
    <w:tmpl w:val="954ADE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FCC1C01"/>
    <w:multiLevelType w:val="multilevel"/>
    <w:tmpl w:val="F48AEA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72958EA"/>
    <w:multiLevelType w:val="hybridMultilevel"/>
    <w:tmpl w:val="E9D2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934E9"/>
    <w:multiLevelType w:val="multilevel"/>
    <w:tmpl w:val="2FDC6E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C4A6E4E"/>
    <w:multiLevelType w:val="hybridMultilevel"/>
    <w:tmpl w:val="C18CA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8"/>
  </w:num>
  <w:num w:numId="7">
    <w:abstractNumId w:val="14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0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45"/>
    <w:rsid w:val="00003C31"/>
    <w:rsid w:val="0000778F"/>
    <w:rsid w:val="000135B6"/>
    <w:rsid w:val="000138F5"/>
    <w:rsid w:val="000227AD"/>
    <w:rsid w:val="00025207"/>
    <w:rsid w:val="00034E5D"/>
    <w:rsid w:val="00036027"/>
    <w:rsid w:val="000375A4"/>
    <w:rsid w:val="00047833"/>
    <w:rsid w:val="00050D73"/>
    <w:rsid w:val="000529C9"/>
    <w:rsid w:val="00055775"/>
    <w:rsid w:val="00057746"/>
    <w:rsid w:val="00060DAC"/>
    <w:rsid w:val="0006353B"/>
    <w:rsid w:val="00063D26"/>
    <w:rsid w:val="00075304"/>
    <w:rsid w:val="00090AF7"/>
    <w:rsid w:val="000A68DE"/>
    <w:rsid w:val="000B0357"/>
    <w:rsid w:val="000B59B7"/>
    <w:rsid w:val="000C30B8"/>
    <w:rsid w:val="000C553B"/>
    <w:rsid w:val="000C5F60"/>
    <w:rsid w:val="000C6154"/>
    <w:rsid w:val="000D2F85"/>
    <w:rsid w:val="000D42C0"/>
    <w:rsid w:val="000E47B7"/>
    <w:rsid w:val="000F0A57"/>
    <w:rsid w:val="00101474"/>
    <w:rsid w:val="00104A29"/>
    <w:rsid w:val="001200FE"/>
    <w:rsid w:val="00123D17"/>
    <w:rsid w:val="00125A7F"/>
    <w:rsid w:val="001268B1"/>
    <w:rsid w:val="00130EE6"/>
    <w:rsid w:val="00131B77"/>
    <w:rsid w:val="001366A3"/>
    <w:rsid w:val="00170F40"/>
    <w:rsid w:val="001717B3"/>
    <w:rsid w:val="001738D4"/>
    <w:rsid w:val="0017505A"/>
    <w:rsid w:val="001754B1"/>
    <w:rsid w:val="00181BAB"/>
    <w:rsid w:val="0018737E"/>
    <w:rsid w:val="00197429"/>
    <w:rsid w:val="001B0FC6"/>
    <w:rsid w:val="001B3953"/>
    <w:rsid w:val="001C09C7"/>
    <w:rsid w:val="001C1457"/>
    <w:rsid w:val="001C26E2"/>
    <w:rsid w:val="001C4C70"/>
    <w:rsid w:val="001D2E3F"/>
    <w:rsid w:val="001D7C72"/>
    <w:rsid w:val="001E5653"/>
    <w:rsid w:val="001E58B8"/>
    <w:rsid w:val="001E7A43"/>
    <w:rsid w:val="001F2D3B"/>
    <w:rsid w:val="0020549E"/>
    <w:rsid w:val="00214060"/>
    <w:rsid w:val="00214B5C"/>
    <w:rsid w:val="00217CF5"/>
    <w:rsid w:val="00224099"/>
    <w:rsid w:val="0022771A"/>
    <w:rsid w:val="0022794D"/>
    <w:rsid w:val="00244FDB"/>
    <w:rsid w:val="002544BF"/>
    <w:rsid w:val="0025454F"/>
    <w:rsid w:val="00254B30"/>
    <w:rsid w:val="002718C3"/>
    <w:rsid w:val="00273F13"/>
    <w:rsid w:val="002745E5"/>
    <w:rsid w:val="00275973"/>
    <w:rsid w:val="00276227"/>
    <w:rsid w:val="0029101E"/>
    <w:rsid w:val="002A5A58"/>
    <w:rsid w:val="002B7846"/>
    <w:rsid w:val="002C5EB3"/>
    <w:rsid w:val="002D712D"/>
    <w:rsid w:val="00304F44"/>
    <w:rsid w:val="00324BE6"/>
    <w:rsid w:val="0033128D"/>
    <w:rsid w:val="00341060"/>
    <w:rsid w:val="00341C4A"/>
    <w:rsid w:val="00346DBD"/>
    <w:rsid w:val="0035109D"/>
    <w:rsid w:val="00363A14"/>
    <w:rsid w:val="00364BF5"/>
    <w:rsid w:val="0037179D"/>
    <w:rsid w:val="003736C9"/>
    <w:rsid w:val="00373E23"/>
    <w:rsid w:val="00376FB1"/>
    <w:rsid w:val="00377C3D"/>
    <w:rsid w:val="0038044E"/>
    <w:rsid w:val="003816CF"/>
    <w:rsid w:val="00384C01"/>
    <w:rsid w:val="00395A45"/>
    <w:rsid w:val="003A21A1"/>
    <w:rsid w:val="003A5B4E"/>
    <w:rsid w:val="003B6046"/>
    <w:rsid w:val="003C1E6F"/>
    <w:rsid w:val="003C1F36"/>
    <w:rsid w:val="003C54EB"/>
    <w:rsid w:val="003C5FDD"/>
    <w:rsid w:val="003C75B9"/>
    <w:rsid w:val="003D0B19"/>
    <w:rsid w:val="003D5224"/>
    <w:rsid w:val="003D755C"/>
    <w:rsid w:val="003E1F5E"/>
    <w:rsid w:val="003E2410"/>
    <w:rsid w:val="003E3801"/>
    <w:rsid w:val="003E53AA"/>
    <w:rsid w:val="003F62D0"/>
    <w:rsid w:val="00403450"/>
    <w:rsid w:val="00411385"/>
    <w:rsid w:val="00414BDB"/>
    <w:rsid w:val="00422A54"/>
    <w:rsid w:val="0042362B"/>
    <w:rsid w:val="004268D1"/>
    <w:rsid w:val="00426E49"/>
    <w:rsid w:val="00435411"/>
    <w:rsid w:val="004369F4"/>
    <w:rsid w:val="004413AA"/>
    <w:rsid w:val="00484E08"/>
    <w:rsid w:val="004A7734"/>
    <w:rsid w:val="004B3D2A"/>
    <w:rsid w:val="004C11BD"/>
    <w:rsid w:val="004D0A5E"/>
    <w:rsid w:val="004E67F4"/>
    <w:rsid w:val="004F642C"/>
    <w:rsid w:val="005000BA"/>
    <w:rsid w:val="00536FB6"/>
    <w:rsid w:val="00537FCB"/>
    <w:rsid w:val="0054575F"/>
    <w:rsid w:val="00545F75"/>
    <w:rsid w:val="005638E0"/>
    <w:rsid w:val="00567D92"/>
    <w:rsid w:val="00577F50"/>
    <w:rsid w:val="00581D1E"/>
    <w:rsid w:val="005839F4"/>
    <w:rsid w:val="00584B13"/>
    <w:rsid w:val="005930B6"/>
    <w:rsid w:val="00597D3E"/>
    <w:rsid w:val="005A2497"/>
    <w:rsid w:val="005A4E00"/>
    <w:rsid w:val="005A4ECB"/>
    <w:rsid w:val="005A50C1"/>
    <w:rsid w:val="005B2EE8"/>
    <w:rsid w:val="005B3F47"/>
    <w:rsid w:val="005B70D8"/>
    <w:rsid w:val="005C3E6A"/>
    <w:rsid w:val="005C561F"/>
    <w:rsid w:val="005D1720"/>
    <w:rsid w:val="005D197A"/>
    <w:rsid w:val="005D1D0F"/>
    <w:rsid w:val="005D1FFE"/>
    <w:rsid w:val="005D32F1"/>
    <w:rsid w:val="005D6078"/>
    <w:rsid w:val="005D644F"/>
    <w:rsid w:val="005E1478"/>
    <w:rsid w:val="005E2035"/>
    <w:rsid w:val="005E4AFC"/>
    <w:rsid w:val="005F66C3"/>
    <w:rsid w:val="005F6872"/>
    <w:rsid w:val="005F76F2"/>
    <w:rsid w:val="006200ED"/>
    <w:rsid w:val="00624047"/>
    <w:rsid w:val="006415B6"/>
    <w:rsid w:val="006565D8"/>
    <w:rsid w:val="00676562"/>
    <w:rsid w:val="006879F8"/>
    <w:rsid w:val="0069046C"/>
    <w:rsid w:val="006A6B50"/>
    <w:rsid w:val="006B0393"/>
    <w:rsid w:val="006B403B"/>
    <w:rsid w:val="006B6E33"/>
    <w:rsid w:val="006C014C"/>
    <w:rsid w:val="006C0946"/>
    <w:rsid w:val="006C4488"/>
    <w:rsid w:val="006D1358"/>
    <w:rsid w:val="006D14A3"/>
    <w:rsid w:val="006E1AF6"/>
    <w:rsid w:val="006F1B82"/>
    <w:rsid w:val="00701771"/>
    <w:rsid w:val="0071091C"/>
    <w:rsid w:val="00712677"/>
    <w:rsid w:val="007127B4"/>
    <w:rsid w:val="007135C0"/>
    <w:rsid w:val="00717CE8"/>
    <w:rsid w:val="00720A5E"/>
    <w:rsid w:val="007335A4"/>
    <w:rsid w:val="0073654E"/>
    <w:rsid w:val="00747A32"/>
    <w:rsid w:val="00750075"/>
    <w:rsid w:val="0075245B"/>
    <w:rsid w:val="00761B6F"/>
    <w:rsid w:val="00761BCB"/>
    <w:rsid w:val="00762941"/>
    <w:rsid w:val="00763C53"/>
    <w:rsid w:val="00764A1F"/>
    <w:rsid w:val="00766149"/>
    <w:rsid w:val="007676F1"/>
    <w:rsid w:val="007758D8"/>
    <w:rsid w:val="00777631"/>
    <w:rsid w:val="007855F8"/>
    <w:rsid w:val="0078745A"/>
    <w:rsid w:val="00787B43"/>
    <w:rsid w:val="007B219D"/>
    <w:rsid w:val="007B42F9"/>
    <w:rsid w:val="007C42EB"/>
    <w:rsid w:val="007E67B2"/>
    <w:rsid w:val="007F267D"/>
    <w:rsid w:val="007F62B4"/>
    <w:rsid w:val="00812855"/>
    <w:rsid w:val="00815426"/>
    <w:rsid w:val="008164B1"/>
    <w:rsid w:val="00832269"/>
    <w:rsid w:val="00835F7C"/>
    <w:rsid w:val="008379CB"/>
    <w:rsid w:val="008475E3"/>
    <w:rsid w:val="00862204"/>
    <w:rsid w:val="00884A6A"/>
    <w:rsid w:val="00885801"/>
    <w:rsid w:val="00887B34"/>
    <w:rsid w:val="008B1678"/>
    <w:rsid w:val="008C2031"/>
    <w:rsid w:val="008C22D0"/>
    <w:rsid w:val="008C55B0"/>
    <w:rsid w:val="008C5C73"/>
    <w:rsid w:val="008E56F4"/>
    <w:rsid w:val="008F4D3F"/>
    <w:rsid w:val="008F52ED"/>
    <w:rsid w:val="008F7432"/>
    <w:rsid w:val="00900778"/>
    <w:rsid w:val="00901D65"/>
    <w:rsid w:val="00902B13"/>
    <w:rsid w:val="00913E2F"/>
    <w:rsid w:val="009176AA"/>
    <w:rsid w:val="00917CCE"/>
    <w:rsid w:val="00921B49"/>
    <w:rsid w:val="00932A0A"/>
    <w:rsid w:val="009348D7"/>
    <w:rsid w:val="0093532E"/>
    <w:rsid w:val="00943033"/>
    <w:rsid w:val="0094761A"/>
    <w:rsid w:val="00950A43"/>
    <w:rsid w:val="009540CC"/>
    <w:rsid w:val="00954C8D"/>
    <w:rsid w:val="00963978"/>
    <w:rsid w:val="00967EAC"/>
    <w:rsid w:val="00972829"/>
    <w:rsid w:val="00973EA1"/>
    <w:rsid w:val="0098387C"/>
    <w:rsid w:val="0098648F"/>
    <w:rsid w:val="00990418"/>
    <w:rsid w:val="009919F9"/>
    <w:rsid w:val="00997A82"/>
    <w:rsid w:val="009A2F23"/>
    <w:rsid w:val="009A4B4B"/>
    <w:rsid w:val="009B1631"/>
    <w:rsid w:val="009B40F4"/>
    <w:rsid w:val="009C150C"/>
    <w:rsid w:val="009D5B3F"/>
    <w:rsid w:val="009E4A32"/>
    <w:rsid w:val="009F5D7A"/>
    <w:rsid w:val="009F5ECA"/>
    <w:rsid w:val="00A01E3E"/>
    <w:rsid w:val="00A10BC5"/>
    <w:rsid w:val="00A129D1"/>
    <w:rsid w:val="00A1519B"/>
    <w:rsid w:val="00A15DC5"/>
    <w:rsid w:val="00A26704"/>
    <w:rsid w:val="00A31810"/>
    <w:rsid w:val="00A33D02"/>
    <w:rsid w:val="00A7145B"/>
    <w:rsid w:val="00A733DB"/>
    <w:rsid w:val="00A73E97"/>
    <w:rsid w:val="00A73FCE"/>
    <w:rsid w:val="00A93142"/>
    <w:rsid w:val="00A94EFE"/>
    <w:rsid w:val="00AA02D1"/>
    <w:rsid w:val="00AA5D39"/>
    <w:rsid w:val="00AB1A45"/>
    <w:rsid w:val="00AC0568"/>
    <w:rsid w:val="00AC4F13"/>
    <w:rsid w:val="00AD13B5"/>
    <w:rsid w:val="00AF775B"/>
    <w:rsid w:val="00B10079"/>
    <w:rsid w:val="00B11570"/>
    <w:rsid w:val="00B1531C"/>
    <w:rsid w:val="00B226F8"/>
    <w:rsid w:val="00B22E99"/>
    <w:rsid w:val="00B2742E"/>
    <w:rsid w:val="00B32232"/>
    <w:rsid w:val="00B427E1"/>
    <w:rsid w:val="00B43F71"/>
    <w:rsid w:val="00B450BF"/>
    <w:rsid w:val="00B50D4F"/>
    <w:rsid w:val="00B53FFD"/>
    <w:rsid w:val="00B60045"/>
    <w:rsid w:val="00B63E8F"/>
    <w:rsid w:val="00B70262"/>
    <w:rsid w:val="00B77959"/>
    <w:rsid w:val="00B83DF6"/>
    <w:rsid w:val="00B967C4"/>
    <w:rsid w:val="00BB1C66"/>
    <w:rsid w:val="00BD0083"/>
    <w:rsid w:val="00BD5770"/>
    <w:rsid w:val="00BE0004"/>
    <w:rsid w:val="00BE1957"/>
    <w:rsid w:val="00BE2056"/>
    <w:rsid w:val="00BE567D"/>
    <w:rsid w:val="00BF7408"/>
    <w:rsid w:val="00C05BDD"/>
    <w:rsid w:val="00C072C9"/>
    <w:rsid w:val="00C11A5E"/>
    <w:rsid w:val="00C12E51"/>
    <w:rsid w:val="00C54AC6"/>
    <w:rsid w:val="00C5552B"/>
    <w:rsid w:val="00C6007C"/>
    <w:rsid w:val="00C7295D"/>
    <w:rsid w:val="00C72EF9"/>
    <w:rsid w:val="00C812F0"/>
    <w:rsid w:val="00C8547B"/>
    <w:rsid w:val="00C86803"/>
    <w:rsid w:val="00C87AB5"/>
    <w:rsid w:val="00CA1925"/>
    <w:rsid w:val="00CA2A56"/>
    <w:rsid w:val="00CA49DD"/>
    <w:rsid w:val="00CB038F"/>
    <w:rsid w:val="00CC1C70"/>
    <w:rsid w:val="00CD0E14"/>
    <w:rsid w:val="00CE16E1"/>
    <w:rsid w:val="00CE53E5"/>
    <w:rsid w:val="00CE5FC9"/>
    <w:rsid w:val="00CF08DA"/>
    <w:rsid w:val="00D01601"/>
    <w:rsid w:val="00D06335"/>
    <w:rsid w:val="00D1455D"/>
    <w:rsid w:val="00D17CC7"/>
    <w:rsid w:val="00D24D34"/>
    <w:rsid w:val="00D363C9"/>
    <w:rsid w:val="00D3748D"/>
    <w:rsid w:val="00D434F6"/>
    <w:rsid w:val="00D507B5"/>
    <w:rsid w:val="00D60311"/>
    <w:rsid w:val="00D75F52"/>
    <w:rsid w:val="00D77196"/>
    <w:rsid w:val="00D823A0"/>
    <w:rsid w:val="00DA30E0"/>
    <w:rsid w:val="00DA3C7A"/>
    <w:rsid w:val="00DA4B4F"/>
    <w:rsid w:val="00DB1ECC"/>
    <w:rsid w:val="00DB6B5A"/>
    <w:rsid w:val="00DB78E1"/>
    <w:rsid w:val="00DC038D"/>
    <w:rsid w:val="00DC34E2"/>
    <w:rsid w:val="00DD14EF"/>
    <w:rsid w:val="00DD7930"/>
    <w:rsid w:val="00DE2C26"/>
    <w:rsid w:val="00DF2AA0"/>
    <w:rsid w:val="00E071D7"/>
    <w:rsid w:val="00E146C2"/>
    <w:rsid w:val="00E30220"/>
    <w:rsid w:val="00E338E9"/>
    <w:rsid w:val="00E34DD7"/>
    <w:rsid w:val="00E40243"/>
    <w:rsid w:val="00E57A60"/>
    <w:rsid w:val="00E85842"/>
    <w:rsid w:val="00E92B7A"/>
    <w:rsid w:val="00E965C6"/>
    <w:rsid w:val="00E9686C"/>
    <w:rsid w:val="00EA2854"/>
    <w:rsid w:val="00EA66D3"/>
    <w:rsid w:val="00EB0C83"/>
    <w:rsid w:val="00EB78D2"/>
    <w:rsid w:val="00ED5A36"/>
    <w:rsid w:val="00EE3622"/>
    <w:rsid w:val="00EE45E0"/>
    <w:rsid w:val="00EE4931"/>
    <w:rsid w:val="00F10CC4"/>
    <w:rsid w:val="00F13F97"/>
    <w:rsid w:val="00F16EE4"/>
    <w:rsid w:val="00F22C4E"/>
    <w:rsid w:val="00F24BB6"/>
    <w:rsid w:val="00F30FBA"/>
    <w:rsid w:val="00F32296"/>
    <w:rsid w:val="00F32E99"/>
    <w:rsid w:val="00F333F7"/>
    <w:rsid w:val="00F40690"/>
    <w:rsid w:val="00F532B7"/>
    <w:rsid w:val="00F55E96"/>
    <w:rsid w:val="00F61FF1"/>
    <w:rsid w:val="00F661B8"/>
    <w:rsid w:val="00F825D8"/>
    <w:rsid w:val="00FA15D0"/>
    <w:rsid w:val="00FB549A"/>
    <w:rsid w:val="00FC19AE"/>
    <w:rsid w:val="00FC6FAE"/>
    <w:rsid w:val="00FD5A34"/>
    <w:rsid w:val="00FD5F66"/>
    <w:rsid w:val="00FF48B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5284BC"/>
  <w15:docId w15:val="{B66487E8-F514-4F9A-93A3-E7D3EA1C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A4"/>
    <w:rPr>
      <w:sz w:val="24"/>
      <w:szCs w:val="24"/>
      <w:lang w:val="ru-RU" w:eastAsia="ru-RU"/>
    </w:rPr>
  </w:style>
  <w:style w:type="paragraph" w:styleId="2">
    <w:name w:val="heading 2"/>
    <w:basedOn w:val="a"/>
    <w:qFormat/>
    <w:rsid w:val="000753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0753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5304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40345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403450"/>
    <w:rPr>
      <w:rFonts w:ascii="Segoe UI" w:hAnsi="Segoe UI" w:cs="Segoe UI"/>
      <w:sz w:val="18"/>
      <w:szCs w:val="18"/>
      <w:lang w:val="ru-RU" w:eastAsia="ru-RU"/>
    </w:rPr>
  </w:style>
  <w:style w:type="character" w:styleId="a6">
    <w:name w:val="annotation reference"/>
    <w:uiPriority w:val="99"/>
    <w:unhideWhenUsed/>
    <w:rsid w:val="0083226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32269"/>
    <w:pPr>
      <w:spacing w:after="200"/>
    </w:pPr>
    <w:rPr>
      <w:rFonts w:eastAsia="Calibri"/>
      <w:i/>
      <w:sz w:val="20"/>
      <w:szCs w:val="20"/>
      <w:lang w:eastAsia="en-US"/>
    </w:rPr>
  </w:style>
  <w:style w:type="character" w:customStyle="1" w:styleId="a8">
    <w:name w:val="Текст примітки Знак"/>
    <w:link w:val="a7"/>
    <w:uiPriority w:val="99"/>
    <w:rsid w:val="00832269"/>
    <w:rPr>
      <w:rFonts w:eastAsia="Calibri"/>
      <w:i/>
      <w:lang w:val="ru-RU" w:eastAsia="en-US"/>
    </w:rPr>
  </w:style>
  <w:style w:type="character" w:customStyle="1" w:styleId="apple-converted-space">
    <w:name w:val="apple-converted-space"/>
    <w:qFormat/>
    <w:rsid w:val="001B3953"/>
    <w:rPr>
      <w:rFonts w:cs="Times New Roman"/>
    </w:rPr>
  </w:style>
  <w:style w:type="paragraph" w:styleId="a9">
    <w:name w:val="List Paragraph"/>
    <w:basedOn w:val="a"/>
    <w:uiPriority w:val="34"/>
    <w:qFormat/>
    <w:rsid w:val="001B3953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9348D7"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17505A"/>
    <w:rPr>
      <w:color w:val="0000FF"/>
      <w:u w:val="single"/>
    </w:rPr>
  </w:style>
  <w:style w:type="character" w:styleId="ac">
    <w:name w:val="Strong"/>
    <w:uiPriority w:val="22"/>
    <w:qFormat/>
    <w:rsid w:val="0017505A"/>
    <w:rPr>
      <w:b/>
      <w:bCs/>
    </w:rPr>
  </w:style>
  <w:style w:type="paragraph" w:styleId="ad">
    <w:name w:val="annotation subject"/>
    <w:basedOn w:val="a7"/>
    <w:next w:val="a7"/>
    <w:link w:val="ae"/>
    <w:rsid w:val="00034E5D"/>
    <w:pPr>
      <w:spacing w:after="0"/>
    </w:pPr>
    <w:rPr>
      <w:rFonts w:eastAsia="Times New Roman"/>
      <w:b/>
      <w:bCs/>
      <w:i w:val="0"/>
      <w:lang w:eastAsia="ru-RU"/>
    </w:rPr>
  </w:style>
  <w:style w:type="character" w:customStyle="1" w:styleId="ae">
    <w:name w:val="Тема примітки Знак"/>
    <w:link w:val="ad"/>
    <w:rsid w:val="00034E5D"/>
    <w:rPr>
      <w:rFonts w:eastAsia="Calibri"/>
      <w:b/>
      <w:bCs/>
      <w:i w:val="0"/>
      <w:lang w:val="ru-RU" w:eastAsia="ru-RU"/>
    </w:rPr>
  </w:style>
  <w:style w:type="paragraph" w:customStyle="1" w:styleId="af">
    <w:name w:val="Знак Знак"/>
    <w:basedOn w:val="a"/>
    <w:rsid w:val="00712677"/>
    <w:rPr>
      <w:rFonts w:ascii="Verdana" w:hAnsi="Verdana"/>
      <w:sz w:val="20"/>
      <w:szCs w:val="20"/>
      <w:lang w:val="en-US" w:eastAsia="en-US"/>
    </w:rPr>
  </w:style>
  <w:style w:type="paragraph" w:styleId="af0">
    <w:name w:val="Revision"/>
    <w:hidden/>
    <w:uiPriority w:val="99"/>
    <w:semiHidden/>
    <w:rsid w:val="00D06335"/>
    <w:rPr>
      <w:sz w:val="24"/>
      <w:szCs w:val="24"/>
      <w:lang w:val="ru-RU" w:eastAsia="ru-RU"/>
    </w:rPr>
  </w:style>
  <w:style w:type="paragraph" w:customStyle="1" w:styleId="af1">
    <w:name w:val="Нормальний текст"/>
    <w:basedOn w:val="a"/>
    <w:rsid w:val="00FC19A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rvps7">
    <w:name w:val="rvps7"/>
    <w:basedOn w:val="a"/>
    <w:rsid w:val="0018737E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18737E"/>
  </w:style>
  <w:style w:type="paragraph" w:customStyle="1" w:styleId="rvps2">
    <w:name w:val="rvps2"/>
    <w:basedOn w:val="a"/>
    <w:rsid w:val="0018737E"/>
    <w:pPr>
      <w:spacing w:before="100" w:beforeAutospacing="1" w:after="100" w:afterAutospacing="1"/>
    </w:pPr>
    <w:rPr>
      <w:lang w:val="uk-UA" w:eastAsia="uk-UA"/>
    </w:rPr>
  </w:style>
  <w:style w:type="paragraph" w:styleId="af2">
    <w:name w:val="header"/>
    <w:basedOn w:val="a"/>
    <w:link w:val="af3"/>
    <w:uiPriority w:val="99"/>
    <w:rsid w:val="00E85842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E85842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E85842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basedOn w:val="a0"/>
    <w:link w:val="af4"/>
    <w:rsid w:val="00E8584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x.minfi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F719-45D8-4E99-9F98-DC50C050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906</Words>
  <Characters>6534</Characters>
  <Application>Microsoft Office Word</Application>
  <DocSecurity>0</DocSecurity>
  <Lines>54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7426</CharactersWithSpaces>
  <SharedDoc>false</SharedDoc>
  <HLinks>
    <vt:vector size="36" baseType="variant">
      <vt:variant>
        <vt:i4>1966200</vt:i4>
      </vt:variant>
      <vt:variant>
        <vt:i4>15</vt:i4>
      </vt:variant>
      <vt:variant>
        <vt:i4>0</vt:i4>
      </vt:variant>
      <vt:variant>
        <vt:i4>5</vt:i4>
      </vt:variant>
      <vt:variant>
        <vt:lpwstr>mailto:support@minfin.gov.ua</vt:lpwstr>
      </vt:variant>
      <vt:variant>
        <vt:lpwstr/>
      </vt:variant>
      <vt:variant>
        <vt:i4>1769475</vt:i4>
      </vt:variant>
      <vt:variant>
        <vt:i4>12</vt:i4>
      </vt:variant>
      <vt:variant>
        <vt:i4>0</vt:i4>
      </vt:variant>
      <vt:variant>
        <vt:i4>5</vt:i4>
      </vt:variant>
      <vt:variant>
        <vt:lpwstr>https://iit.com.ua/downloads</vt:lpwstr>
      </vt:variant>
      <vt:variant>
        <vt:lpwstr/>
      </vt:variant>
      <vt:variant>
        <vt:i4>6357059</vt:i4>
      </vt:variant>
      <vt:variant>
        <vt:i4>9</vt:i4>
      </vt:variant>
      <vt:variant>
        <vt:i4>0</vt:i4>
      </vt:variant>
      <vt:variant>
        <vt:i4>5</vt:i4>
      </vt:variant>
      <vt:variant>
        <vt:lpwstr>https://acskidd.gov.ua/korustyvach_csk</vt:lpwstr>
      </vt:variant>
      <vt:variant>
        <vt:lpwstr/>
      </vt:variant>
      <vt:variant>
        <vt:i4>8192126</vt:i4>
      </vt:variant>
      <vt:variant>
        <vt:i4>6</vt:i4>
      </vt:variant>
      <vt:variant>
        <vt:i4>0</vt:i4>
      </vt:variant>
      <vt:variant>
        <vt:i4>5</vt:i4>
      </vt:variant>
      <vt:variant>
        <vt:lpwstr>https://acskidd.gov.ua/index.php?page=ddownload&amp;sn=5923767</vt:lpwstr>
      </vt:variant>
      <vt:variant>
        <vt:lpwstr/>
      </vt:variant>
      <vt:variant>
        <vt:i4>70844500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_Приклад_листа_для</vt:lpwstr>
      </vt:variant>
      <vt:variant>
        <vt:i4>7995454</vt:i4>
      </vt:variant>
      <vt:variant>
        <vt:i4>0</vt:i4>
      </vt:variant>
      <vt:variant>
        <vt:i4>0</vt:i4>
      </vt:variant>
      <vt:variant>
        <vt:i4>5</vt:i4>
      </vt:variant>
      <vt:variant>
        <vt:lpwstr>https://box.minfin.gov.ua/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Володимир Валентинович</dc:creator>
  <cp:lastModifiedBy>Гринчук Ольга Іванівна</cp:lastModifiedBy>
  <cp:revision>11</cp:revision>
  <cp:lastPrinted>2019-02-20T16:06:00Z</cp:lastPrinted>
  <dcterms:created xsi:type="dcterms:W3CDTF">2019-02-08T12:27:00Z</dcterms:created>
  <dcterms:modified xsi:type="dcterms:W3CDTF">2019-03-11T13:02:00Z</dcterms:modified>
</cp:coreProperties>
</file>