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ED245B" w:rsidRDefault="00855B2F" w:rsidP="00855B2F">
      <w:pPr>
        <w:jc w:val="center"/>
        <w:rPr>
          <w:b/>
          <w:bCs/>
          <w:color w:val="000000" w:themeColor="text1"/>
        </w:rPr>
      </w:pPr>
      <w:r w:rsidRPr="00ED245B">
        <w:rPr>
          <w:b/>
          <w:bCs/>
          <w:color w:val="000000" w:themeColor="text1"/>
        </w:rPr>
        <w:t xml:space="preserve">Повідомлення про оприлюднення </w:t>
      </w:r>
    </w:p>
    <w:p w:rsidR="00855B2F" w:rsidRPr="00ED245B" w:rsidRDefault="0092041A" w:rsidP="00ED245B">
      <w:pPr>
        <w:pStyle w:val="4"/>
        <w:widowControl w:val="0"/>
        <w:tabs>
          <w:tab w:val="left" w:pos="709"/>
        </w:tabs>
        <w:rPr>
          <w:bCs/>
          <w:color w:val="000000" w:themeColor="text1"/>
          <w:sz w:val="24"/>
          <w:szCs w:val="24"/>
        </w:rPr>
      </w:pPr>
      <w:r w:rsidRPr="00ED245B">
        <w:rPr>
          <w:sz w:val="24"/>
          <w:szCs w:val="24"/>
        </w:rPr>
        <w:t xml:space="preserve">проекту </w:t>
      </w:r>
      <w:r w:rsidR="00ED245B" w:rsidRPr="00ED245B">
        <w:rPr>
          <w:sz w:val="24"/>
          <w:szCs w:val="24"/>
        </w:rPr>
        <w:t xml:space="preserve">наказу Міністерства фінансів України </w:t>
      </w:r>
      <w:r w:rsidRPr="00ED245B">
        <w:rPr>
          <w:sz w:val="24"/>
          <w:szCs w:val="24"/>
        </w:rPr>
        <w:t>«</w:t>
      </w:r>
      <w:r w:rsidR="00ED245B" w:rsidRPr="00ED245B">
        <w:rPr>
          <w:sz w:val="24"/>
          <w:szCs w:val="24"/>
        </w:rPr>
        <w:t>Про внесення змін до деяких нормативно-правових актів Міністерства фінансів України</w:t>
      </w:r>
      <w:r w:rsidRPr="00ED245B">
        <w:rPr>
          <w:sz w:val="24"/>
          <w:szCs w:val="24"/>
        </w:rPr>
        <w:t>»</w:t>
      </w:r>
    </w:p>
    <w:p w:rsidR="00855B2F" w:rsidRPr="00ED245B" w:rsidRDefault="00855B2F" w:rsidP="00855B2F">
      <w:pPr>
        <w:rPr>
          <w:b/>
          <w:lang w:eastAsia="ru-RU"/>
        </w:rPr>
      </w:pPr>
    </w:p>
    <w:p w:rsidR="00855B2F" w:rsidRPr="00ED245B" w:rsidRDefault="00855B2F" w:rsidP="00E00D20">
      <w:pPr>
        <w:ind w:firstLine="567"/>
        <w:jc w:val="both"/>
        <w:rPr>
          <w:lang w:eastAsia="ru-RU"/>
        </w:rPr>
      </w:pPr>
      <w:r w:rsidRPr="00ED245B">
        <w:rPr>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sidRPr="00ED245B">
        <w:t xml:space="preserve"> </w:t>
      </w:r>
      <w:r w:rsidRPr="00ED245B">
        <w:rPr>
          <w:lang w:eastAsia="ru-RU"/>
        </w:rPr>
        <w:t xml:space="preserve">проекту </w:t>
      </w:r>
      <w:r w:rsidR="00ED245B" w:rsidRPr="00ED245B">
        <w:rPr>
          <w:lang w:eastAsia="ru-RU"/>
        </w:rPr>
        <w:t xml:space="preserve">наказу Міністерства фінансів України «Про внесення змін до деяких нормативно-правових актів Міністерства фінансів України» </w:t>
      </w:r>
      <w:r w:rsidRPr="00ED245B">
        <w:rPr>
          <w:lang w:eastAsia="ru-RU"/>
        </w:rPr>
        <w:t xml:space="preserve">(далі – </w:t>
      </w:r>
      <w:r w:rsidR="0092041A" w:rsidRPr="00ED245B">
        <w:rPr>
          <w:lang w:eastAsia="ru-RU"/>
        </w:rPr>
        <w:t>П</w:t>
      </w:r>
      <w:r w:rsidRPr="00ED245B">
        <w:rPr>
          <w:lang w:eastAsia="ru-RU"/>
        </w:rPr>
        <w:t>роект</w:t>
      </w:r>
      <w:r w:rsidR="0092041A" w:rsidRPr="00ED245B">
        <w:rPr>
          <w:lang w:eastAsia="ru-RU"/>
        </w:rPr>
        <w:t xml:space="preserve"> акта</w:t>
      </w:r>
      <w:r w:rsidRPr="00ED245B">
        <w:rPr>
          <w:lang w:eastAsia="ru-RU"/>
        </w:rPr>
        <w:t>)</w:t>
      </w:r>
      <w:r w:rsidRPr="00ED245B">
        <w:t xml:space="preserve"> </w:t>
      </w:r>
      <w:r w:rsidRPr="00ED245B">
        <w:rPr>
          <w:lang w:eastAsia="ru-RU"/>
        </w:rPr>
        <w:t>для отримання зауважень та пропозицій.</w:t>
      </w:r>
    </w:p>
    <w:p w:rsidR="0092041A" w:rsidRPr="00ED245B" w:rsidRDefault="00855B2F" w:rsidP="00E00D20">
      <w:pPr>
        <w:widowControl w:val="0"/>
        <w:ind w:firstLine="567"/>
        <w:jc w:val="both"/>
      </w:pPr>
      <w:r w:rsidRPr="00ED245B">
        <w:rPr>
          <w:lang w:eastAsia="ru-RU"/>
        </w:rPr>
        <w:t>Проект</w:t>
      </w:r>
      <w:r w:rsidR="0092041A" w:rsidRPr="00ED245B">
        <w:rPr>
          <w:lang w:eastAsia="ru-RU"/>
        </w:rPr>
        <w:t xml:space="preserve"> акта</w:t>
      </w:r>
      <w:r w:rsidRPr="00ED245B">
        <w:rPr>
          <w:lang w:eastAsia="ru-RU"/>
        </w:rPr>
        <w:t xml:space="preserve"> </w:t>
      </w:r>
      <w:r w:rsidR="001554E6" w:rsidRPr="00ED245B">
        <w:rPr>
          <w:lang w:eastAsia="ru-RU"/>
        </w:rPr>
        <w:t>розроблений</w:t>
      </w:r>
      <w:r w:rsidR="0092041A" w:rsidRPr="00ED245B">
        <w:rPr>
          <w:lang w:eastAsia="ru-RU"/>
        </w:rPr>
        <w:t xml:space="preserve"> </w:t>
      </w:r>
      <w:r w:rsidR="00ED245B" w:rsidRPr="00ED245B">
        <w:t>з метою удосконалення контролю за дотриманням умов контрольованих операцій принципу «витягнутої руки».</w:t>
      </w:r>
    </w:p>
    <w:p w:rsidR="00ED245B" w:rsidRPr="00ED245B" w:rsidRDefault="00ED245B" w:rsidP="00E00D20">
      <w:pPr>
        <w:widowControl w:val="0"/>
        <w:tabs>
          <w:tab w:val="left" w:pos="851"/>
        </w:tabs>
        <w:ind w:firstLine="567"/>
        <w:jc w:val="both"/>
        <w:rPr>
          <w:rFonts w:eastAsiaTheme="majorEastAsia"/>
          <w:bCs/>
        </w:rPr>
      </w:pPr>
      <w:r w:rsidRPr="00ED245B">
        <w:rPr>
          <w:rFonts w:eastAsiaTheme="majorEastAsia"/>
          <w:bCs/>
        </w:rPr>
        <w:t>Проектом акта передбачено удосконалення контролю за дотриманням умов контрольованої операції принципу «витягнутої руки» шляхом:</w:t>
      </w:r>
    </w:p>
    <w:p w:rsidR="00ED245B" w:rsidRPr="00ED245B" w:rsidRDefault="00ED245B" w:rsidP="00E00D20">
      <w:pPr>
        <w:widowControl w:val="0"/>
        <w:tabs>
          <w:tab w:val="left" w:pos="851"/>
        </w:tabs>
        <w:ind w:firstLine="567"/>
        <w:jc w:val="both"/>
        <w:rPr>
          <w:rFonts w:eastAsiaTheme="majorEastAsia"/>
          <w:bCs/>
        </w:rPr>
      </w:pPr>
      <w:r w:rsidRPr="00ED245B">
        <w:rPr>
          <w:rFonts w:eastAsiaTheme="majorEastAsia"/>
          <w:bCs/>
        </w:rPr>
        <w:t xml:space="preserve">уточнення відомостей про особу, що здійснює контрольовані операції, </w:t>
      </w:r>
      <w:r w:rsidRPr="00ED245B">
        <w:rPr>
          <w:rFonts w:eastAsiaTheme="majorEastAsia"/>
          <w:bCs/>
        </w:rPr>
        <w:br/>
        <w:t>звіту КО щодо обов’язку платника податків зазначати:</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інформацію щодо пов’язаності або відсутності пов’язаності з контрагентом-нерезидентом;</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всі підстави віднесення операцій до контрольованих;</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номер і дату доповнення (змін) до контракту (договору);</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код умов постачання згідно з правилами «Інкотермс»;</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суму фактично отриманих коштів у валюті контракту чи суму кредиту згідно з умовами контракту у валюті контракту, якщо предметом контрольованої операції є фінансова операція;</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курс валюти на дату відображення контрольованої операції у бухгалтерському обліку, якщо контракт (договір) укладено у грошовій формі, відмінній від національної валюти України;</w:t>
      </w:r>
    </w:p>
    <w:p w:rsidR="00ED245B" w:rsidRPr="00ED245B" w:rsidRDefault="00ED245B" w:rsidP="00E00D20">
      <w:pPr>
        <w:tabs>
          <w:tab w:val="left" w:pos="851"/>
        </w:tabs>
        <w:ind w:firstLine="567"/>
        <w:jc w:val="both"/>
      </w:pPr>
      <w:r w:rsidRPr="00ED245B">
        <w:rPr>
          <w:rFonts w:eastAsiaTheme="majorEastAsia"/>
          <w:bCs/>
        </w:rPr>
        <w:t>уточнення додатка ТЦ до Податкової декларації з податку на прибуток підприємств щодо обов’язку платника податків зазначати:</w:t>
      </w:r>
    </w:p>
    <w:p w:rsidR="00ED245B" w:rsidRPr="00ED245B" w:rsidRDefault="00ED245B" w:rsidP="00E00D20">
      <w:pPr>
        <w:tabs>
          <w:tab w:val="left" w:pos="851"/>
        </w:tabs>
        <w:ind w:firstLine="567"/>
        <w:jc w:val="both"/>
        <w:rPr>
          <w:rFonts w:eastAsiaTheme="majorEastAsia"/>
          <w:bCs/>
        </w:rPr>
      </w:pPr>
      <w:r w:rsidRPr="00ED245B">
        <w:rPr>
          <w:rFonts w:eastAsiaTheme="majorEastAsia"/>
          <w:bCs/>
        </w:rPr>
        <w:t>номер і дату доповнення (змін) до контракту (договору);</w:t>
      </w:r>
    </w:p>
    <w:p w:rsidR="00ED245B" w:rsidRPr="00ED245B" w:rsidRDefault="00ED245B" w:rsidP="00E00D20">
      <w:pPr>
        <w:ind w:firstLine="567"/>
        <w:jc w:val="both"/>
      </w:pPr>
      <w:r w:rsidRPr="00ED245B">
        <w:t>умови постачання товарів відповідно до правил «Інкотермс»;</w:t>
      </w:r>
    </w:p>
    <w:p w:rsidR="00ED245B" w:rsidRPr="00ED245B" w:rsidRDefault="00ED245B" w:rsidP="00E00D20">
      <w:pPr>
        <w:ind w:firstLine="567"/>
        <w:jc w:val="both"/>
      </w:pPr>
      <w:r w:rsidRPr="00ED245B">
        <w:t xml:space="preserve">показник, що коригується, та одиниці виміру </w:t>
      </w:r>
      <w:r w:rsidRPr="00ED245B">
        <w:rPr>
          <w:rFonts w:eastAsiaTheme="majorEastAsia"/>
          <w:bCs/>
        </w:rPr>
        <w:t>продажу (придбання) товарів (робіт, послуг)</w:t>
      </w:r>
      <w:r w:rsidRPr="00ED245B">
        <w:t>.</w:t>
      </w:r>
    </w:p>
    <w:p w:rsidR="00855B2F" w:rsidRPr="0024711A" w:rsidRDefault="00855B2F" w:rsidP="00E00D20">
      <w:pPr>
        <w:pStyle w:val="4"/>
        <w:keepNext w:val="0"/>
        <w:widowControl w:val="0"/>
        <w:tabs>
          <w:tab w:val="left" w:pos="709"/>
        </w:tabs>
        <w:ind w:firstLine="567"/>
        <w:jc w:val="both"/>
        <w:rPr>
          <w:b w:val="0"/>
          <w:sz w:val="24"/>
          <w:szCs w:val="24"/>
        </w:rPr>
      </w:pPr>
      <w:r w:rsidRPr="00ED245B">
        <w:rPr>
          <w:b w:val="0"/>
          <w:color w:val="000000" w:themeColor="text1"/>
          <w:sz w:val="24"/>
          <w:szCs w:val="24"/>
        </w:rPr>
        <w:t xml:space="preserve">Проект </w:t>
      </w:r>
      <w:r w:rsidR="0092041A" w:rsidRPr="00ED245B">
        <w:rPr>
          <w:b w:val="0"/>
          <w:color w:val="000000" w:themeColor="text1"/>
          <w:sz w:val="24"/>
          <w:szCs w:val="24"/>
        </w:rPr>
        <w:t>акта</w:t>
      </w:r>
      <w:r w:rsidR="000305A6" w:rsidRPr="00ED245B">
        <w:rPr>
          <w:b w:val="0"/>
          <w:color w:val="000000" w:themeColor="text1"/>
          <w:sz w:val="24"/>
          <w:szCs w:val="24"/>
        </w:rPr>
        <w:t xml:space="preserve"> </w:t>
      </w:r>
      <w:r w:rsidRPr="00ED245B">
        <w:rPr>
          <w:b w:val="0"/>
          <w:color w:val="000000" w:themeColor="text1"/>
          <w:sz w:val="24"/>
          <w:szCs w:val="24"/>
        </w:rPr>
        <w:t>та аналіз його регуляторного впливу оприлюднені на офіційному вебсайті Міністерства фінансів України (</w:t>
      </w:r>
      <w:bookmarkStart w:id="0" w:name="_GoBack"/>
      <w:r w:rsidR="00DF4BBE" w:rsidRPr="0024711A">
        <w:rPr>
          <w:b w:val="0"/>
        </w:rPr>
        <w:fldChar w:fldCharType="begin"/>
      </w:r>
      <w:r w:rsidR="00DF4BBE" w:rsidRPr="0024711A">
        <w:rPr>
          <w:b w:val="0"/>
        </w:rPr>
        <w:instrText xml:space="preserve"> HYPERLINK "https://www.mof.gov.ua/uk" </w:instrText>
      </w:r>
      <w:r w:rsidR="00DF4BBE" w:rsidRPr="0024711A">
        <w:rPr>
          <w:b w:val="0"/>
        </w:rPr>
        <w:fldChar w:fldCharType="separate"/>
      </w:r>
      <w:r w:rsidRPr="0024711A">
        <w:rPr>
          <w:b w:val="0"/>
          <w:sz w:val="24"/>
          <w:szCs w:val="24"/>
        </w:rPr>
        <w:t>https://www.mof.gov.ua/uk</w:t>
      </w:r>
      <w:r w:rsidR="00DF4BBE" w:rsidRPr="0024711A">
        <w:rPr>
          <w:b w:val="0"/>
          <w:sz w:val="24"/>
          <w:szCs w:val="24"/>
        </w:rPr>
        <w:fldChar w:fldCharType="end"/>
      </w:r>
      <w:r w:rsidRPr="0024711A">
        <w:rPr>
          <w:b w:val="0"/>
          <w:sz w:val="24"/>
          <w:szCs w:val="24"/>
        </w:rPr>
        <w:t>) у рубриці «Проекти регуляторних актів для обговорення/Проекти регуляторних актів для обговорення у 202</w:t>
      </w:r>
      <w:r w:rsidR="0092041A" w:rsidRPr="0024711A">
        <w:rPr>
          <w:b w:val="0"/>
          <w:sz w:val="24"/>
          <w:szCs w:val="24"/>
        </w:rPr>
        <w:t>3</w:t>
      </w:r>
      <w:r w:rsidRPr="0024711A">
        <w:rPr>
          <w:b w:val="0"/>
          <w:sz w:val="24"/>
          <w:szCs w:val="24"/>
        </w:rPr>
        <w:t xml:space="preserve"> р.» розділу «Законодавство».</w:t>
      </w:r>
    </w:p>
    <w:p w:rsidR="00855B2F" w:rsidRPr="0024711A" w:rsidRDefault="00855B2F" w:rsidP="00E00D20">
      <w:pPr>
        <w:pStyle w:val="4"/>
        <w:keepNext w:val="0"/>
        <w:widowControl w:val="0"/>
        <w:tabs>
          <w:tab w:val="left" w:pos="709"/>
        </w:tabs>
        <w:ind w:firstLine="567"/>
        <w:jc w:val="both"/>
        <w:rPr>
          <w:b w:val="0"/>
          <w:sz w:val="24"/>
          <w:szCs w:val="24"/>
        </w:rPr>
      </w:pPr>
      <w:r w:rsidRPr="0024711A">
        <w:rPr>
          <w:b w:val="0"/>
          <w:sz w:val="24"/>
          <w:szCs w:val="24"/>
        </w:rPr>
        <w:t xml:space="preserve">Зауваження та пропозиції до проекту </w:t>
      </w:r>
      <w:r w:rsidR="00ED245B" w:rsidRPr="0024711A">
        <w:rPr>
          <w:b w:val="0"/>
          <w:sz w:val="24"/>
          <w:szCs w:val="24"/>
          <w:lang w:val="ru-RU"/>
        </w:rPr>
        <w:t>акта</w:t>
      </w:r>
      <w:r w:rsidRPr="0024711A">
        <w:rPr>
          <w:b w:val="0"/>
          <w:sz w:val="24"/>
          <w:szCs w:val="24"/>
          <w:lang w:val="ru-RU"/>
        </w:rPr>
        <w:t xml:space="preserve"> </w:t>
      </w:r>
      <w:r w:rsidRPr="0024711A">
        <w:rPr>
          <w:b w:val="0"/>
          <w:sz w:val="24"/>
          <w:szCs w:val="24"/>
        </w:rPr>
        <w:t>у письмовій та електронній формі надсилати на адреси:</w:t>
      </w:r>
    </w:p>
    <w:p w:rsidR="002B2A41" w:rsidRPr="0024711A" w:rsidRDefault="00855B2F" w:rsidP="00E00D20">
      <w:pPr>
        <w:ind w:firstLine="567"/>
        <w:jc w:val="both"/>
      </w:pPr>
      <w:r w:rsidRPr="0024711A">
        <w:t xml:space="preserve">Міністерство фінансів України, вул. Грушевського, 12/2, м. Київ-8, </w:t>
      </w:r>
      <w:r w:rsidR="0092041A" w:rsidRPr="0024711A">
        <w:t xml:space="preserve">01008, </w:t>
      </w:r>
      <w:r w:rsidR="00ED245B" w:rsidRPr="0024711A">
        <w:t xml:space="preserve">                              </w:t>
      </w:r>
      <w:r w:rsidR="0092041A" w:rsidRPr="0024711A">
        <w:t>е-mail: </w:t>
      </w:r>
      <w:r w:rsidR="002B2A41" w:rsidRPr="0024711A">
        <w:rPr>
          <w:lang w:eastAsia="ru-RU"/>
        </w:rPr>
        <w:t>infomf@minfin.gov.ua,</w:t>
      </w:r>
      <w:r w:rsidR="00AD7B12" w:rsidRPr="0024711A">
        <w:rPr>
          <w:lang w:eastAsia="ru-RU"/>
        </w:rPr>
        <w:t> </w:t>
      </w:r>
      <w:hyperlink r:id="rId8" w:history="1">
        <w:r w:rsidR="00ED245B" w:rsidRPr="0024711A">
          <w:rPr>
            <w:rStyle w:val="a3"/>
            <w:color w:val="auto"/>
            <w:lang w:eastAsia="ru-RU"/>
          </w:rPr>
          <w:t>kirichenkoav@minfin.gov.ua</w:t>
        </w:r>
      </w:hyperlink>
      <w:r w:rsidR="00ED245B" w:rsidRPr="0024711A">
        <w:rPr>
          <w:lang w:eastAsia="ru-RU"/>
        </w:rPr>
        <w:t xml:space="preserve"> </w:t>
      </w:r>
      <w:r w:rsidR="002B2A41" w:rsidRPr="0024711A">
        <w:rPr>
          <w:lang w:eastAsia="ru-RU"/>
        </w:rPr>
        <w:t>та</w:t>
      </w:r>
      <w:r w:rsidR="00ED245B" w:rsidRPr="0024711A">
        <w:rPr>
          <w:lang w:eastAsia="ru-RU"/>
        </w:rPr>
        <w:t> </w:t>
      </w:r>
      <w:r w:rsidR="002B2A41" w:rsidRPr="0024711A">
        <w:rPr>
          <w:lang w:eastAsia="ru-RU"/>
        </w:rPr>
        <w:t>visoven@minfin.gov.ua.</w:t>
      </w:r>
    </w:p>
    <w:p w:rsidR="00855B2F" w:rsidRPr="0024711A" w:rsidRDefault="00855B2F" w:rsidP="00E00D20">
      <w:pPr>
        <w:widowControl w:val="0"/>
        <w:ind w:firstLine="567"/>
        <w:jc w:val="both"/>
        <w:rPr>
          <w:lang w:val="ru-RU"/>
        </w:rPr>
      </w:pPr>
      <w:r w:rsidRPr="0024711A">
        <w:t xml:space="preserve">Державна регуляторна служба України, вул. </w:t>
      </w:r>
      <w:r w:rsidRPr="0024711A">
        <w:rPr>
          <w:lang w:val="ru-RU"/>
        </w:rPr>
        <w:t>Арсенальна, буд. 9/11</w:t>
      </w:r>
      <w:r w:rsidRPr="0024711A">
        <w:t>, м. Київ, 01011, е</w:t>
      </w:r>
      <w:r w:rsidRPr="0024711A">
        <w:rPr>
          <w:lang w:val="ru-RU"/>
        </w:rPr>
        <w:t xml:space="preserve">-mail: </w:t>
      </w:r>
      <w:r w:rsidRPr="0024711A">
        <w:rPr>
          <w:rStyle w:val="a3"/>
          <w:color w:val="auto"/>
          <w:lang w:val="en-US"/>
        </w:rPr>
        <w:t>inform</w:t>
      </w:r>
      <w:r w:rsidRPr="0024711A">
        <w:rPr>
          <w:rStyle w:val="a3"/>
          <w:color w:val="auto"/>
          <w:lang w:val="ru-RU"/>
        </w:rPr>
        <w:t>@</w:t>
      </w:r>
      <w:r w:rsidRPr="0024711A">
        <w:rPr>
          <w:rStyle w:val="a3"/>
          <w:color w:val="auto"/>
          <w:lang w:val="en-US"/>
        </w:rPr>
        <w:t>dkrp</w:t>
      </w:r>
      <w:r w:rsidRPr="0024711A">
        <w:rPr>
          <w:rStyle w:val="a3"/>
          <w:color w:val="auto"/>
          <w:lang w:val="ru-RU"/>
        </w:rPr>
        <w:t>.</w:t>
      </w:r>
      <w:r w:rsidRPr="0024711A">
        <w:rPr>
          <w:rStyle w:val="a3"/>
          <w:color w:val="auto"/>
          <w:lang w:val="en-US"/>
        </w:rPr>
        <w:t>gov</w:t>
      </w:r>
      <w:r w:rsidRPr="0024711A">
        <w:rPr>
          <w:rStyle w:val="a3"/>
          <w:color w:val="auto"/>
          <w:lang w:val="ru-RU"/>
        </w:rPr>
        <w:t>.</w:t>
      </w:r>
      <w:r w:rsidRPr="0024711A">
        <w:rPr>
          <w:rStyle w:val="a3"/>
          <w:color w:val="auto"/>
          <w:lang w:val="en-US"/>
        </w:rPr>
        <w:t>ua</w:t>
      </w:r>
      <w:r w:rsidRPr="0024711A">
        <w:rPr>
          <w:rStyle w:val="a3"/>
          <w:color w:val="auto"/>
          <w:lang w:val="ru-RU"/>
        </w:rPr>
        <w:t>.</w:t>
      </w:r>
    </w:p>
    <w:bookmarkEnd w:id="0"/>
    <w:p w:rsidR="00855B2F" w:rsidRPr="00ED245B" w:rsidRDefault="00855B2F" w:rsidP="00855B2F">
      <w:pPr>
        <w:jc w:val="center"/>
        <w:rPr>
          <w:b/>
          <w:color w:val="000000" w:themeColor="text1"/>
          <w:lang w:val="en-US"/>
        </w:rPr>
      </w:pPr>
      <w:r w:rsidRPr="00ED245B">
        <w:rPr>
          <w:b/>
          <w:color w:val="000000" w:themeColor="text1"/>
          <w:lang w:val="en-US"/>
        </w:rPr>
        <w:t>_________________________________________</w:t>
      </w:r>
    </w:p>
    <w:p w:rsidR="007D736F" w:rsidRPr="00ED245B" w:rsidRDefault="007D736F">
      <w:pPr>
        <w:rPr>
          <w:color w:val="000000" w:themeColor="text1"/>
        </w:rPr>
      </w:pPr>
    </w:p>
    <w:p w:rsidR="007D736F" w:rsidRPr="00ED245B" w:rsidRDefault="007D736F">
      <w:pPr>
        <w:rPr>
          <w:color w:val="000000" w:themeColor="text1"/>
        </w:rPr>
      </w:pPr>
    </w:p>
    <w:p w:rsidR="007D736F" w:rsidRPr="00ED245B" w:rsidRDefault="007D736F">
      <w:pPr>
        <w:rPr>
          <w:color w:val="000000" w:themeColor="text1"/>
        </w:rPr>
      </w:pPr>
    </w:p>
    <w:p w:rsidR="007D736F" w:rsidRPr="00ED245B" w:rsidRDefault="007D736F">
      <w:pPr>
        <w:rPr>
          <w:color w:val="000000" w:themeColor="text1"/>
        </w:rPr>
      </w:pPr>
    </w:p>
    <w:p w:rsidR="007D736F" w:rsidRPr="00ED245B" w:rsidRDefault="007D736F">
      <w:pPr>
        <w:rPr>
          <w:color w:val="000000" w:themeColor="text1"/>
        </w:rPr>
      </w:pPr>
    </w:p>
    <w:sectPr w:rsidR="007D736F" w:rsidRPr="00ED245B" w:rsidSect="000E3831">
      <w:pgSz w:w="11906" w:h="16838" w:code="9"/>
      <w:pgMar w:top="28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BE" w:rsidRDefault="00DF4BBE" w:rsidP="00283F5D">
      <w:r>
        <w:separator/>
      </w:r>
    </w:p>
  </w:endnote>
  <w:endnote w:type="continuationSeparator" w:id="0">
    <w:p w:rsidR="00DF4BBE" w:rsidRDefault="00DF4BBE"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BE" w:rsidRDefault="00DF4BBE" w:rsidP="00283F5D">
      <w:r>
        <w:separator/>
      </w:r>
    </w:p>
  </w:footnote>
  <w:footnote w:type="continuationSeparator" w:id="0">
    <w:p w:rsidR="00DF4BBE" w:rsidRDefault="00DF4BBE"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4757189"/>
    <w:multiLevelType w:val="hybridMultilevel"/>
    <w:tmpl w:val="CDBC6272"/>
    <w:lvl w:ilvl="0" w:tplc="C2BEA9BA">
      <w:start w:val="2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314C"/>
    <w:rsid w:val="00084C45"/>
    <w:rsid w:val="000879DA"/>
    <w:rsid w:val="000914E2"/>
    <w:rsid w:val="00092502"/>
    <w:rsid w:val="0009446B"/>
    <w:rsid w:val="000A72EE"/>
    <w:rsid w:val="000D5414"/>
    <w:rsid w:val="000E3831"/>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4711A"/>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A523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710E62"/>
    <w:rsid w:val="00715830"/>
    <w:rsid w:val="00722C70"/>
    <w:rsid w:val="00746DD5"/>
    <w:rsid w:val="00750A55"/>
    <w:rsid w:val="0075213D"/>
    <w:rsid w:val="007813ED"/>
    <w:rsid w:val="007C1328"/>
    <w:rsid w:val="007C7491"/>
    <w:rsid w:val="007D736F"/>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2041A"/>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B4977"/>
    <w:rsid w:val="00AC1AB5"/>
    <w:rsid w:val="00AC31DF"/>
    <w:rsid w:val="00AC375C"/>
    <w:rsid w:val="00AC65D9"/>
    <w:rsid w:val="00AC7890"/>
    <w:rsid w:val="00AD1E00"/>
    <w:rsid w:val="00AD7B12"/>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74E8"/>
    <w:rsid w:val="00CB20D2"/>
    <w:rsid w:val="00CC12C2"/>
    <w:rsid w:val="00CC7183"/>
    <w:rsid w:val="00CC71F2"/>
    <w:rsid w:val="00CE6484"/>
    <w:rsid w:val="00D14615"/>
    <w:rsid w:val="00D31540"/>
    <w:rsid w:val="00D50108"/>
    <w:rsid w:val="00D76D78"/>
    <w:rsid w:val="00D919C6"/>
    <w:rsid w:val="00DD50C8"/>
    <w:rsid w:val="00DE018E"/>
    <w:rsid w:val="00DF00EB"/>
    <w:rsid w:val="00DF0D08"/>
    <w:rsid w:val="00DF4BBE"/>
    <w:rsid w:val="00E00D20"/>
    <w:rsid w:val="00E035FF"/>
    <w:rsid w:val="00E16915"/>
    <w:rsid w:val="00E213A8"/>
    <w:rsid w:val="00E223B7"/>
    <w:rsid w:val="00E343CF"/>
    <w:rsid w:val="00E45417"/>
    <w:rsid w:val="00E457CE"/>
    <w:rsid w:val="00E657A7"/>
    <w:rsid w:val="00E80523"/>
    <w:rsid w:val="00E87D99"/>
    <w:rsid w:val="00EA0DB1"/>
    <w:rsid w:val="00ED245B"/>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Web)"/>
    <w:basedOn w:val="a"/>
    <w:uiPriority w:val="99"/>
    <w:unhideWhenUsed/>
    <w:qFormat/>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305819080">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946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chenkoav@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0CEA-8E24-4DFB-BC52-92E93FEB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1675</Words>
  <Characters>956</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8</cp:revision>
  <cp:lastPrinted>2019-06-07T07:45:00Z</cp:lastPrinted>
  <dcterms:created xsi:type="dcterms:W3CDTF">2020-11-16T15:57:00Z</dcterms:created>
  <dcterms:modified xsi:type="dcterms:W3CDTF">2023-10-06T11:05:00Z</dcterms:modified>
</cp:coreProperties>
</file>