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Повідомлення про оприлюднення </w:t>
      </w:r>
    </w:p>
    <w:p>
      <w:pPr>
        <w:pStyle w:val="Звичайни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проект</w:t>
      </w:r>
      <w:r>
        <w:rPr>
          <w:b w:val="1"/>
          <w:bCs w:val="1"/>
          <w:sz w:val="28"/>
          <w:szCs w:val="28"/>
          <w:rtl w:val="0"/>
        </w:rPr>
        <w:t>у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постанови Кабінету Міністрів України «Про затвердження Порядку ведення та форми Реєстру заяв про повернення суми бюджетного відшкодування податку на додану вартість»</w:t>
      </w: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Звичайний"/>
        <w:jc w:val="center"/>
        <w:rPr>
          <w:b w:val="1"/>
          <w:bCs w:val="1"/>
          <w:sz w:val="28"/>
          <w:szCs w:val="28"/>
        </w:rPr>
      </w:pPr>
    </w:p>
    <w:p>
      <w:pPr>
        <w:pStyle w:val="Звичайний"/>
        <w:spacing w:before="12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color="000000"/>
          <w:rtl w:val="0"/>
        </w:rPr>
        <w:t>Проект постанови Кабінету Міністрів України «Про затвердження Порядку ведення та форми Реєстру заяв про повернення суми бюджетного відшкодування податку на додану вартість» розроблено Міністерством фінансів України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color w:val="000000"/>
          <w:sz w:val="28"/>
          <w:szCs w:val="28"/>
          <w:u w:color="000000"/>
          <w:rtl w:val="0"/>
        </w:rPr>
        <w:t xml:space="preserve">Державною фіскальною службою України та Державною казначейською службою України з метою забезпечення реалізації статті </w:t>
      </w:r>
      <w:r>
        <w:rPr>
          <w:color w:val="000000"/>
          <w:sz w:val="28"/>
          <w:szCs w:val="28"/>
          <w:u w:color="000000"/>
          <w:rtl w:val="0"/>
        </w:rPr>
        <w:t xml:space="preserve">200 </w:t>
      </w:r>
      <w:r>
        <w:rPr>
          <w:color w:val="000000"/>
          <w:sz w:val="28"/>
          <w:szCs w:val="28"/>
          <w:u w:color="000000"/>
          <w:rtl w:val="0"/>
        </w:rPr>
        <w:t>Податкового кодексу України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sz w:val="28"/>
          <w:szCs w:val="28"/>
          <w:rtl w:val="0"/>
        </w:rPr>
        <w:t>з урахуванням змін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внесених Законом України від </w:t>
      </w:r>
      <w:r>
        <w:rPr>
          <w:sz w:val="28"/>
          <w:szCs w:val="28"/>
          <w:rtl w:val="0"/>
        </w:rPr>
        <w:t xml:space="preserve">21 </w:t>
      </w:r>
      <w:r>
        <w:rPr>
          <w:sz w:val="28"/>
          <w:szCs w:val="28"/>
          <w:rtl w:val="0"/>
        </w:rPr>
        <w:t xml:space="preserve">грудня </w:t>
      </w:r>
      <w:r>
        <w:rPr>
          <w:sz w:val="28"/>
          <w:szCs w:val="28"/>
          <w:rtl w:val="0"/>
        </w:rPr>
        <w:t xml:space="preserve">2016 </w:t>
      </w:r>
      <w:r>
        <w:rPr>
          <w:sz w:val="28"/>
          <w:szCs w:val="28"/>
          <w:rtl w:val="0"/>
        </w:rPr>
        <w:t xml:space="preserve">року № </w:t>
      </w:r>
      <w:r>
        <w:rPr>
          <w:sz w:val="28"/>
          <w:szCs w:val="28"/>
          <w:rtl w:val="0"/>
        </w:rPr>
        <w:t>1797-VII</w:t>
      </w:r>
      <w:r>
        <w:rPr>
          <w:sz w:val="28"/>
          <w:szCs w:val="28"/>
          <w:rtl w:val="0"/>
        </w:rPr>
        <w:t>І «Про внесення змін до Податкового кодексу України щодо покращення інвестиційного клімату в Україні»</w:t>
      </w:r>
      <w:r>
        <w:rPr>
          <w:sz w:val="28"/>
          <w:szCs w:val="28"/>
          <w:rtl w:val="0"/>
        </w:rPr>
        <w:t>.</w:t>
      </w:r>
    </w:p>
    <w:p>
      <w:pPr>
        <w:pStyle w:val="Звичайний"/>
        <w:ind w:firstLine="720"/>
        <w:jc w:val="both"/>
        <w:rPr>
          <w:sz w:val="28"/>
          <w:szCs w:val="28"/>
        </w:rPr>
      </w:pPr>
    </w:p>
    <w:p>
      <w:pPr>
        <w:pStyle w:val="Звичайний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Зауваження та пропозиції стосовно змісту регуляторного акту надавати у письмовій та електронній формі протягом місяця з дня публікації цього оголошення за наступними адресами</w:t>
      </w:r>
      <w:r>
        <w:rPr>
          <w:sz w:val="28"/>
          <w:szCs w:val="28"/>
          <w:rtl w:val="0"/>
        </w:rPr>
        <w:t>:</w:t>
      </w:r>
    </w:p>
    <w:p>
      <w:pPr>
        <w:pStyle w:val="Звичайний"/>
        <w:ind w:firstLine="600"/>
        <w:jc w:val="both"/>
        <w:rPr>
          <w:sz w:val="28"/>
          <w:szCs w:val="28"/>
        </w:rPr>
      </w:pPr>
    </w:p>
    <w:p>
      <w:pPr>
        <w:pStyle w:val="Звичайний"/>
        <w:ind w:firstLine="600"/>
        <w:jc w:val="both"/>
        <w:rPr>
          <w:rStyle w:val="Немає"/>
          <w:sz w:val="28"/>
          <w:szCs w:val="28"/>
        </w:rPr>
      </w:pPr>
      <w:r>
        <w:rPr>
          <w:sz w:val="28"/>
          <w:szCs w:val="28"/>
          <w:rtl w:val="0"/>
        </w:rPr>
        <w:t>Міністерство фінансів України</w:t>
      </w:r>
      <w:r>
        <w:rPr>
          <w:sz w:val="28"/>
          <w:szCs w:val="28"/>
          <w:rtl w:val="0"/>
        </w:rPr>
        <w:t xml:space="preserve">, 01008,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Київ</w:t>
      </w:r>
      <w:r>
        <w:rPr>
          <w:sz w:val="28"/>
          <w:szCs w:val="28"/>
          <w:rtl w:val="0"/>
        </w:rPr>
        <w:t xml:space="preserve">-8, </w:t>
      </w:r>
      <w:r>
        <w:rPr>
          <w:sz w:val="28"/>
          <w:szCs w:val="28"/>
          <w:rtl w:val="0"/>
        </w:rPr>
        <w:t>вул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Грушевського</w:t>
      </w:r>
      <w:r>
        <w:rPr>
          <w:sz w:val="28"/>
          <w:szCs w:val="28"/>
          <w:rtl w:val="0"/>
        </w:rPr>
        <w:t xml:space="preserve">, 12/2, e-mail: </w:t>
      </w:r>
      <w:r>
        <w:rPr>
          <w:rStyle w:val="Hyperlink.0"/>
          <w:color w:val="0000ff"/>
          <w:sz w:val="28"/>
          <w:szCs w:val="28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sz w:val="28"/>
          <w:szCs w:val="28"/>
          <w:u w:val="single" w:color="0000ff"/>
          <w:lang w:val="en-US"/>
        </w:rPr>
        <w:instrText xml:space="preserve"> HYPERLINK "mailto:usenko@minfin.gov.ua"</w:instrText>
      </w:r>
      <w:r>
        <w:rPr>
          <w:rStyle w:val="Hyperlink.0"/>
          <w:color w:val="0000ff"/>
          <w:sz w:val="28"/>
          <w:szCs w:val="28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sz w:val="28"/>
          <w:szCs w:val="28"/>
          <w:u w:val="single" w:color="0000ff"/>
          <w:rtl w:val="0"/>
          <w:lang w:val="en-US"/>
        </w:rPr>
        <w:t>usenko</w:t>
      </w:r>
      <w:r>
        <w:rPr>
          <w:rStyle w:val="Немає"/>
          <w:color w:val="0000ff"/>
          <w:sz w:val="28"/>
          <w:szCs w:val="28"/>
          <w:u w:val="single" w:color="0000ff"/>
          <w:rtl w:val="0"/>
        </w:rPr>
        <w:t>@minfin.gov.ua</w:t>
      </w:r>
      <w:r>
        <w:rPr/>
        <w:fldChar w:fldCharType="end" w:fldLock="0"/>
      </w:r>
    </w:p>
    <w:p>
      <w:pPr>
        <w:pStyle w:val="Звичайний"/>
        <w:rPr>
          <w:sz w:val="28"/>
          <w:szCs w:val="28"/>
        </w:rPr>
      </w:pPr>
    </w:p>
    <w:p>
      <w:pPr>
        <w:pStyle w:val="Звичайний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color w:val="0000ff"/>
      <w:sz w:val="28"/>
      <w:szCs w:val="28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