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84" w:rsidRPr="00DD5B13" w:rsidRDefault="00F45884" w:rsidP="00F45884">
      <w:pPr>
        <w:jc w:val="center"/>
        <w:rPr>
          <w:sz w:val="16"/>
          <w:szCs w:val="16"/>
        </w:rPr>
      </w:pPr>
    </w:p>
    <w:p w:rsidR="00F45884" w:rsidRPr="00DD5B13" w:rsidRDefault="00F45884" w:rsidP="00F45884">
      <w:pPr>
        <w:jc w:val="center"/>
        <w:rPr>
          <w:sz w:val="16"/>
          <w:szCs w:val="16"/>
        </w:rPr>
      </w:pPr>
    </w:p>
    <w:p w:rsidR="00F45884" w:rsidRPr="00DD5B13" w:rsidRDefault="00F45884" w:rsidP="00F45884">
      <w:pPr>
        <w:jc w:val="center"/>
        <w:rPr>
          <w:sz w:val="16"/>
          <w:szCs w:val="16"/>
        </w:rPr>
      </w:pPr>
    </w:p>
    <w:p w:rsidR="00F45884" w:rsidRPr="00DD5B13" w:rsidRDefault="00F45884" w:rsidP="00F45884">
      <w:pPr>
        <w:jc w:val="center"/>
        <w:rPr>
          <w:sz w:val="16"/>
          <w:szCs w:val="16"/>
        </w:rPr>
      </w:pPr>
    </w:p>
    <w:p w:rsidR="00F45884" w:rsidRPr="00DD5B13" w:rsidRDefault="00F45884" w:rsidP="00F45884">
      <w:pPr>
        <w:ind w:left="-360" w:firstLine="360"/>
        <w:jc w:val="right"/>
        <w:rPr>
          <w:sz w:val="28"/>
          <w:szCs w:val="28"/>
        </w:rPr>
      </w:pPr>
    </w:p>
    <w:p w:rsidR="00F45884" w:rsidRPr="00DD5B13" w:rsidRDefault="00F45884" w:rsidP="00F45884">
      <w:pPr>
        <w:jc w:val="center"/>
        <w:rPr>
          <w:sz w:val="28"/>
          <w:szCs w:val="28"/>
        </w:rPr>
      </w:pPr>
      <w:r w:rsidRPr="00DD5B13">
        <w:t xml:space="preserve"> </w:t>
      </w:r>
    </w:p>
    <w:p w:rsidR="00F45884" w:rsidRPr="00DD5B13" w:rsidRDefault="00F45884" w:rsidP="00F45884">
      <w:pPr>
        <w:jc w:val="center"/>
        <w:rPr>
          <w:b/>
          <w:sz w:val="28"/>
          <w:szCs w:val="28"/>
        </w:rPr>
      </w:pPr>
    </w:p>
    <w:p w:rsidR="00F45884" w:rsidRPr="00DD5B13" w:rsidRDefault="00F45884" w:rsidP="00F45884">
      <w:pPr>
        <w:jc w:val="center"/>
        <w:rPr>
          <w:b/>
          <w:sz w:val="28"/>
          <w:szCs w:val="28"/>
        </w:rPr>
      </w:pPr>
    </w:p>
    <w:p w:rsidR="00F45884" w:rsidRPr="00DD5B13" w:rsidRDefault="00F45884" w:rsidP="00F45884">
      <w:pPr>
        <w:jc w:val="center"/>
        <w:rPr>
          <w:b/>
          <w:sz w:val="32"/>
          <w:szCs w:val="32"/>
        </w:rPr>
      </w:pPr>
      <w:r w:rsidRPr="00DD5B13">
        <w:rPr>
          <w:b/>
          <w:sz w:val="32"/>
          <w:szCs w:val="32"/>
        </w:rPr>
        <w:t xml:space="preserve"> </w:t>
      </w:r>
    </w:p>
    <w:p w:rsidR="00F45884" w:rsidRPr="00DD5B13" w:rsidRDefault="00F45884" w:rsidP="00F45884">
      <w:pPr>
        <w:jc w:val="center"/>
      </w:pPr>
    </w:p>
    <w:p w:rsidR="00F45884" w:rsidRPr="00DD5B13" w:rsidRDefault="00F45884" w:rsidP="00F45884">
      <w:pPr>
        <w:rPr>
          <w:lang w:val="ru-RU"/>
        </w:rPr>
      </w:pPr>
    </w:p>
    <w:p w:rsidR="00F45884" w:rsidRPr="00DD5B13" w:rsidRDefault="00F45884" w:rsidP="00F45884">
      <w:pPr>
        <w:rPr>
          <w:lang w:val="ru-RU"/>
        </w:rPr>
      </w:pPr>
    </w:p>
    <w:p w:rsidR="00F45884" w:rsidRPr="00DD5B13" w:rsidRDefault="00F45884" w:rsidP="00F45884">
      <w:pPr>
        <w:rPr>
          <w:lang w:val="ru-RU"/>
        </w:rPr>
      </w:pPr>
    </w:p>
    <w:p w:rsidR="00F45884" w:rsidRPr="00DD5B13" w:rsidRDefault="00F45884" w:rsidP="00F45884"/>
    <w:p w:rsidR="00F45884" w:rsidRPr="00DD5B13" w:rsidRDefault="00F45884" w:rsidP="00F45884"/>
    <w:p w:rsidR="00F45884" w:rsidRPr="00DD5B13" w:rsidRDefault="00F45884" w:rsidP="00F45884"/>
    <w:p w:rsidR="00F45884" w:rsidRPr="00DD5B13" w:rsidRDefault="00F45884" w:rsidP="00F45884"/>
    <w:p w:rsidR="00F45884" w:rsidRPr="00DD5B13" w:rsidRDefault="00F45884" w:rsidP="00F45884">
      <w:pPr>
        <w:rPr>
          <w:lang w:val="ru-RU"/>
        </w:rPr>
      </w:pPr>
    </w:p>
    <w:p w:rsidR="00F45884" w:rsidRPr="00DD5B13" w:rsidRDefault="00F45884" w:rsidP="00F45884">
      <w:pPr>
        <w:rPr>
          <w:b/>
          <w:sz w:val="28"/>
          <w:szCs w:val="28"/>
        </w:rPr>
      </w:pPr>
    </w:p>
    <w:p w:rsidR="00F45884" w:rsidRPr="00DD5B13" w:rsidRDefault="00F45884" w:rsidP="00F45884">
      <w:pPr>
        <w:rPr>
          <w:b/>
          <w:sz w:val="28"/>
          <w:szCs w:val="28"/>
        </w:rPr>
      </w:pPr>
    </w:p>
    <w:p w:rsidR="00F45884" w:rsidRPr="00DD5B13" w:rsidRDefault="00F45884" w:rsidP="00F45884">
      <w:pPr>
        <w:rPr>
          <w:b/>
          <w:sz w:val="28"/>
          <w:szCs w:val="28"/>
        </w:rPr>
      </w:pPr>
    </w:p>
    <w:tbl>
      <w:tblPr>
        <w:tblW w:w="9747" w:type="dxa"/>
        <w:tblLook w:val="0000" w:firstRow="0" w:lastRow="0" w:firstColumn="0" w:lastColumn="0" w:noHBand="0" w:noVBand="0"/>
      </w:tblPr>
      <w:tblGrid>
        <w:gridCol w:w="9747"/>
      </w:tblGrid>
      <w:tr w:rsidR="00DD5B13" w:rsidRPr="00DD5B13" w:rsidTr="00004AAF">
        <w:tc>
          <w:tcPr>
            <w:tcW w:w="9747" w:type="dxa"/>
          </w:tcPr>
          <w:p w:rsidR="00F45884" w:rsidRPr="00DD5B13" w:rsidRDefault="00F45884" w:rsidP="00004AAF">
            <w:pPr>
              <w:spacing w:line="276" w:lineRule="auto"/>
              <w:jc w:val="both"/>
              <w:rPr>
                <w:b/>
                <w:szCs w:val="28"/>
              </w:rPr>
            </w:pPr>
            <w:r w:rsidRPr="00DD5B13">
              <w:rPr>
                <w:b/>
                <w:bCs/>
                <w:sz w:val="28"/>
                <w:szCs w:val="28"/>
              </w:rPr>
              <w:t xml:space="preserve">Про затвердження Порядку інформаційної взаємодії </w:t>
            </w:r>
            <w:r w:rsidRPr="00DD5B13">
              <w:rPr>
                <w:b/>
                <w:sz w:val="28"/>
                <w:szCs w:val="28"/>
              </w:rPr>
              <w:t>органів Державної фіскальної служби України та банків у процесі передачі інкасових доручень (розпоряджень) в електронній формі</w:t>
            </w:r>
          </w:p>
        </w:tc>
      </w:tr>
    </w:tbl>
    <w:p w:rsidR="00F45884" w:rsidRPr="00640F8F" w:rsidRDefault="00F45884" w:rsidP="00F45884">
      <w:pPr>
        <w:pStyle w:val="aa"/>
        <w:spacing w:before="0" w:beforeAutospacing="0" w:after="0" w:afterAutospacing="0" w:line="276" w:lineRule="auto"/>
        <w:jc w:val="both"/>
        <w:rPr>
          <w:sz w:val="28"/>
          <w:szCs w:val="28"/>
          <w:lang w:val="uk-UA"/>
        </w:rPr>
      </w:pPr>
    </w:p>
    <w:p w:rsidR="00F45884" w:rsidRPr="00DD5B13" w:rsidRDefault="00F45884" w:rsidP="00227521">
      <w:pPr>
        <w:pStyle w:val="aa"/>
        <w:tabs>
          <w:tab w:val="left" w:pos="709"/>
        </w:tabs>
        <w:spacing w:before="0" w:beforeAutospacing="0" w:after="0" w:afterAutospacing="0" w:line="360" w:lineRule="auto"/>
        <w:jc w:val="both"/>
        <w:rPr>
          <w:sz w:val="28"/>
          <w:szCs w:val="28"/>
          <w:lang w:val="uk-UA"/>
        </w:rPr>
      </w:pPr>
      <w:r w:rsidRPr="00DD5B13">
        <w:rPr>
          <w:sz w:val="28"/>
          <w:szCs w:val="28"/>
          <w:lang w:val="uk-UA"/>
        </w:rPr>
        <w:t xml:space="preserve"> </w:t>
      </w:r>
      <w:r w:rsidRPr="00DD5B13">
        <w:rPr>
          <w:sz w:val="28"/>
          <w:szCs w:val="28"/>
          <w:lang w:val="uk-UA"/>
        </w:rPr>
        <w:tab/>
        <w:t>Відповідно до підпункту 19</w:t>
      </w:r>
      <w:r w:rsidRPr="00DD5B13">
        <w:rPr>
          <w:sz w:val="28"/>
          <w:szCs w:val="28"/>
          <w:vertAlign w:val="superscript"/>
          <w:lang w:val="uk-UA"/>
        </w:rPr>
        <w:t>1</w:t>
      </w:r>
      <w:r w:rsidRPr="00DD5B13">
        <w:rPr>
          <w:sz w:val="28"/>
          <w:szCs w:val="28"/>
          <w:lang w:val="uk-UA"/>
        </w:rPr>
        <w:t>.1.22 пункту 19</w:t>
      </w:r>
      <w:r w:rsidRPr="00DD5B13">
        <w:rPr>
          <w:sz w:val="28"/>
          <w:szCs w:val="28"/>
          <w:vertAlign w:val="superscript"/>
          <w:lang w:val="uk-UA"/>
        </w:rPr>
        <w:t>1</w:t>
      </w:r>
      <w:r w:rsidRPr="00DD5B13">
        <w:rPr>
          <w:sz w:val="28"/>
          <w:szCs w:val="28"/>
          <w:lang w:val="uk-UA"/>
        </w:rPr>
        <w:t>.1 статті 19</w:t>
      </w:r>
      <w:r w:rsidRPr="00DD5B13">
        <w:rPr>
          <w:sz w:val="28"/>
          <w:szCs w:val="28"/>
          <w:vertAlign w:val="superscript"/>
          <w:lang w:val="uk-UA"/>
        </w:rPr>
        <w:t>1</w:t>
      </w:r>
      <w:r w:rsidRPr="00DD5B13">
        <w:rPr>
          <w:sz w:val="28"/>
          <w:szCs w:val="28"/>
          <w:lang w:val="uk-UA"/>
        </w:rPr>
        <w:t xml:space="preserve"> розділу І, пунктів 95.3, 95.5 статті 95 глави 9 розділу ІІ Податкового кодексу України, Положення про Міністерство фінансів України, затвердженого постановою Кабінету Міністрів України від 20 серпня 2014 року № 375, з метою удосконалення механізму доставки інкасових доручень (розпоряджень) до банку платника</w:t>
      </w:r>
    </w:p>
    <w:p w:rsidR="00F45884" w:rsidRPr="00DD5B13" w:rsidRDefault="00F45884" w:rsidP="00227521">
      <w:pPr>
        <w:pStyle w:val="aa"/>
        <w:spacing w:before="0" w:beforeAutospacing="0" w:after="0" w:afterAutospacing="0" w:line="360" w:lineRule="auto"/>
        <w:jc w:val="both"/>
        <w:rPr>
          <w:sz w:val="16"/>
          <w:szCs w:val="16"/>
          <w:lang w:val="uk-UA"/>
        </w:rPr>
      </w:pPr>
    </w:p>
    <w:p w:rsidR="00F45884" w:rsidRPr="00DD5B13" w:rsidRDefault="00F45884" w:rsidP="00227521">
      <w:pPr>
        <w:spacing w:line="360" w:lineRule="auto"/>
        <w:jc w:val="both"/>
        <w:outlineLvl w:val="0"/>
        <w:rPr>
          <w:b/>
          <w:sz w:val="28"/>
          <w:szCs w:val="28"/>
        </w:rPr>
      </w:pPr>
      <w:r w:rsidRPr="00DD5B13">
        <w:rPr>
          <w:b/>
          <w:sz w:val="28"/>
          <w:szCs w:val="28"/>
        </w:rPr>
        <w:t>НАКАЗУЮ:</w:t>
      </w:r>
    </w:p>
    <w:p w:rsidR="00F45884" w:rsidRPr="00DD5B13" w:rsidRDefault="00F45884" w:rsidP="00227521">
      <w:pPr>
        <w:spacing w:line="360" w:lineRule="auto"/>
        <w:jc w:val="both"/>
        <w:rPr>
          <w:sz w:val="16"/>
          <w:szCs w:val="16"/>
        </w:rPr>
      </w:pPr>
    </w:p>
    <w:p w:rsidR="00F45884" w:rsidRPr="00DD5B13" w:rsidRDefault="00F45884" w:rsidP="00227521">
      <w:pPr>
        <w:pStyle w:val="aa"/>
        <w:spacing w:before="0" w:beforeAutospacing="0" w:after="0" w:afterAutospacing="0" w:line="360" w:lineRule="auto"/>
        <w:ind w:firstLine="708"/>
        <w:jc w:val="both"/>
        <w:rPr>
          <w:sz w:val="28"/>
          <w:szCs w:val="28"/>
          <w:lang w:val="uk-UA"/>
        </w:rPr>
      </w:pPr>
      <w:r w:rsidRPr="00DD5B13">
        <w:rPr>
          <w:sz w:val="28"/>
          <w:szCs w:val="28"/>
          <w:lang w:val="uk-UA"/>
        </w:rPr>
        <w:t>1. Затвердити Порядок інформаційної взаємодії органів Державної фіскальної служби України та банків у процесі передачі інкасових доручень (розпоряджень) в електронній формі, що додається.</w:t>
      </w:r>
    </w:p>
    <w:p w:rsidR="00F45884" w:rsidRPr="00DD5B13" w:rsidRDefault="00F45884" w:rsidP="00227521">
      <w:pPr>
        <w:pStyle w:val="1"/>
        <w:spacing w:before="0" w:after="0" w:line="360" w:lineRule="auto"/>
        <w:ind w:firstLine="708"/>
        <w:jc w:val="both"/>
        <w:rPr>
          <w:rFonts w:cs="Times New Roman"/>
          <w:spacing w:val="-3"/>
          <w:sz w:val="28"/>
          <w:szCs w:val="28"/>
        </w:rPr>
      </w:pPr>
      <w:r w:rsidRPr="00DD5B13">
        <w:rPr>
          <w:rFonts w:cs="Times New Roman"/>
          <w:spacing w:val="-3"/>
          <w:sz w:val="28"/>
          <w:szCs w:val="28"/>
        </w:rPr>
        <w:t>2. Департаменту моніторингу баз даних та верифікації виплат забезпечити:</w:t>
      </w:r>
    </w:p>
    <w:p w:rsidR="00F45884" w:rsidRPr="00DD5B13" w:rsidRDefault="00F45884" w:rsidP="00227521">
      <w:pPr>
        <w:pStyle w:val="1"/>
        <w:spacing w:before="0" w:after="0" w:line="360" w:lineRule="auto"/>
        <w:ind w:firstLine="708"/>
        <w:jc w:val="both"/>
        <w:rPr>
          <w:rFonts w:cs="Times New Roman"/>
          <w:spacing w:val="-3"/>
          <w:sz w:val="28"/>
          <w:szCs w:val="28"/>
        </w:rPr>
      </w:pPr>
      <w:r w:rsidRPr="00DD5B13">
        <w:rPr>
          <w:rFonts w:cs="Times New Roman"/>
          <w:spacing w:val="-3"/>
          <w:sz w:val="28"/>
          <w:szCs w:val="28"/>
        </w:rPr>
        <w:t>подання цього наказу на державну реєстрацію до Міністерства юстиції України у встановленому порядку;</w:t>
      </w:r>
    </w:p>
    <w:p w:rsidR="00F45884" w:rsidRPr="00DD5B13" w:rsidRDefault="00F45884" w:rsidP="00227521">
      <w:pPr>
        <w:pStyle w:val="1"/>
        <w:spacing w:before="0" w:after="0" w:line="360" w:lineRule="auto"/>
        <w:ind w:firstLine="708"/>
        <w:jc w:val="both"/>
        <w:rPr>
          <w:rFonts w:cs="Times New Roman"/>
          <w:spacing w:val="-3"/>
          <w:sz w:val="28"/>
          <w:szCs w:val="28"/>
        </w:rPr>
      </w:pPr>
      <w:r w:rsidRPr="00DD5B13">
        <w:rPr>
          <w:rFonts w:cs="Times New Roman"/>
          <w:spacing w:val="-3"/>
          <w:sz w:val="28"/>
          <w:szCs w:val="28"/>
        </w:rPr>
        <w:t>оприлюднення цього наказу.</w:t>
      </w:r>
    </w:p>
    <w:p w:rsidR="00640F8F" w:rsidRDefault="00640F8F" w:rsidP="00227521">
      <w:pPr>
        <w:pStyle w:val="1"/>
        <w:spacing w:before="0" w:after="0" w:line="360" w:lineRule="auto"/>
        <w:ind w:firstLine="708"/>
        <w:jc w:val="both"/>
        <w:rPr>
          <w:rFonts w:cs="Times New Roman"/>
          <w:spacing w:val="-3"/>
          <w:sz w:val="28"/>
          <w:szCs w:val="28"/>
        </w:rPr>
      </w:pPr>
    </w:p>
    <w:p w:rsidR="00F45884" w:rsidRPr="00DD5B13" w:rsidRDefault="00F45884" w:rsidP="00227521">
      <w:pPr>
        <w:pStyle w:val="1"/>
        <w:spacing w:before="0" w:after="0" w:line="360" w:lineRule="auto"/>
        <w:ind w:firstLine="708"/>
        <w:jc w:val="both"/>
        <w:rPr>
          <w:rFonts w:cs="Times New Roman"/>
          <w:spacing w:val="-3"/>
          <w:sz w:val="28"/>
          <w:szCs w:val="28"/>
        </w:rPr>
      </w:pPr>
      <w:r w:rsidRPr="00DD5B13">
        <w:rPr>
          <w:rFonts w:cs="Times New Roman"/>
          <w:spacing w:val="-3"/>
          <w:sz w:val="28"/>
          <w:szCs w:val="28"/>
        </w:rPr>
        <w:t>3. Цей наказ набирає чинності з дня його офіційного опублікування.</w:t>
      </w:r>
    </w:p>
    <w:p w:rsidR="00640F8F" w:rsidRPr="00640F8F" w:rsidRDefault="00640F8F" w:rsidP="00227521">
      <w:pPr>
        <w:pStyle w:val="1"/>
        <w:spacing w:before="0" w:after="0" w:line="360" w:lineRule="auto"/>
        <w:ind w:firstLine="708"/>
        <w:jc w:val="both"/>
        <w:rPr>
          <w:rFonts w:cs="Times New Roman"/>
          <w:spacing w:val="-3"/>
          <w:sz w:val="16"/>
          <w:szCs w:val="16"/>
        </w:rPr>
      </w:pPr>
    </w:p>
    <w:p w:rsidR="00F45884" w:rsidRPr="00DD5B13" w:rsidRDefault="00F45884" w:rsidP="00227521">
      <w:pPr>
        <w:pStyle w:val="1"/>
        <w:spacing w:before="0" w:after="0" w:line="360" w:lineRule="auto"/>
        <w:ind w:firstLine="708"/>
        <w:jc w:val="both"/>
        <w:rPr>
          <w:rFonts w:cs="Times New Roman"/>
          <w:spacing w:val="-3"/>
          <w:sz w:val="28"/>
          <w:szCs w:val="28"/>
        </w:rPr>
      </w:pPr>
      <w:r w:rsidRPr="00DD5B13">
        <w:rPr>
          <w:rFonts w:cs="Times New Roman"/>
          <w:spacing w:val="-3"/>
          <w:sz w:val="28"/>
          <w:szCs w:val="28"/>
        </w:rPr>
        <w:t>4. Контроль за виконанням цього наказу залишаю за собою та покладаю на в. о. Голови Державної фіскальної служби України Власова О. С.</w:t>
      </w:r>
    </w:p>
    <w:p w:rsidR="00F45884" w:rsidRPr="00DD5B13" w:rsidRDefault="00F45884" w:rsidP="00227521">
      <w:pPr>
        <w:pStyle w:val="1"/>
        <w:spacing w:before="0" w:after="0" w:line="360" w:lineRule="auto"/>
        <w:jc w:val="both"/>
        <w:rPr>
          <w:rFonts w:cs="Times New Roman"/>
          <w:spacing w:val="-3"/>
          <w:sz w:val="28"/>
          <w:szCs w:val="28"/>
        </w:rPr>
      </w:pPr>
    </w:p>
    <w:tbl>
      <w:tblPr>
        <w:tblW w:w="9790" w:type="dxa"/>
        <w:tblLook w:val="01E0" w:firstRow="1" w:lastRow="1" w:firstColumn="1" w:lastColumn="1" w:noHBand="0" w:noVBand="0"/>
      </w:tblPr>
      <w:tblGrid>
        <w:gridCol w:w="4739"/>
        <w:gridCol w:w="5051"/>
      </w:tblGrid>
      <w:tr w:rsidR="00DD5B13" w:rsidRPr="00DD5B13" w:rsidTr="00004AAF">
        <w:trPr>
          <w:trHeight w:val="393"/>
        </w:trPr>
        <w:tc>
          <w:tcPr>
            <w:tcW w:w="4739" w:type="dxa"/>
          </w:tcPr>
          <w:p w:rsidR="00F45884" w:rsidRPr="00DD5B13" w:rsidRDefault="00F45884" w:rsidP="00227521">
            <w:pPr>
              <w:spacing w:line="360" w:lineRule="auto"/>
              <w:rPr>
                <w:b/>
                <w:sz w:val="28"/>
                <w:szCs w:val="28"/>
              </w:rPr>
            </w:pPr>
            <w:r w:rsidRPr="00DD5B13">
              <w:rPr>
                <w:b/>
                <w:sz w:val="28"/>
                <w:szCs w:val="28"/>
              </w:rPr>
              <w:t>Міністр</w:t>
            </w:r>
          </w:p>
        </w:tc>
        <w:tc>
          <w:tcPr>
            <w:tcW w:w="5051" w:type="dxa"/>
          </w:tcPr>
          <w:p w:rsidR="00F45884" w:rsidRPr="00DD5B13" w:rsidRDefault="00F45884" w:rsidP="00227521">
            <w:pPr>
              <w:spacing w:line="360" w:lineRule="auto"/>
              <w:jc w:val="right"/>
              <w:rPr>
                <w:b/>
                <w:sz w:val="28"/>
                <w:szCs w:val="28"/>
              </w:rPr>
            </w:pPr>
            <w:r w:rsidRPr="00DD5B13">
              <w:rPr>
                <w:b/>
                <w:sz w:val="28"/>
                <w:szCs w:val="28"/>
              </w:rPr>
              <w:t>О. МАРКАРОВА</w:t>
            </w:r>
          </w:p>
        </w:tc>
      </w:tr>
    </w:tbl>
    <w:p w:rsidR="00F45884" w:rsidRPr="00DD5B13" w:rsidRDefault="00F45884" w:rsidP="00227521">
      <w:pPr>
        <w:spacing w:before="120" w:after="120" w:line="360" w:lineRule="auto"/>
        <w:jc w:val="both"/>
        <w:rPr>
          <w:b/>
          <w:sz w:val="28"/>
          <w:szCs w:val="28"/>
        </w:rPr>
        <w:sectPr w:rsidR="00F45884" w:rsidRPr="00DD5B13" w:rsidSect="00640F8F">
          <w:headerReference w:type="even" r:id="rId7"/>
          <w:headerReference w:type="default" r:id="rId8"/>
          <w:pgSz w:w="11906" w:h="16838"/>
          <w:pgMar w:top="567" w:right="567" w:bottom="1418" w:left="1701" w:header="425" w:footer="709" w:gutter="0"/>
          <w:cols w:space="708"/>
          <w:titlePg/>
          <w:docGrid w:linePitch="360"/>
        </w:sectPr>
      </w:pPr>
    </w:p>
    <w:tbl>
      <w:tblPr>
        <w:tblW w:w="9912" w:type="dxa"/>
        <w:tblLook w:val="01E0" w:firstRow="1" w:lastRow="1" w:firstColumn="1" w:lastColumn="1" w:noHBand="0" w:noVBand="0"/>
      </w:tblPr>
      <w:tblGrid>
        <w:gridCol w:w="4906"/>
        <w:gridCol w:w="5006"/>
      </w:tblGrid>
      <w:tr w:rsidR="00DD5B13" w:rsidRPr="00DD5B13" w:rsidTr="00004AAF">
        <w:trPr>
          <w:trHeight w:val="293"/>
        </w:trPr>
        <w:tc>
          <w:tcPr>
            <w:tcW w:w="4906" w:type="dxa"/>
          </w:tcPr>
          <w:p w:rsidR="00F45884" w:rsidRPr="00DD5B13" w:rsidRDefault="00F45884" w:rsidP="00004AAF">
            <w:pPr>
              <w:spacing w:line="300" w:lineRule="auto"/>
              <w:ind w:right="-16"/>
              <w:rPr>
                <w:sz w:val="28"/>
                <w:szCs w:val="28"/>
              </w:rPr>
            </w:pPr>
          </w:p>
        </w:tc>
        <w:tc>
          <w:tcPr>
            <w:tcW w:w="5006" w:type="dxa"/>
          </w:tcPr>
          <w:p w:rsidR="00F45884" w:rsidRPr="00DD5B13" w:rsidRDefault="00F45884" w:rsidP="00004AAF">
            <w:pPr>
              <w:ind w:left="765"/>
              <w:rPr>
                <w:sz w:val="28"/>
                <w:szCs w:val="28"/>
              </w:rPr>
            </w:pPr>
            <w:r w:rsidRPr="00DD5B13">
              <w:rPr>
                <w:sz w:val="28"/>
                <w:szCs w:val="28"/>
              </w:rPr>
              <w:t xml:space="preserve">ЗАТВЕРДЖЕНО                            </w:t>
            </w:r>
          </w:p>
          <w:p w:rsidR="00F45884" w:rsidRPr="00DD5B13" w:rsidRDefault="00F45884" w:rsidP="00004AAF">
            <w:pPr>
              <w:ind w:left="765"/>
              <w:rPr>
                <w:sz w:val="28"/>
                <w:szCs w:val="28"/>
              </w:rPr>
            </w:pPr>
            <w:r w:rsidRPr="00DD5B13">
              <w:rPr>
                <w:sz w:val="28"/>
                <w:szCs w:val="28"/>
              </w:rPr>
              <w:t xml:space="preserve">Наказ Міністерства фінансів </w:t>
            </w:r>
          </w:p>
          <w:p w:rsidR="00F45884" w:rsidRPr="00DD5B13" w:rsidRDefault="00F45884" w:rsidP="00004AAF">
            <w:pPr>
              <w:ind w:left="765"/>
              <w:rPr>
                <w:sz w:val="28"/>
                <w:szCs w:val="28"/>
              </w:rPr>
            </w:pPr>
            <w:r w:rsidRPr="00DD5B13">
              <w:rPr>
                <w:sz w:val="28"/>
                <w:szCs w:val="28"/>
              </w:rPr>
              <w:t>України</w:t>
            </w:r>
          </w:p>
          <w:p w:rsidR="00F45884" w:rsidRPr="00DD5B13" w:rsidRDefault="00F45884" w:rsidP="00004AAF">
            <w:pPr>
              <w:spacing w:line="300" w:lineRule="auto"/>
              <w:ind w:left="765" w:right="-16"/>
              <w:rPr>
                <w:sz w:val="28"/>
                <w:szCs w:val="28"/>
              </w:rPr>
            </w:pPr>
            <w:r w:rsidRPr="00DD5B13">
              <w:rPr>
                <w:sz w:val="28"/>
                <w:szCs w:val="28"/>
              </w:rPr>
              <w:t xml:space="preserve">________________ № _______ </w:t>
            </w: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tc>
      </w:tr>
      <w:tr w:rsidR="00DD5B13" w:rsidRPr="00DD5B13" w:rsidTr="00004AAF">
        <w:trPr>
          <w:trHeight w:val="242"/>
        </w:trPr>
        <w:tc>
          <w:tcPr>
            <w:tcW w:w="4906" w:type="dxa"/>
          </w:tcPr>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p w:rsidR="00F45884" w:rsidRPr="00DD5B13" w:rsidRDefault="00F45884" w:rsidP="00004AAF">
            <w:pPr>
              <w:spacing w:line="300" w:lineRule="auto"/>
              <w:ind w:right="-16"/>
              <w:rPr>
                <w:sz w:val="28"/>
                <w:szCs w:val="28"/>
              </w:rPr>
            </w:pPr>
          </w:p>
        </w:tc>
        <w:tc>
          <w:tcPr>
            <w:tcW w:w="5006" w:type="dxa"/>
          </w:tcPr>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left="-52" w:right="-16"/>
              <w:rPr>
                <w:sz w:val="28"/>
                <w:szCs w:val="28"/>
              </w:rPr>
            </w:pPr>
          </w:p>
          <w:p w:rsidR="00F45884" w:rsidRPr="00DD5B13" w:rsidRDefault="00F45884" w:rsidP="00004AAF">
            <w:pPr>
              <w:spacing w:line="300" w:lineRule="auto"/>
              <w:ind w:right="-16"/>
              <w:rPr>
                <w:sz w:val="28"/>
                <w:szCs w:val="28"/>
              </w:rPr>
            </w:pPr>
          </w:p>
        </w:tc>
      </w:tr>
    </w:tbl>
    <w:p w:rsidR="00227521" w:rsidRDefault="00227521" w:rsidP="00F45884">
      <w:pPr>
        <w:spacing w:line="276" w:lineRule="auto"/>
        <w:jc w:val="center"/>
        <w:rPr>
          <w:b/>
          <w:sz w:val="28"/>
          <w:szCs w:val="28"/>
        </w:rPr>
      </w:pPr>
    </w:p>
    <w:p w:rsidR="00F45884" w:rsidRPr="00DD5B13" w:rsidRDefault="00F45884" w:rsidP="00F45884">
      <w:pPr>
        <w:spacing w:line="276" w:lineRule="auto"/>
        <w:jc w:val="center"/>
        <w:rPr>
          <w:b/>
          <w:sz w:val="28"/>
          <w:szCs w:val="28"/>
        </w:rPr>
      </w:pPr>
      <w:r w:rsidRPr="00DD5B13">
        <w:rPr>
          <w:b/>
          <w:sz w:val="28"/>
          <w:szCs w:val="28"/>
        </w:rPr>
        <w:t>Порядок</w:t>
      </w:r>
    </w:p>
    <w:p w:rsidR="00F45884" w:rsidRPr="00DD5B13" w:rsidRDefault="00F45884" w:rsidP="00F45884">
      <w:pPr>
        <w:spacing w:line="276" w:lineRule="auto"/>
        <w:jc w:val="center"/>
        <w:rPr>
          <w:b/>
          <w:sz w:val="28"/>
          <w:szCs w:val="28"/>
        </w:rPr>
      </w:pPr>
      <w:r w:rsidRPr="00DD5B13">
        <w:rPr>
          <w:b/>
          <w:sz w:val="28"/>
          <w:szCs w:val="28"/>
        </w:rPr>
        <w:t xml:space="preserve">інформаційної взаємодії органів Державної фіскальної служби України </w:t>
      </w:r>
      <w:r w:rsidRPr="00DD5B13">
        <w:rPr>
          <w:b/>
          <w:sz w:val="28"/>
          <w:szCs w:val="28"/>
        </w:rPr>
        <w:br/>
        <w:t xml:space="preserve">та банків у процесі передачі інкасових доручень (розпоряджень) </w:t>
      </w:r>
      <w:r w:rsidRPr="00DD5B13">
        <w:rPr>
          <w:b/>
          <w:sz w:val="28"/>
          <w:szCs w:val="28"/>
        </w:rPr>
        <w:br/>
        <w:t>в електронній формі</w:t>
      </w:r>
    </w:p>
    <w:p w:rsidR="00F45884" w:rsidRPr="00DD5B13" w:rsidRDefault="00F45884" w:rsidP="00F45884">
      <w:pPr>
        <w:pStyle w:val="ab"/>
        <w:spacing w:after="0"/>
        <w:ind w:left="0"/>
        <w:jc w:val="center"/>
        <w:rPr>
          <w:rFonts w:ascii="Times New Roman" w:hAnsi="Times New Roman" w:cs="Times New Roman"/>
          <w:b/>
          <w:sz w:val="28"/>
          <w:szCs w:val="28"/>
        </w:rPr>
      </w:pPr>
    </w:p>
    <w:p w:rsidR="00F45884" w:rsidRPr="00DD5B13" w:rsidRDefault="00F45884" w:rsidP="00F45884">
      <w:pPr>
        <w:pStyle w:val="ab"/>
        <w:spacing w:after="0" w:line="360" w:lineRule="auto"/>
        <w:ind w:left="0"/>
        <w:jc w:val="center"/>
        <w:outlineLvl w:val="0"/>
        <w:rPr>
          <w:rFonts w:ascii="Times New Roman" w:hAnsi="Times New Roman" w:cs="Times New Roman"/>
          <w:b/>
          <w:sz w:val="28"/>
          <w:szCs w:val="28"/>
        </w:rPr>
      </w:pPr>
      <w:r w:rsidRPr="00DD5B13">
        <w:rPr>
          <w:rFonts w:ascii="Times New Roman" w:hAnsi="Times New Roman" w:cs="Times New Roman"/>
          <w:b/>
          <w:sz w:val="28"/>
          <w:szCs w:val="28"/>
        </w:rPr>
        <w:t>І.</w:t>
      </w:r>
      <w:r w:rsidRPr="00DD5B13">
        <w:rPr>
          <w:rFonts w:ascii="Times New Roman" w:hAnsi="Times New Roman" w:cs="Times New Roman"/>
          <w:b/>
          <w:sz w:val="28"/>
          <w:szCs w:val="28"/>
          <w:lang w:val="en-US"/>
        </w:rPr>
        <w:t> </w:t>
      </w:r>
      <w:r w:rsidRPr="00DD5B13">
        <w:rPr>
          <w:rFonts w:ascii="Times New Roman" w:hAnsi="Times New Roman" w:cs="Times New Roman"/>
          <w:b/>
          <w:sz w:val="28"/>
          <w:szCs w:val="28"/>
        </w:rPr>
        <w:t>Загальні положення</w:t>
      </w:r>
    </w:p>
    <w:p w:rsidR="00F45884" w:rsidRPr="00DD5B13" w:rsidRDefault="00F45884" w:rsidP="00F45884">
      <w:pPr>
        <w:spacing w:line="360" w:lineRule="auto"/>
        <w:jc w:val="center"/>
        <w:rPr>
          <w:b/>
          <w:sz w:val="28"/>
          <w:szCs w:val="28"/>
        </w:rPr>
      </w:pPr>
    </w:p>
    <w:p w:rsidR="00F45884" w:rsidRPr="00DD5B13" w:rsidRDefault="00F45884" w:rsidP="00F45884">
      <w:pPr>
        <w:spacing w:line="360" w:lineRule="auto"/>
        <w:ind w:firstLine="567"/>
        <w:jc w:val="both"/>
        <w:textAlignment w:val="baseline"/>
        <w:rPr>
          <w:sz w:val="28"/>
          <w:szCs w:val="28"/>
        </w:rPr>
      </w:pPr>
      <w:r w:rsidRPr="00DD5B13">
        <w:rPr>
          <w:sz w:val="28"/>
          <w:szCs w:val="28"/>
          <w:bdr w:val="none" w:sz="0" w:space="0" w:color="auto" w:frame="1"/>
          <w:lang w:eastAsia="uk-UA"/>
        </w:rPr>
        <w:t xml:space="preserve">1. Цей Порядок розроблено відповідно до Податкового кодексу України (далі – Кодекс), </w:t>
      </w:r>
      <w:r w:rsidRPr="00DD5B13">
        <w:rPr>
          <w:sz w:val="28"/>
          <w:szCs w:val="28"/>
        </w:rPr>
        <w:t xml:space="preserve">Законів України «Про електронні документи та електронний документообіг», «Про електронні довірчі послуги», «Про захист інформації в інформаційно-телекомунікаційних системах», підпункту 37 пункту 4 Положення про Державну фіскальну службу України, затвердженого постановою Кабінету Міністрів України від 21 травня 2014 року № 236, пункту 10 </w:t>
      </w:r>
      <w:r w:rsidRPr="00DD5B13">
        <w:rPr>
          <w:rStyle w:val="FontStyle19"/>
          <w:sz w:val="28"/>
          <w:szCs w:val="28"/>
        </w:rPr>
        <w:t xml:space="preserve">Положення про </w:t>
      </w:r>
      <w:r w:rsidRPr="00DD5B13">
        <w:rPr>
          <w:rStyle w:val="FontStyle19"/>
          <w:bCs/>
          <w:sz w:val="28"/>
          <w:szCs w:val="28"/>
        </w:rPr>
        <w:t xml:space="preserve">Державну казначейську службу України, затвердженого </w:t>
      </w:r>
      <w:r w:rsidRPr="00DD5B13">
        <w:rPr>
          <w:sz w:val="28"/>
          <w:szCs w:val="28"/>
        </w:rPr>
        <w:t xml:space="preserve">постановою Кабінету Міністрів України від 15 квітня 2015 року № 215, та з урахуванням вимог </w:t>
      </w:r>
      <w:r w:rsidRPr="00DD5B13">
        <w:rPr>
          <w:sz w:val="28"/>
          <w:szCs w:val="28"/>
          <w:bdr w:val="none" w:sz="0" w:space="0" w:color="auto" w:frame="1"/>
          <w:lang w:eastAsia="uk-UA"/>
        </w:rPr>
        <w:lastRenderedPageBreak/>
        <w:t xml:space="preserve">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зареєстрованої в Міністерстві юстиції України 29 березня </w:t>
      </w:r>
      <w:r w:rsidR="00814DC4">
        <w:rPr>
          <w:sz w:val="28"/>
          <w:szCs w:val="28"/>
          <w:bdr w:val="none" w:sz="0" w:space="0" w:color="auto" w:frame="1"/>
          <w:lang w:eastAsia="uk-UA"/>
        </w:rPr>
        <w:br/>
      </w:r>
      <w:r w:rsidRPr="00DD5B13">
        <w:rPr>
          <w:sz w:val="28"/>
          <w:szCs w:val="28"/>
          <w:bdr w:val="none" w:sz="0" w:space="0" w:color="auto" w:frame="1"/>
          <w:lang w:eastAsia="uk-UA"/>
        </w:rPr>
        <w:t>2004 року за № 377/8976 (зі змінами) (далі – Інструкція № 22).</w:t>
      </w:r>
    </w:p>
    <w:p w:rsidR="00F45884" w:rsidRPr="00227521" w:rsidRDefault="00F45884" w:rsidP="00F45884">
      <w:pPr>
        <w:spacing w:line="360" w:lineRule="auto"/>
        <w:ind w:firstLine="567"/>
        <w:jc w:val="both"/>
        <w:textAlignment w:val="baseline"/>
        <w:rPr>
          <w:sz w:val="16"/>
          <w:szCs w:val="16"/>
        </w:rPr>
      </w:pPr>
    </w:p>
    <w:p w:rsidR="00F45884" w:rsidRPr="00DD5B13" w:rsidRDefault="00F45884" w:rsidP="00F45884">
      <w:pPr>
        <w:spacing w:line="360" w:lineRule="auto"/>
        <w:ind w:firstLine="567"/>
        <w:jc w:val="both"/>
        <w:textAlignment w:val="baseline"/>
        <w:rPr>
          <w:sz w:val="28"/>
          <w:szCs w:val="28"/>
        </w:rPr>
      </w:pPr>
      <w:r w:rsidRPr="00DD5B13">
        <w:rPr>
          <w:sz w:val="28"/>
          <w:szCs w:val="28"/>
        </w:rPr>
        <w:t xml:space="preserve">2. Цей Порядок визначає послідовність дій </w:t>
      </w:r>
      <w:r w:rsidRPr="007E4792">
        <w:rPr>
          <w:sz w:val="28"/>
          <w:szCs w:val="28"/>
        </w:rPr>
        <w:t>ДФС), Казначейств</w:t>
      </w:r>
      <w:r w:rsidR="00814DC4" w:rsidRPr="007E4792">
        <w:rPr>
          <w:sz w:val="28"/>
          <w:szCs w:val="28"/>
        </w:rPr>
        <w:t>а</w:t>
      </w:r>
      <w:r w:rsidRPr="007E4792">
        <w:rPr>
          <w:sz w:val="28"/>
          <w:szCs w:val="28"/>
        </w:rPr>
        <w:t xml:space="preserve"> </w:t>
      </w:r>
      <w:r w:rsidRPr="00DD5B13">
        <w:rPr>
          <w:sz w:val="28"/>
          <w:szCs w:val="28"/>
        </w:rPr>
        <w:t>та банків під час передачі, перевірки та доставки інкасових доручень (розпоряджень) в електронній формі в процесі виконання контролюючими органами функцій з погашення податкового боргу відповідно до підпункту 19</w:t>
      </w:r>
      <w:r w:rsidRPr="00DD5B13">
        <w:rPr>
          <w:sz w:val="28"/>
          <w:szCs w:val="28"/>
          <w:vertAlign w:val="superscript"/>
        </w:rPr>
        <w:t>1</w:t>
      </w:r>
      <w:r w:rsidRPr="00DD5B13">
        <w:rPr>
          <w:sz w:val="28"/>
          <w:szCs w:val="28"/>
        </w:rPr>
        <w:t>.1.22 пункту 19</w:t>
      </w:r>
      <w:r w:rsidRPr="00DD5B13">
        <w:rPr>
          <w:sz w:val="28"/>
          <w:szCs w:val="28"/>
          <w:vertAlign w:val="superscript"/>
        </w:rPr>
        <w:t>1</w:t>
      </w:r>
      <w:r w:rsidRPr="00DD5B13">
        <w:rPr>
          <w:sz w:val="28"/>
          <w:szCs w:val="28"/>
        </w:rPr>
        <w:t>.1 статті 19</w:t>
      </w:r>
      <w:r w:rsidRPr="00DD5B13">
        <w:rPr>
          <w:sz w:val="28"/>
          <w:szCs w:val="28"/>
          <w:vertAlign w:val="superscript"/>
        </w:rPr>
        <w:t>1</w:t>
      </w:r>
      <w:r w:rsidRPr="00DD5B13">
        <w:rPr>
          <w:sz w:val="28"/>
          <w:szCs w:val="28"/>
        </w:rPr>
        <w:t xml:space="preserve"> розділу І, пунктів 95.3, 95.5 статті 95 глави 9 розділу ІІ Кодексу. </w:t>
      </w:r>
    </w:p>
    <w:p w:rsidR="00F45884" w:rsidRPr="00227521" w:rsidRDefault="00F45884" w:rsidP="00F45884">
      <w:pPr>
        <w:spacing w:line="360" w:lineRule="auto"/>
        <w:ind w:firstLine="567"/>
        <w:jc w:val="both"/>
        <w:textAlignment w:val="baseline"/>
        <w:rPr>
          <w:sz w:val="16"/>
          <w:szCs w:val="16"/>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val="ru-RU" w:eastAsia="uk-UA"/>
        </w:rPr>
        <w:t>3. </w:t>
      </w:r>
      <w:r w:rsidRPr="00DD5B13">
        <w:rPr>
          <w:sz w:val="28"/>
          <w:szCs w:val="28"/>
          <w:bdr w:val="none" w:sz="0" w:space="0" w:color="auto" w:frame="1"/>
          <w:lang w:eastAsia="uk-UA"/>
        </w:rPr>
        <w:t>Терміни в цьому Порядку вживаються у значеннях, визначених у Кодексі, Законах України «Про електронні довірчі послуги»,</w:t>
      </w:r>
      <w:r w:rsidRPr="00DD5B13">
        <w:rPr>
          <w:sz w:val="28"/>
          <w:szCs w:val="28"/>
          <w:bdr w:val="none" w:sz="0" w:space="0" w:color="auto" w:frame="1"/>
          <w:lang w:val="ru-RU" w:eastAsia="uk-UA"/>
        </w:rPr>
        <w:t xml:space="preserve"> «</w:t>
      </w:r>
      <w:r w:rsidRPr="00DD5B13">
        <w:rPr>
          <w:sz w:val="28"/>
          <w:szCs w:val="28"/>
          <w:bdr w:val="none" w:sz="0" w:space="0" w:color="auto" w:frame="1"/>
          <w:lang w:eastAsia="uk-UA"/>
        </w:rPr>
        <w:t>Про електронні документи та електронний документообіг», «Про платіжні системи та переказ коштів в Україні».</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7908B0" w:rsidRDefault="00F45884" w:rsidP="00F45884">
      <w:pPr>
        <w:pStyle w:val="ab"/>
        <w:spacing w:after="0" w:line="360" w:lineRule="auto"/>
        <w:ind w:left="0"/>
        <w:jc w:val="center"/>
        <w:rPr>
          <w:rFonts w:ascii="Times New Roman" w:hAnsi="Times New Roman" w:cs="Times New Roman"/>
          <w:b/>
          <w:sz w:val="28"/>
          <w:szCs w:val="28"/>
          <w:bdr w:val="none" w:sz="0" w:space="0" w:color="auto" w:frame="1"/>
          <w:lang w:eastAsia="uk-UA"/>
        </w:rPr>
      </w:pPr>
      <w:r w:rsidRPr="00DD5B13">
        <w:rPr>
          <w:rFonts w:ascii="Times New Roman" w:hAnsi="Times New Roman" w:cs="Times New Roman"/>
          <w:b/>
          <w:sz w:val="28"/>
          <w:szCs w:val="28"/>
          <w:bdr w:val="none" w:sz="0" w:space="0" w:color="auto" w:frame="1"/>
          <w:lang w:eastAsia="uk-UA"/>
        </w:rPr>
        <w:t xml:space="preserve">ІІ. </w:t>
      </w:r>
      <w:r w:rsidRPr="00DD5B13">
        <w:rPr>
          <w:rFonts w:ascii="Times New Roman" w:hAnsi="Times New Roman" w:cs="Times New Roman"/>
          <w:b/>
          <w:sz w:val="28"/>
          <w:szCs w:val="28"/>
        </w:rPr>
        <w:t>Організація</w:t>
      </w:r>
      <w:r w:rsidRPr="00DD5B13">
        <w:rPr>
          <w:rFonts w:ascii="Times New Roman" w:hAnsi="Times New Roman" w:cs="Times New Roman"/>
          <w:b/>
          <w:sz w:val="28"/>
          <w:szCs w:val="28"/>
          <w:bdr w:val="none" w:sz="0" w:space="0" w:color="auto" w:frame="1"/>
          <w:lang w:eastAsia="uk-UA"/>
        </w:rPr>
        <w:t xml:space="preserve"> передачі інкасового доручення (розпорядження) </w:t>
      </w:r>
    </w:p>
    <w:p w:rsidR="00F45884" w:rsidRPr="00DD5B13" w:rsidRDefault="00F45884" w:rsidP="00F45884">
      <w:pPr>
        <w:pStyle w:val="ab"/>
        <w:spacing w:after="0" w:line="360" w:lineRule="auto"/>
        <w:ind w:left="0"/>
        <w:jc w:val="center"/>
        <w:rPr>
          <w:rFonts w:ascii="Times New Roman" w:hAnsi="Times New Roman" w:cs="Times New Roman"/>
          <w:b/>
          <w:sz w:val="28"/>
          <w:szCs w:val="28"/>
          <w:bdr w:val="none" w:sz="0" w:space="0" w:color="auto" w:frame="1"/>
          <w:lang w:eastAsia="uk-UA"/>
        </w:rPr>
      </w:pPr>
      <w:r w:rsidRPr="00DD5B13">
        <w:rPr>
          <w:rFonts w:ascii="Times New Roman" w:hAnsi="Times New Roman" w:cs="Times New Roman"/>
          <w:b/>
          <w:sz w:val="28"/>
          <w:szCs w:val="28"/>
          <w:bdr w:val="none" w:sz="0" w:space="0" w:color="auto" w:frame="1"/>
          <w:lang w:eastAsia="uk-UA"/>
        </w:rPr>
        <w:t xml:space="preserve">в електронній формі </w:t>
      </w:r>
    </w:p>
    <w:p w:rsidR="00F45884" w:rsidRPr="00227521" w:rsidRDefault="00F45884" w:rsidP="00F45884">
      <w:pPr>
        <w:spacing w:line="360" w:lineRule="auto"/>
        <w:ind w:firstLine="709"/>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rPr>
      </w:pPr>
      <w:r w:rsidRPr="00DD5B13">
        <w:rPr>
          <w:sz w:val="28"/>
          <w:szCs w:val="28"/>
          <w:bdr w:val="none" w:sz="0" w:space="0" w:color="auto" w:frame="1"/>
          <w:lang w:eastAsia="uk-UA"/>
        </w:rPr>
        <w:t xml:space="preserve">1. Обмін електронними документами між органами ДФС та банками в процесі доставки </w:t>
      </w:r>
      <w:r w:rsidRPr="00DD5B13">
        <w:rPr>
          <w:sz w:val="28"/>
          <w:szCs w:val="28"/>
        </w:rPr>
        <w:t xml:space="preserve">інкасових доручень (розпоряджень) в електронній формі здійснюється </w:t>
      </w:r>
      <w:r w:rsidR="00942107" w:rsidRPr="00DD5B13">
        <w:rPr>
          <w:sz w:val="28"/>
          <w:szCs w:val="28"/>
        </w:rPr>
        <w:t xml:space="preserve">з використанням </w:t>
      </w:r>
      <w:r w:rsidRPr="00DD5B13">
        <w:rPr>
          <w:sz w:val="28"/>
          <w:szCs w:val="28"/>
        </w:rPr>
        <w:t>телекомунікаційн</w:t>
      </w:r>
      <w:r w:rsidR="00330DEB" w:rsidRPr="00DD5B13">
        <w:rPr>
          <w:sz w:val="28"/>
          <w:szCs w:val="28"/>
        </w:rPr>
        <w:t>и</w:t>
      </w:r>
      <w:r w:rsidR="00942107" w:rsidRPr="00DD5B13">
        <w:rPr>
          <w:sz w:val="28"/>
          <w:szCs w:val="28"/>
        </w:rPr>
        <w:t>х</w:t>
      </w:r>
      <w:r w:rsidRPr="00DD5B13">
        <w:rPr>
          <w:sz w:val="28"/>
          <w:szCs w:val="28"/>
        </w:rPr>
        <w:t xml:space="preserve"> </w:t>
      </w:r>
      <w:r w:rsidR="00DB57EF" w:rsidRPr="00DD5B13">
        <w:rPr>
          <w:sz w:val="28"/>
          <w:szCs w:val="28"/>
        </w:rPr>
        <w:t xml:space="preserve">мереж </w:t>
      </w:r>
      <w:r w:rsidR="00695E1E" w:rsidRPr="00DD5B13">
        <w:rPr>
          <w:sz w:val="28"/>
          <w:szCs w:val="28"/>
        </w:rPr>
        <w:t xml:space="preserve">та </w:t>
      </w:r>
      <w:r w:rsidRPr="00DD5B13">
        <w:rPr>
          <w:sz w:val="28"/>
          <w:szCs w:val="28"/>
        </w:rPr>
        <w:t>з дотриманням вимог законів щодо електронного документообігу та електронних довірчих послуг.</w:t>
      </w:r>
    </w:p>
    <w:p w:rsidR="00F45884" w:rsidRPr="00DD5B13" w:rsidRDefault="00F45884" w:rsidP="00F45884">
      <w:pPr>
        <w:spacing w:line="360" w:lineRule="auto"/>
        <w:ind w:firstLine="567"/>
        <w:jc w:val="both"/>
        <w:textAlignment w:val="baseline"/>
        <w:rPr>
          <w:sz w:val="28"/>
          <w:szCs w:val="28"/>
        </w:rPr>
      </w:pPr>
      <w:r w:rsidRPr="00DD5B13">
        <w:rPr>
          <w:sz w:val="28"/>
          <w:szCs w:val="28"/>
        </w:rPr>
        <w:t>Один електронний документ може містити інформацію щодо:</w:t>
      </w:r>
    </w:p>
    <w:p w:rsidR="00F45884" w:rsidRPr="00DD5B13" w:rsidRDefault="00F45884" w:rsidP="00F45884">
      <w:pPr>
        <w:spacing w:line="360" w:lineRule="auto"/>
        <w:ind w:firstLine="567"/>
        <w:jc w:val="both"/>
        <w:textAlignment w:val="baseline"/>
        <w:rPr>
          <w:sz w:val="28"/>
          <w:szCs w:val="28"/>
        </w:rPr>
      </w:pPr>
      <w:r w:rsidRPr="00DD5B13">
        <w:rPr>
          <w:sz w:val="28"/>
          <w:szCs w:val="28"/>
        </w:rPr>
        <w:t>одного або декількох інкасових доручень (розпоряджень), оформлених органами ДФС в електронному вигляді;</w:t>
      </w:r>
    </w:p>
    <w:p w:rsidR="00F45884" w:rsidRPr="00DD5B13" w:rsidRDefault="00F45884" w:rsidP="00F45884">
      <w:pPr>
        <w:spacing w:line="360" w:lineRule="auto"/>
        <w:ind w:firstLine="567"/>
        <w:jc w:val="both"/>
        <w:textAlignment w:val="baseline"/>
        <w:rPr>
          <w:sz w:val="28"/>
          <w:szCs w:val="28"/>
        </w:rPr>
      </w:pPr>
      <w:r w:rsidRPr="00DD5B13">
        <w:rPr>
          <w:sz w:val="28"/>
          <w:szCs w:val="28"/>
        </w:rPr>
        <w:t>одного або декількох частково виконаних чи невиконаних банком інкасових доручень (розпоряджень), що надійшли до банку платника на виконання;</w:t>
      </w:r>
    </w:p>
    <w:p w:rsidR="00F45884" w:rsidRPr="00DD5B13" w:rsidRDefault="00F45884" w:rsidP="00F45884">
      <w:pPr>
        <w:spacing w:line="360" w:lineRule="auto"/>
        <w:ind w:firstLine="567"/>
        <w:jc w:val="both"/>
        <w:textAlignment w:val="baseline"/>
        <w:rPr>
          <w:sz w:val="28"/>
          <w:szCs w:val="28"/>
        </w:rPr>
      </w:pPr>
      <w:r w:rsidRPr="00DD5B13">
        <w:rPr>
          <w:sz w:val="28"/>
          <w:szCs w:val="28"/>
        </w:rPr>
        <w:lastRenderedPageBreak/>
        <w:t>одного або декількох листів про відкликання інкасових доручень (розпоряджень);</w:t>
      </w:r>
    </w:p>
    <w:p w:rsidR="00F45884" w:rsidRPr="00DD5B13" w:rsidRDefault="00F45884" w:rsidP="00F45884">
      <w:pPr>
        <w:spacing w:line="360" w:lineRule="auto"/>
        <w:ind w:firstLine="567"/>
        <w:jc w:val="both"/>
        <w:textAlignment w:val="baseline"/>
        <w:rPr>
          <w:sz w:val="28"/>
          <w:szCs w:val="28"/>
        </w:rPr>
      </w:pPr>
      <w:r w:rsidRPr="00DD5B13">
        <w:rPr>
          <w:sz w:val="28"/>
          <w:szCs w:val="28"/>
        </w:rPr>
        <w:t>результатів приймання та перевірки інкасових доручень (розпоряджень), а також листів про відкликання.</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2. </w:t>
      </w:r>
      <w:r w:rsidRPr="00DD5B13">
        <w:rPr>
          <w:sz w:val="28"/>
          <w:szCs w:val="28"/>
        </w:rPr>
        <w:t xml:space="preserve">Електронні документи формуються на основі специфікації </w:t>
      </w:r>
      <w:proofErr w:type="spellStart"/>
      <w:r w:rsidRPr="00DD5B13">
        <w:rPr>
          <w:sz w:val="28"/>
          <w:szCs w:val="28"/>
        </w:rPr>
        <w:t>eXtensible</w:t>
      </w:r>
      <w:proofErr w:type="spellEnd"/>
      <w:r w:rsidRPr="00DD5B13">
        <w:rPr>
          <w:sz w:val="28"/>
          <w:szCs w:val="28"/>
        </w:rPr>
        <w:t xml:space="preserve"> </w:t>
      </w:r>
      <w:proofErr w:type="spellStart"/>
      <w:r w:rsidRPr="00DD5B13">
        <w:rPr>
          <w:sz w:val="28"/>
          <w:szCs w:val="28"/>
        </w:rPr>
        <w:t>Markup</w:t>
      </w:r>
      <w:proofErr w:type="spellEnd"/>
      <w:r w:rsidRPr="00DD5B13">
        <w:rPr>
          <w:sz w:val="28"/>
          <w:szCs w:val="28"/>
        </w:rPr>
        <w:t xml:space="preserve"> </w:t>
      </w:r>
      <w:proofErr w:type="spellStart"/>
      <w:r w:rsidRPr="00DD5B13">
        <w:rPr>
          <w:sz w:val="28"/>
          <w:szCs w:val="28"/>
        </w:rPr>
        <w:t>Language</w:t>
      </w:r>
      <w:proofErr w:type="spellEnd"/>
      <w:r w:rsidRPr="00DD5B13">
        <w:rPr>
          <w:sz w:val="28"/>
          <w:szCs w:val="28"/>
        </w:rPr>
        <w:t xml:space="preserve"> (XML). </w:t>
      </w:r>
      <w:r w:rsidRPr="00DD5B13">
        <w:rPr>
          <w:sz w:val="28"/>
          <w:szCs w:val="28"/>
          <w:bdr w:val="none" w:sz="0" w:space="0" w:color="auto" w:frame="1"/>
          <w:lang w:eastAsia="uk-UA"/>
        </w:rPr>
        <w:t xml:space="preserve">Формат (стандарт) електронного документа оприлюднюється на офіційному веб-порталі ДФС. </w:t>
      </w:r>
    </w:p>
    <w:p w:rsidR="00F45884" w:rsidRPr="00227521" w:rsidRDefault="00F45884" w:rsidP="00F45884">
      <w:pPr>
        <w:spacing w:line="360" w:lineRule="auto"/>
        <w:ind w:firstLine="567"/>
        <w:jc w:val="both"/>
        <w:textAlignment w:val="baseline"/>
        <w:rPr>
          <w:strike/>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rPr>
      </w:pPr>
      <w:r w:rsidRPr="00DD5B13">
        <w:rPr>
          <w:sz w:val="28"/>
          <w:szCs w:val="28"/>
        </w:rPr>
        <w:t xml:space="preserve">3. Контроль електронного документа у XML-форматі здійснюється із застосуванням схеми контролю XML-документа (XML-Schema). Схема контролю XML-документа </w:t>
      </w:r>
      <w:r w:rsidRPr="00DD5B13">
        <w:rPr>
          <w:sz w:val="28"/>
          <w:szCs w:val="28"/>
          <w:bdr w:val="none" w:sz="0" w:space="0" w:color="auto" w:frame="1"/>
          <w:lang w:eastAsia="uk-UA"/>
        </w:rPr>
        <w:t>оприлюднюється на офіційному веб-порталі ДФС</w:t>
      </w:r>
      <w:r w:rsidRPr="00DD5B13">
        <w:rPr>
          <w:sz w:val="28"/>
          <w:szCs w:val="28"/>
        </w:rPr>
        <w:t>.</w:t>
      </w:r>
    </w:p>
    <w:p w:rsidR="00F45884" w:rsidRPr="00DD5B13" w:rsidRDefault="00F45884" w:rsidP="00F45884">
      <w:pPr>
        <w:spacing w:line="360" w:lineRule="auto"/>
        <w:ind w:firstLine="567"/>
        <w:jc w:val="both"/>
        <w:textAlignment w:val="baseline"/>
        <w:rPr>
          <w:sz w:val="28"/>
          <w:szCs w:val="28"/>
        </w:rPr>
      </w:pPr>
      <w:r w:rsidRPr="00DD5B13">
        <w:rPr>
          <w:sz w:val="28"/>
          <w:szCs w:val="28"/>
        </w:rPr>
        <w:t>Обов’язкові реквізити електронного документа визначаються законодавством.</w:t>
      </w:r>
    </w:p>
    <w:p w:rsidR="00F45884" w:rsidRPr="00227521" w:rsidRDefault="00F45884" w:rsidP="00F45884">
      <w:pPr>
        <w:spacing w:line="360" w:lineRule="auto"/>
        <w:ind w:firstLine="567"/>
        <w:jc w:val="both"/>
        <w:textAlignment w:val="baseline"/>
        <w:rPr>
          <w:sz w:val="16"/>
          <w:szCs w:val="16"/>
        </w:rPr>
      </w:pPr>
    </w:p>
    <w:p w:rsidR="00F45884" w:rsidRPr="00DD5B13" w:rsidRDefault="00F45884" w:rsidP="00F45884">
      <w:pPr>
        <w:spacing w:line="360" w:lineRule="auto"/>
        <w:ind w:firstLine="567"/>
        <w:jc w:val="both"/>
        <w:textAlignment w:val="baseline"/>
        <w:rPr>
          <w:sz w:val="28"/>
          <w:szCs w:val="28"/>
        </w:rPr>
      </w:pPr>
      <w:r w:rsidRPr="00DD5B13">
        <w:rPr>
          <w:sz w:val="28"/>
          <w:szCs w:val="28"/>
        </w:rPr>
        <w:t xml:space="preserve">4. Розробка електронних форм документів та кодування відповідних полів документів здійснюються у форматі </w:t>
      </w:r>
      <w:proofErr w:type="spellStart"/>
      <w:r w:rsidRPr="00DD5B13">
        <w:rPr>
          <w:sz w:val="28"/>
          <w:szCs w:val="28"/>
        </w:rPr>
        <w:t>Portable</w:t>
      </w:r>
      <w:proofErr w:type="spellEnd"/>
      <w:r w:rsidRPr="00DD5B13">
        <w:rPr>
          <w:sz w:val="28"/>
          <w:szCs w:val="28"/>
        </w:rPr>
        <w:t xml:space="preserve"> </w:t>
      </w:r>
      <w:proofErr w:type="spellStart"/>
      <w:r w:rsidRPr="00DD5B13">
        <w:rPr>
          <w:sz w:val="28"/>
          <w:szCs w:val="28"/>
        </w:rPr>
        <w:t>Document</w:t>
      </w:r>
      <w:proofErr w:type="spellEnd"/>
      <w:r w:rsidRPr="00DD5B13">
        <w:rPr>
          <w:sz w:val="28"/>
          <w:szCs w:val="28"/>
        </w:rPr>
        <w:t xml:space="preserve"> </w:t>
      </w:r>
      <w:proofErr w:type="spellStart"/>
      <w:r w:rsidRPr="00DD5B13">
        <w:rPr>
          <w:sz w:val="28"/>
          <w:szCs w:val="28"/>
        </w:rPr>
        <w:t>Format</w:t>
      </w:r>
      <w:proofErr w:type="spellEnd"/>
      <w:r w:rsidRPr="00DD5B13">
        <w:rPr>
          <w:sz w:val="28"/>
          <w:szCs w:val="28"/>
        </w:rPr>
        <w:t xml:space="preserve"> (PDF). Електронні форми розробляються для кожного типу документа окремо.</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5. Банк для обміну електронними документами з контролюючими органами повинен мати:</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програмне забезпечення, призначене для отримання та обробки </w:t>
      </w:r>
      <w:r w:rsidRPr="00DD5B13">
        <w:rPr>
          <w:sz w:val="28"/>
          <w:szCs w:val="28"/>
        </w:rPr>
        <w:t>інкасових доручень (розпоряджень), оформлених контролюючими органами в електронному вигляді</w:t>
      </w:r>
      <w:r w:rsidRPr="00DD5B13">
        <w:rPr>
          <w:sz w:val="28"/>
          <w:szCs w:val="28"/>
          <w:bdr w:val="none" w:sz="0" w:space="0" w:color="auto" w:frame="1"/>
          <w:lang w:eastAsia="uk-UA"/>
        </w:rPr>
        <w:t>;</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можливість приймання/відправлення електронних документів </w:t>
      </w:r>
      <w:r w:rsidR="00E67486" w:rsidRPr="007E4792">
        <w:rPr>
          <w:sz w:val="28"/>
          <w:szCs w:val="28"/>
          <w:bdr w:val="none" w:sz="0" w:space="0" w:color="auto" w:frame="1"/>
          <w:lang w:eastAsia="uk-UA"/>
        </w:rPr>
        <w:t>і</w:t>
      </w:r>
      <w:r w:rsidR="00DB57EF" w:rsidRPr="007E4792">
        <w:rPr>
          <w:sz w:val="28"/>
          <w:szCs w:val="28"/>
          <w:bdr w:val="none" w:sz="0" w:space="0" w:color="auto" w:frame="1"/>
          <w:lang w:eastAsia="uk-UA"/>
        </w:rPr>
        <w:t>з</w:t>
      </w:r>
      <w:r w:rsidR="00DB57EF" w:rsidRPr="00DD5B13">
        <w:rPr>
          <w:sz w:val="28"/>
          <w:szCs w:val="28"/>
          <w:bdr w:val="none" w:sz="0" w:space="0" w:color="auto" w:frame="1"/>
          <w:lang w:eastAsia="uk-UA"/>
        </w:rPr>
        <w:t xml:space="preserve"> використанням </w:t>
      </w:r>
      <w:r w:rsidRPr="00DD5B13">
        <w:rPr>
          <w:sz w:val="28"/>
          <w:szCs w:val="28"/>
          <w:bdr w:val="none" w:sz="0" w:space="0" w:color="auto" w:frame="1"/>
          <w:lang w:eastAsia="uk-UA"/>
        </w:rPr>
        <w:t>телекомунікаційн</w:t>
      </w:r>
      <w:r w:rsidR="00330DEB" w:rsidRPr="00DD5B13">
        <w:rPr>
          <w:sz w:val="28"/>
          <w:szCs w:val="28"/>
          <w:bdr w:val="none" w:sz="0" w:space="0" w:color="auto" w:frame="1"/>
          <w:lang w:eastAsia="uk-UA"/>
        </w:rPr>
        <w:t>и</w:t>
      </w:r>
      <w:r w:rsidR="00DB57EF" w:rsidRPr="00DD5B13">
        <w:rPr>
          <w:sz w:val="28"/>
          <w:szCs w:val="28"/>
          <w:bdr w:val="none" w:sz="0" w:space="0" w:color="auto" w:frame="1"/>
          <w:lang w:eastAsia="uk-UA"/>
        </w:rPr>
        <w:t>х мереж</w:t>
      </w:r>
      <w:r w:rsidR="00C85A8E" w:rsidRPr="00DD5B13">
        <w:rPr>
          <w:sz w:val="28"/>
          <w:szCs w:val="28"/>
          <w:bdr w:val="none" w:sz="0" w:space="0" w:color="auto" w:frame="1"/>
          <w:lang w:eastAsia="uk-UA"/>
        </w:rPr>
        <w:t>,</w:t>
      </w:r>
      <w:r w:rsidR="00DB57EF" w:rsidRPr="00DD5B13">
        <w:rPr>
          <w:sz w:val="28"/>
          <w:szCs w:val="28"/>
          <w:bdr w:val="none" w:sz="0" w:space="0" w:color="auto" w:frame="1"/>
          <w:lang w:eastAsia="uk-UA"/>
        </w:rPr>
        <w:t xml:space="preserve"> </w:t>
      </w:r>
      <w:r w:rsidRPr="00DD5B13">
        <w:rPr>
          <w:sz w:val="28"/>
          <w:szCs w:val="28"/>
          <w:bdr w:val="none" w:sz="0" w:space="0" w:color="auto" w:frame="1"/>
          <w:lang w:eastAsia="uk-UA"/>
        </w:rPr>
        <w:t>засобів технічного та криптографічного захисту інформації відповідно до вимог законодавства з питань захисту інформації.</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lastRenderedPageBreak/>
        <w:t>6. Під час обміну електронними документами відповідно до цього Порядку здійснюється перевірка правового статусу кваліфікованого електронного підпису чи печатки шляхом встановлення чинності кваліфікованого сертифіката відкритого ключа підписувача на час підписання електронного документа та відповідності особистого ключа підписувача відкритому ключу, зазначеному у кваліфікованому сертифікаті.</w:t>
      </w:r>
    </w:p>
    <w:p w:rsidR="00640F8F" w:rsidRPr="00640F8F" w:rsidRDefault="00640F8F"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Дата та час накладення кваліфікованого електронного підпису чи печатки встановлюються за даними позначки часу, отриманої </w:t>
      </w:r>
      <w:proofErr w:type="spellStart"/>
      <w:r w:rsidRPr="00DD5B13">
        <w:rPr>
          <w:sz w:val="28"/>
          <w:szCs w:val="28"/>
          <w:bdr w:val="none" w:sz="0" w:space="0" w:color="auto" w:frame="1"/>
          <w:lang w:eastAsia="uk-UA"/>
        </w:rPr>
        <w:t>підписувачем</w:t>
      </w:r>
      <w:proofErr w:type="spellEnd"/>
      <w:r w:rsidRPr="00DD5B13">
        <w:rPr>
          <w:sz w:val="28"/>
          <w:szCs w:val="28"/>
          <w:bdr w:val="none" w:sz="0" w:space="0" w:color="auto" w:frame="1"/>
          <w:lang w:eastAsia="uk-UA"/>
        </w:rPr>
        <w:t xml:space="preserve"> від кваліфікованого надавача електронних довірчих послуг </w:t>
      </w:r>
      <w:r w:rsidR="00E67486" w:rsidRPr="007E4792">
        <w:rPr>
          <w:sz w:val="28"/>
          <w:szCs w:val="28"/>
          <w:bdr w:val="none" w:sz="0" w:space="0" w:color="auto" w:frame="1"/>
          <w:lang w:eastAsia="uk-UA"/>
        </w:rPr>
        <w:t>у</w:t>
      </w:r>
      <w:r w:rsidRPr="007E4792">
        <w:rPr>
          <w:sz w:val="28"/>
          <w:szCs w:val="28"/>
          <w:bdr w:val="none" w:sz="0" w:space="0" w:color="auto" w:frame="1"/>
          <w:lang w:eastAsia="uk-UA"/>
        </w:rPr>
        <w:t xml:space="preserve"> </w:t>
      </w:r>
      <w:r w:rsidRPr="00DD5B13">
        <w:rPr>
          <w:sz w:val="28"/>
          <w:szCs w:val="28"/>
          <w:bdr w:val="none" w:sz="0" w:space="0" w:color="auto" w:frame="1"/>
          <w:lang w:eastAsia="uk-UA"/>
        </w:rPr>
        <w:t>момент підпису, а чинність кваліфікованого сертифіката на цей момент встановлюється за даними відповідного онлайн-сервісу кваліфікованого надавача електронних довірчих послуг (OCSP).</w:t>
      </w:r>
    </w:p>
    <w:p w:rsidR="00F45884" w:rsidRPr="00227521" w:rsidRDefault="00F45884" w:rsidP="00F45884">
      <w:pPr>
        <w:spacing w:line="360" w:lineRule="auto"/>
        <w:ind w:firstLine="709"/>
        <w:jc w:val="center"/>
        <w:textAlignment w:val="baseline"/>
        <w:outlineLvl w:val="0"/>
        <w:rPr>
          <w:b/>
          <w:sz w:val="16"/>
          <w:szCs w:val="16"/>
          <w:bdr w:val="none" w:sz="0" w:space="0" w:color="auto" w:frame="1"/>
          <w:lang w:eastAsia="uk-UA"/>
        </w:rPr>
      </w:pPr>
    </w:p>
    <w:p w:rsidR="00F45884" w:rsidRPr="00DD5B13" w:rsidRDefault="00F45884" w:rsidP="00F45884">
      <w:pPr>
        <w:spacing w:line="360" w:lineRule="auto"/>
        <w:ind w:firstLine="709"/>
        <w:jc w:val="center"/>
        <w:textAlignment w:val="baseline"/>
        <w:outlineLvl w:val="0"/>
        <w:rPr>
          <w:b/>
          <w:sz w:val="28"/>
          <w:szCs w:val="28"/>
          <w:bdr w:val="none" w:sz="0" w:space="0" w:color="auto" w:frame="1"/>
          <w:lang w:eastAsia="uk-UA"/>
        </w:rPr>
      </w:pPr>
      <w:r w:rsidRPr="00DD5B13">
        <w:rPr>
          <w:b/>
          <w:sz w:val="28"/>
          <w:szCs w:val="28"/>
          <w:bdr w:val="none" w:sz="0" w:space="0" w:color="auto" w:frame="1"/>
          <w:lang w:eastAsia="uk-UA"/>
        </w:rPr>
        <w:t>ІІІ. Інформаційна взаємодія ДФС та Казначейства</w:t>
      </w:r>
      <w:r w:rsidRPr="00DD5B13">
        <w:rPr>
          <w:b/>
          <w:bCs/>
          <w:sz w:val="28"/>
          <w:szCs w:val="28"/>
        </w:rPr>
        <w:t xml:space="preserve"> під час перевірки відповідності заповнення реквізитів інкасових доручень (розпоряджень) </w:t>
      </w:r>
      <w:r w:rsidRPr="00DD5B13">
        <w:rPr>
          <w:b/>
          <w:bCs/>
          <w:sz w:val="28"/>
          <w:szCs w:val="28"/>
        </w:rPr>
        <w:br/>
        <w:t>в електронній формі</w:t>
      </w:r>
    </w:p>
    <w:p w:rsidR="00F45884" w:rsidRPr="00227521" w:rsidRDefault="00F45884" w:rsidP="00F45884">
      <w:pPr>
        <w:spacing w:line="360" w:lineRule="auto"/>
        <w:ind w:firstLine="709"/>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1. Територіальний орган ДФС, уповноважений здійснювати заходи з погашення податкового боргу (далі – територіальний орган ДФС), засобами інформаційно-телекомунікаційних систем ДФС формує інкасове доручення (розпорядження) у вигляді електронного документа відповідно до порядку, визначеного главою 11 Інструкції № 22, за формою та з дотриманням </w:t>
      </w:r>
      <w:r w:rsidR="00795381">
        <w:rPr>
          <w:sz w:val="28"/>
          <w:szCs w:val="28"/>
          <w:bdr w:val="none" w:sz="0" w:space="0" w:color="auto" w:frame="1"/>
          <w:lang w:eastAsia="uk-UA"/>
        </w:rPr>
        <w:t>указівок</w:t>
      </w:r>
      <w:r w:rsidRPr="00DD5B13">
        <w:rPr>
          <w:sz w:val="28"/>
          <w:szCs w:val="28"/>
          <w:bdr w:val="none" w:sz="0" w:space="0" w:color="auto" w:frame="1"/>
          <w:lang w:eastAsia="uk-UA"/>
        </w:rPr>
        <w:t xml:space="preserve"> щодо заповнення реквізитів розрахункових документів, встановлених додатками </w:t>
      </w:r>
      <w:r w:rsidRPr="00795381">
        <w:rPr>
          <w:sz w:val="28"/>
          <w:szCs w:val="28"/>
          <w:bdr w:val="none" w:sz="0" w:space="0" w:color="auto" w:frame="1"/>
          <w:lang w:eastAsia="uk-UA"/>
        </w:rPr>
        <w:t>22, 7</w:t>
      </w:r>
      <w:r w:rsidRPr="00DD5B13">
        <w:rPr>
          <w:sz w:val="28"/>
          <w:szCs w:val="28"/>
          <w:bdr w:val="none" w:sz="0" w:space="0" w:color="auto" w:frame="1"/>
          <w:lang w:eastAsia="uk-UA"/>
        </w:rPr>
        <w:t xml:space="preserve"> до Інструкції № </w:t>
      </w:r>
      <w:r w:rsidRPr="00795381">
        <w:rPr>
          <w:sz w:val="28"/>
          <w:szCs w:val="28"/>
          <w:bdr w:val="none" w:sz="0" w:space="0" w:color="auto" w:frame="1"/>
          <w:lang w:eastAsia="uk-UA"/>
        </w:rPr>
        <w:t>22 відповідно.</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2. Формування інкасового доручення (розпорядження) в електронному вигляді завершується наклад</w:t>
      </w:r>
      <w:r w:rsidR="00E67486" w:rsidRPr="007E4792">
        <w:rPr>
          <w:sz w:val="28"/>
          <w:szCs w:val="28"/>
          <w:bdr w:val="none" w:sz="0" w:space="0" w:color="auto" w:frame="1"/>
          <w:lang w:eastAsia="uk-UA"/>
        </w:rPr>
        <w:t>е</w:t>
      </w:r>
      <w:r w:rsidRPr="007E4792">
        <w:rPr>
          <w:sz w:val="28"/>
          <w:szCs w:val="28"/>
          <w:bdr w:val="none" w:sz="0" w:space="0" w:color="auto" w:frame="1"/>
          <w:lang w:eastAsia="uk-UA"/>
        </w:rPr>
        <w:t xml:space="preserve">нням </w:t>
      </w:r>
      <w:r w:rsidRPr="00DD5B13">
        <w:rPr>
          <w:sz w:val="28"/>
          <w:szCs w:val="28"/>
          <w:bdr w:val="none" w:sz="0" w:space="0" w:color="auto" w:frame="1"/>
          <w:lang w:eastAsia="uk-UA"/>
        </w:rPr>
        <w:t xml:space="preserve">на нього кваліфікованих електронних підписів уповноважених осіб та електронної печатки відповідного </w:t>
      </w:r>
      <w:r w:rsidRPr="00DD5B13">
        <w:rPr>
          <w:sz w:val="28"/>
          <w:szCs w:val="28"/>
          <w:bdr w:val="none" w:sz="0" w:space="0" w:color="auto" w:frame="1"/>
          <w:lang w:eastAsia="uk-UA"/>
        </w:rPr>
        <w:lastRenderedPageBreak/>
        <w:t>територіального органу ДФС, як передбачено для аналогічного документа в паперовому вигляді.</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3. ДФС протягом операційного дня, але не пізніше ніж за три години до його закінчення, забезпечує передачу до Казначейства сформованих територіальними органами ДФС інкасових доручень (розпоряджень). </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4. Казначейство та/або його територіальні органи згідно з пунктом 11.5 глави 11 Інструкції № 22 здійснює перевірку </w:t>
      </w:r>
      <w:r w:rsidRPr="00DD5B13">
        <w:rPr>
          <w:bCs/>
          <w:sz w:val="28"/>
          <w:szCs w:val="28"/>
        </w:rPr>
        <w:t>відповідності заповнення реквізитів</w:t>
      </w:r>
      <w:r w:rsidRPr="00DD5B13">
        <w:rPr>
          <w:sz w:val="28"/>
          <w:szCs w:val="28"/>
        </w:rPr>
        <w:t xml:space="preserve"> </w:t>
      </w:r>
      <w:r w:rsidRPr="00DD5B13">
        <w:rPr>
          <w:sz w:val="28"/>
          <w:szCs w:val="28"/>
          <w:bdr w:val="none" w:sz="0" w:space="0" w:color="auto" w:frame="1"/>
          <w:lang w:eastAsia="uk-UA"/>
        </w:rPr>
        <w:t xml:space="preserve">отриманих в електронному вигляді </w:t>
      </w:r>
      <w:r w:rsidRPr="00DD5B13">
        <w:rPr>
          <w:sz w:val="28"/>
          <w:szCs w:val="28"/>
        </w:rPr>
        <w:t>інкасових доручень (розпоряджень)</w:t>
      </w:r>
      <w:r w:rsidRPr="00DD5B13">
        <w:rPr>
          <w:sz w:val="28"/>
          <w:szCs w:val="28"/>
          <w:bdr w:val="none" w:sz="0" w:space="0" w:color="auto" w:frame="1"/>
          <w:lang w:eastAsia="uk-UA"/>
        </w:rPr>
        <w:t xml:space="preserve"> не пізніше наступного операційного дня з дня їх отримання. </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5. Кожне інкасове доручення (розпорядження), реквізити якого перевірено Казначейством та/або його територіальним органом, засвідчується кваліфікованим електронним підписом уповноваженої особи відповідного органу Казначейства і повертається до ДФС із зазначенням результату перевірки реквізитів такого інкасового доручення (розпорядження).</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У разі негативного результату перевірки реквізитів інкасового доручення (розпорядження) територіальний орган ДФС не пізніше наступного операційного дня з дня отримання такого результату формує нове інкасове доручення (розпорядження), а ДФС забезпечує його передачу Казначейству.</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pacing w:val="-3"/>
          <w:sz w:val="28"/>
          <w:szCs w:val="28"/>
        </w:rPr>
      </w:pPr>
      <w:r w:rsidRPr="00DD5B13">
        <w:rPr>
          <w:spacing w:val="-3"/>
          <w:sz w:val="28"/>
          <w:szCs w:val="28"/>
        </w:rPr>
        <w:t>6. Для ідентифікації підписувача та підтвердження цілісності даних в електронній формі органи ДФС та Казначейства використовують кваліфікований електронний підпис чи печатку з використанням кваліфікованого сертифіката відкритого ключа відповідно до вимог чинного законодавства.</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pacing w:val="-3"/>
          <w:sz w:val="28"/>
          <w:szCs w:val="28"/>
        </w:rPr>
        <w:t xml:space="preserve">Для </w:t>
      </w:r>
      <w:r w:rsidR="0005693F" w:rsidRPr="00DD5B13">
        <w:rPr>
          <w:spacing w:val="-3"/>
          <w:sz w:val="28"/>
          <w:szCs w:val="28"/>
        </w:rPr>
        <w:t xml:space="preserve">зберігання особистого </w:t>
      </w:r>
      <w:r w:rsidRPr="00DD5B13">
        <w:rPr>
          <w:spacing w:val="-3"/>
          <w:sz w:val="28"/>
          <w:szCs w:val="28"/>
        </w:rPr>
        <w:t>ключа використову</w:t>
      </w:r>
      <w:r w:rsidR="00981F58" w:rsidRPr="00DD5B13">
        <w:rPr>
          <w:spacing w:val="-3"/>
          <w:sz w:val="28"/>
          <w:szCs w:val="28"/>
        </w:rPr>
        <w:t>є</w:t>
      </w:r>
      <w:r w:rsidRPr="00DD5B13">
        <w:rPr>
          <w:spacing w:val="-3"/>
          <w:sz w:val="28"/>
          <w:szCs w:val="28"/>
        </w:rPr>
        <w:t>ться захищен</w:t>
      </w:r>
      <w:r w:rsidR="00981F58" w:rsidRPr="00DD5B13">
        <w:rPr>
          <w:spacing w:val="-3"/>
          <w:sz w:val="28"/>
          <w:szCs w:val="28"/>
        </w:rPr>
        <w:t>ий</w:t>
      </w:r>
      <w:r w:rsidRPr="00DD5B13">
        <w:rPr>
          <w:spacing w:val="-3"/>
          <w:sz w:val="28"/>
          <w:szCs w:val="28"/>
        </w:rPr>
        <w:t xml:space="preserve"> носі</w:t>
      </w:r>
      <w:r w:rsidR="00981F58" w:rsidRPr="00DD5B13">
        <w:rPr>
          <w:spacing w:val="-3"/>
          <w:sz w:val="28"/>
          <w:szCs w:val="28"/>
        </w:rPr>
        <w:t>й</w:t>
      </w:r>
      <w:r w:rsidRPr="00DD5B13">
        <w:rPr>
          <w:spacing w:val="-3"/>
          <w:sz w:val="28"/>
          <w:szCs w:val="28"/>
        </w:rPr>
        <w:t xml:space="preserve"> особист</w:t>
      </w:r>
      <w:r w:rsidR="00981F58" w:rsidRPr="00DD5B13">
        <w:rPr>
          <w:spacing w:val="-3"/>
          <w:sz w:val="28"/>
          <w:szCs w:val="28"/>
        </w:rPr>
        <w:t>ого</w:t>
      </w:r>
      <w:r w:rsidRPr="00DD5B13">
        <w:rPr>
          <w:spacing w:val="-3"/>
          <w:sz w:val="28"/>
          <w:szCs w:val="28"/>
        </w:rPr>
        <w:t xml:space="preserve"> ключ</w:t>
      </w:r>
      <w:r w:rsidR="00981F58" w:rsidRPr="00DD5B13">
        <w:rPr>
          <w:spacing w:val="-3"/>
          <w:sz w:val="28"/>
          <w:szCs w:val="28"/>
        </w:rPr>
        <w:t>а</w:t>
      </w:r>
      <w:r w:rsidRPr="00DD5B13">
        <w:rPr>
          <w:spacing w:val="-3"/>
          <w:sz w:val="28"/>
          <w:szCs w:val="28"/>
        </w:rPr>
        <w:t>.</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227521">
      <w:pPr>
        <w:tabs>
          <w:tab w:val="left" w:pos="851"/>
          <w:tab w:val="left" w:pos="993"/>
          <w:tab w:val="left" w:pos="1134"/>
          <w:tab w:val="left" w:pos="1560"/>
        </w:tabs>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7. Обмін електронними документами між інформаційно-телекомунікаційними системами (далі – ІТС) ДФС та Казначейства здійснюється </w:t>
      </w:r>
      <w:r w:rsidRPr="00DD5B13">
        <w:rPr>
          <w:sz w:val="28"/>
          <w:szCs w:val="28"/>
          <w:bdr w:val="none" w:sz="0" w:space="0" w:color="auto" w:frame="1"/>
          <w:lang w:eastAsia="uk-UA"/>
        </w:rPr>
        <w:lastRenderedPageBreak/>
        <w:t xml:space="preserve">каналами конфіденційного зв’язку спеціальної інформаційно-телекомунікаційної системи органів виконавчої влади Національної системи конфіденційного зв’язку (далі – СІТС НСКЗ) з використанням ІТС ДФС та Казначейства </w:t>
      </w:r>
      <w:r w:rsidRPr="00DD5B13">
        <w:rPr>
          <w:sz w:val="28"/>
          <w:szCs w:val="28"/>
        </w:rPr>
        <w:t xml:space="preserve">із </w:t>
      </w:r>
      <w:r w:rsidRPr="007E4792">
        <w:rPr>
          <w:sz w:val="28"/>
          <w:szCs w:val="28"/>
        </w:rPr>
        <w:t xml:space="preserve">застосуванням </w:t>
      </w:r>
      <w:r w:rsidR="009E4369" w:rsidRPr="007E4792">
        <w:rPr>
          <w:sz w:val="28"/>
          <w:szCs w:val="28"/>
        </w:rPr>
        <w:t>у</w:t>
      </w:r>
      <w:r w:rsidRPr="007E4792">
        <w:rPr>
          <w:sz w:val="28"/>
          <w:szCs w:val="28"/>
        </w:rPr>
        <w:t xml:space="preserve"> </w:t>
      </w:r>
      <w:r w:rsidRPr="00DD5B13">
        <w:rPr>
          <w:sz w:val="28"/>
          <w:szCs w:val="28"/>
        </w:rPr>
        <w:t>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r w:rsidRPr="00DD5B13">
        <w:rPr>
          <w:sz w:val="28"/>
          <w:szCs w:val="28"/>
          <w:bdr w:val="none" w:sz="0" w:space="0" w:color="auto" w:frame="1"/>
          <w:lang w:eastAsia="uk-UA"/>
        </w:rPr>
        <w:t>.</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У разі відсутності технічної можливості передання даних каналами конфіденційного зв’язку СІТС НСКЗ таке передання здійснюється з використанням </w:t>
      </w:r>
      <w:r w:rsidR="00CC1683" w:rsidRPr="00DD5B13">
        <w:rPr>
          <w:sz w:val="28"/>
          <w:szCs w:val="28"/>
          <w:bdr w:val="none" w:sz="0" w:space="0" w:color="auto" w:frame="1"/>
          <w:lang w:eastAsia="uk-UA"/>
        </w:rPr>
        <w:t xml:space="preserve">телекомунікаційних мереж </w:t>
      </w:r>
      <w:r w:rsidRPr="00DD5B13">
        <w:rPr>
          <w:sz w:val="28"/>
          <w:szCs w:val="28"/>
          <w:bdr w:val="none" w:sz="0" w:space="0" w:color="auto" w:frame="1"/>
          <w:lang w:eastAsia="uk-UA"/>
        </w:rPr>
        <w:t>засобів технічного та криптографічного захисту інформації відповідно до вимог законодавства з питань захисту інформації.</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8. Процедури взаємодії ІТС ДФС та Казначейства визначаються спільно такими органами і оформлюються протоколами обміну інформацією, підготовленими відповідно до цього Порядку.</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p>
    <w:p w:rsidR="00F45884" w:rsidRPr="00DD5B13" w:rsidRDefault="00F45884" w:rsidP="00F45884">
      <w:pPr>
        <w:spacing w:line="360" w:lineRule="auto"/>
        <w:ind w:firstLine="14"/>
        <w:jc w:val="center"/>
        <w:textAlignment w:val="baseline"/>
        <w:rPr>
          <w:b/>
          <w:sz w:val="28"/>
          <w:szCs w:val="28"/>
          <w:bdr w:val="none" w:sz="0" w:space="0" w:color="auto" w:frame="1"/>
          <w:lang w:eastAsia="uk-UA"/>
        </w:rPr>
      </w:pPr>
      <w:r w:rsidRPr="00DD5B13">
        <w:rPr>
          <w:b/>
          <w:sz w:val="28"/>
          <w:szCs w:val="28"/>
          <w:bdr w:val="none" w:sz="0" w:space="0" w:color="auto" w:frame="1"/>
          <w:lang w:eastAsia="uk-UA"/>
        </w:rPr>
        <w:t>І</w:t>
      </w:r>
      <w:r w:rsidRPr="00DD5B13">
        <w:rPr>
          <w:b/>
          <w:sz w:val="28"/>
          <w:szCs w:val="28"/>
          <w:bdr w:val="none" w:sz="0" w:space="0" w:color="auto" w:frame="1"/>
          <w:lang w:val="en-US" w:eastAsia="uk-UA"/>
        </w:rPr>
        <w:t>V</w:t>
      </w:r>
      <w:r w:rsidRPr="00DD5B13">
        <w:rPr>
          <w:b/>
          <w:sz w:val="28"/>
          <w:szCs w:val="28"/>
          <w:bdr w:val="none" w:sz="0" w:space="0" w:color="auto" w:frame="1"/>
          <w:lang w:eastAsia="uk-UA"/>
        </w:rPr>
        <w:t>. Порядок доставки інкасових доручень (розпоряджень) в електронній формі до банку платника</w:t>
      </w:r>
    </w:p>
    <w:p w:rsidR="00F45884" w:rsidRPr="00DD5B13" w:rsidRDefault="00F45884" w:rsidP="00F45884">
      <w:pPr>
        <w:spacing w:line="360" w:lineRule="auto"/>
        <w:ind w:firstLine="709"/>
        <w:jc w:val="both"/>
        <w:textAlignment w:val="baseline"/>
        <w:rPr>
          <w:sz w:val="28"/>
          <w:szCs w:val="28"/>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1. Територіальні органи ДФС забезпечують доставку до банків платника інкасових доручень (розпоряджень), що пройшли успішну перевірку Казначейством та/або його територіальними органами та повернені ДФС згідно з розділом ІІІ цього Порядку.</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2. Формування інкасового доручення (розпорядження) для банку платника завершується </w:t>
      </w:r>
      <w:r w:rsidRPr="007E4792">
        <w:rPr>
          <w:sz w:val="28"/>
          <w:szCs w:val="28"/>
          <w:bdr w:val="none" w:sz="0" w:space="0" w:color="auto" w:frame="1"/>
          <w:lang w:eastAsia="uk-UA"/>
        </w:rPr>
        <w:t>наклад</w:t>
      </w:r>
      <w:r w:rsidR="009E4369" w:rsidRPr="007E4792">
        <w:rPr>
          <w:sz w:val="28"/>
          <w:szCs w:val="28"/>
          <w:bdr w:val="none" w:sz="0" w:space="0" w:color="auto" w:frame="1"/>
          <w:lang w:eastAsia="uk-UA"/>
        </w:rPr>
        <w:t>е</w:t>
      </w:r>
      <w:r w:rsidRPr="007E4792">
        <w:rPr>
          <w:sz w:val="28"/>
          <w:szCs w:val="28"/>
          <w:bdr w:val="none" w:sz="0" w:space="0" w:color="auto" w:frame="1"/>
          <w:lang w:eastAsia="uk-UA"/>
        </w:rPr>
        <w:t xml:space="preserve">нням на </w:t>
      </w:r>
      <w:r w:rsidRPr="00DD5B13">
        <w:rPr>
          <w:sz w:val="28"/>
          <w:szCs w:val="28"/>
          <w:bdr w:val="none" w:sz="0" w:space="0" w:color="auto" w:frame="1"/>
          <w:lang w:eastAsia="uk-UA"/>
        </w:rPr>
        <w:t>нього кваліфікованих електронних підписів уповноважених осіб та кваліфікованої електронної печатки відповідного територіального органу ДФС.</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lastRenderedPageBreak/>
        <w:t xml:space="preserve">3. Підписане інкасове доручення (розпорядження) шифрується з дотриманням вимог до форматів криптографічних повідомлень, затверджених в установленому законодавством порядку, </w:t>
      </w:r>
      <w:r w:rsidRPr="00DD5B13">
        <w:rPr>
          <w:sz w:val="28"/>
          <w:szCs w:val="28"/>
        </w:rPr>
        <w:t xml:space="preserve">з використанням особистого ключа </w:t>
      </w:r>
      <w:r w:rsidRPr="00DD5B13">
        <w:rPr>
          <w:spacing w:val="-3"/>
          <w:sz w:val="28"/>
          <w:szCs w:val="28"/>
        </w:rPr>
        <w:t xml:space="preserve">кваліфікованого електронного підпису </w:t>
      </w:r>
      <w:r w:rsidRPr="00DD5B13">
        <w:rPr>
          <w:sz w:val="28"/>
          <w:szCs w:val="28"/>
        </w:rPr>
        <w:t xml:space="preserve">уповноваженої особи територіального органу ДФС (відправника) та відкритого ключа </w:t>
      </w:r>
      <w:r w:rsidRPr="00DD5B13">
        <w:rPr>
          <w:spacing w:val="-3"/>
          <w:sz w:val="28"/>
          <w:szCs w:val="28"/>
        </w:rPr>
        <w:t xml:space="preserve">кваліфікованого </w:t>
      </w:r>
      <w:r w:rsidRPr="00DD5B13">
        <w:rPr>
          <w:sz w:val="28"/>
          <w:szCs w:val="28"/>
        </w:rPr>
        <w:t>електронного підпису уповноваженої особи банку платника (одержувача) з відповідного за призначенням кваліфікованого сертифіката відкритого ключа.</w:t>
      </w:r>
    </w:p>
    <w:p w:rsidR="00F45884" w:rsidRPr="00DD5B13" w:rsidRDefault="00F45884" w:rsidP="00F45884">
      <w:pPr>
        <w:spacing w:line="360" w:lineRule="auto"/>
        <w:ind w:firstLine="567"/>
        <w:jc w:val="both"/>
        <w:textAlignment w:val="baseline"/>
        <w:rPr>
          <w:sz w:val="28"/>
          <w:szCs w:val="28"/>
        </w:rPr>
      </w:pPr>
      <w:r w:rsidRPr="00DD5B13">
        <w:rPr>
          <w:sz w:val="28"/>
          <w:szCs w:val="28"/>
          <w:bdr w:val="none" w:sz="0" w:space="0" w:color="auto" w:frame="1"/>
          <w:lang w:eastAsia="uk-UA"/>
        </w:rPr>
        <w:t xml:space="preserve">Уповноваженими особами </w:t>
      </w:r>
      <w:r w:rsidRPr="00DD5B13">
        <w:rPr>
          <w:sz w:val="28"/>
          <w:szCs w:val="28"/>
        </w:rPr>
        <w:t>банку платника є посадові особи, уповноважені засвідчувати повідомлення про відкриття або закриття рахунків згідно з Порядком подання повідомлень про відкриття/закриття рахунків платників податків у банках та інших фінансових установах до контролюючих органів, затвердженим наказом Міністерства фінансів України від 18 серпня 2015 року № 721, зареєстрованим у Міністерстві юстиції України 04 вересня 2015 року за № 1058/27503.</w:t>
      </w:r>
    </w:p>
    <w:p w:rsidR="00F45884" w:rsidRPr="00227521" w:rsidRDefault="00F45884" w:rsidP="00F45884">
      <w:pPr>
        <w:spacing w:line="360" w:lineRule="auto"/>
        <w:ind w:firstLine="567"/>
        <w:jc w:val="both"/>
        <w:textAlignment w:val="baseline"/>
        <w:rPr>
          <w:sz w:val="16"/>
          <w:szCs w:val="16"/>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4. Зашифроване інкасове доручення (розпорядження) надсилається до банку платника </w:t>
      </w:r>
      <w:r w:rsidR="00CA2818" w:rsidRPr="00DD5B13">
        <w:rPr>
          <w:sz w:val="28"/>
          <w:szCs w:val="28"/>
          <w:bdr w:val="none" w:sz="0" w:space="0" w:color="auto" w:frame="1"/>
          <w:lang w:eastAsia="uk-UA"/>
        </w:rPr>
        <w:t xml:space="preserve">з використанням </w:t>
      </w:r>
      <w:r w:rsidR="00102783" w:rsidRPr="00DD5B13">
        <w:rPr>
          <w:sz w:val="28"/>
          <w:szCs w:val="28"/>
          <w:bdr w:val="none" w:sz="0" w:space="0" w:color="auto" w:frame="1"/>
          <w:lang w:eastAsia="uk-UA"/>
        </w:rPr>
        <w:t>телекомунікаційни</w:t>
      </w:r>
      <w:r w:rsidR="00CA2818" w:rsidRPr="00DD5B13">
        <w:rPr>
          <w:sz w:val="28"/>
          <w:szCs w:val="28"/>
          <w:bdr w:val="none" w:sz="0" w:space="0" w:color="auto" w:frame="1"/>
          <w:lang w:eastAsia="uk-UA"/>
        </w:rPr>
        <w:t>х мереж</w:t>
      </w:r>
      <w:r w:rsidR="00C85A8E" w:rsidRPr="00DD5B13">
        <w:rPr>
          <w:sz w:val="28"/>
          <w:szCs w:val="28"/>
          <w:bdr w:val="none" w:sz="0" w:space="0" w:color="auto" w:frame="1"/>
          <w:lang w:eastAsia="uk-UA"/>
        </w:rPr>
        <w:t>,</w:t>
      </w:r>
      <w:r w:rsidR="00102783" w:rsidRPr="00DD5B13">
        <w:rPr>
          <w:sz w:val="28"/>
          <w:szCs w:val="28"/>
          <w:bdr w:val="none" w:sz="0" w:space="0" w:color="auto" w:frame="1"/>
          <w:lang w:eastAsia="uk-UA"/>
        </w:rPr>
        <w:t xml:space="preserve"> засобів технічного та криптографічного захисту інформації відповідно до вимог законодавства з питань захисту інформації</w:t>
      </w:r>
      <w:r w:rsidRPr="00DD5B13">
        <w:rPr>
          <w:sz w:val="28"/>
          <w:szCs w:val="28"/>
          <w:bdr w:val="none" w:sz="0" w:space="0" w:color="auto" w:frame="1"/>
          <w:lang w:eastAsia="uk-UA"/>
        </w:rPr>
        <w:t>.</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5. Доставка </w:t>
      </w:r>
      <w:r w:rsidR="001326B0" w:rsidRPr="00DD5B13">
        <w:rPr>
          <w:sz w:val="28"/>
          <w:szCs w:val="28"/>
          <w:bdr w:val="none" w:sz="0" w:space="0" w:color="auto" w:frame="1"/>
          <w:lang w:eastAsia="uk-UA"/>
        </w:rPr>
        <w:t xml:space="preserve">до </w:t>
      </w:r>
      <w:r w:rsidRPr="00DD5B13">
        <w:rPr>
          <w:sz w:val="28"/>
          <w:szCs w:val="28"/>
          <w:bdr w:val="none" w:sz="0" w:space="0" w:color="auto" w:frame="1"/>
          <w:lang w:eastAsia="uk-UA"/>
        </w:rPr>
        <w:t xml:space="preserve">банку платника інкасового доручення (розпорядження), визначеного пунктом 1 цього розділу, здійснюється у день його повернення від Казначейства або не пізніше 10-ї години наступного операційного дня, якщо таке доручення (розпорядження) надійшло до ДФС після завершення операційного дня. </w:t>
      </w:r>
    </w:p>
    <w:p w:rsidR="00F45884" w:rsidRPr="00227521" w:rsidRDefault="00F45884" w:rsidP="00F45884">
      <w:pPr>
        <w:spacing w:line="360" w:lineRule="auto"/>
        <w:ind w:firstLine="567"/>
        <w:jc w:val="both"/>
        <w:textAlignment w:val="baseline"/>
        <w:rPr>
          <w:sz w:val="16"/>
          <w:szCs w:val="16"/>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6. Підтвердженням про доставку інкасового доручення (розпорядження) до банку платника є дата та час, зазначені у сформованому банком платника повідомленні про прийняття інкасового доручення (розпорядження) до оброблення за формою, визначеною у додатку 1 до цього Порядку.</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lastRenderedPageBreak/>
        <w:t xml:space="preserve">У </w:t>
      </w:r>
      <w:r w:rsidRPr="007E4792">
        <w:rPr>
          <w:sz w:val="28"/>
          <w:szCs w:val="28"/>
          <w:bdr w:val="none" w:sz="0" w:space="0" w:color="auto" w:frame="1"/>
          <w:lang w:eastAsia="uk-UA"/>
        </w:rPr>
        <w:t>повідомленні,</w:t>
      </w:r>
      <w:r w:rsidRPr="00DD5B13">
        <w:rPr>
          <w:sz w:val="28"/>
          <w:szCs w:val="28"/>
          <w:bdr w:val="none" w:sz="0" w:space="0" w:color="auto" w:frame="1"/>
          <w:lang w:eastAsia="uk-UA"/>
        </w:rPr>
        <w:t xml:space="preserve"> що формується за результатами перевірки, зазначеної у пункті 7 цього розділу, </w:t>
      </w:r>
      <w:r w:rsidR="007E4792">
        <w:rPr>
          <w:sz w:val="28"/>
          <w:szCs w:val="28"/>
          <w:bdr w:val="none" w:sz="0" w:space="0" w:color="auto" w:frame="1"/>
          <w:lang w:eastAsia="uk-UA"/>
        </w:rPr>
        <w:t>зазнача</w:t>
      </w:r>
      <w:r w:rsidRPr="007E4792">
        <w:rPr>
          <w:sz w:val="28"/>
          <w:szCs w:val="28"/>
          <w:bdr w:val="none" w:sz="0" w:space="0" w:color="auto" w:frame="1"/>
          <w:lang w:eastAsia="uk-UA"/>
        </w:rPr>
        <w:t>ється</w:t>
      </w:r>
      <w:r w:rsidRPr="00DD5B13">
        <w:rPr>
          <w:sz w:val="28"/>
          <w:szCs w:val="28"/>
          <w:bdr w:val="none" w:sz="0" w:space="0" w:color="auto" w:frame="1"/>
          <w:lang w:eastAsia="uk-UA"/>
        </w:rPr>
        <w:t xml:space="preserve"> про результати такої перевірки. У разі негативних результатів перевірки повідомляється про неприйняття документа до оброблення із зазначенням причини, в іншому випадку – про прийняття документа до оброблення.</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7. Банк платника після отримання інкасового доручення (розпорядження) проводить його розшифрування, перевірку кваліфікованих електронних підписів уповноважених осіб територіального органу ДФС та перевірку відповідності електронного документа затвердженому формату (стандарту).</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Перевірка відповідності заповнення реквізитів інкасового доручення (розпорядження) вимогам додатка 7 до Інструкції № 22 здійснюється банком платника згідно з пунктом 11.5 </w:t>
      </w:r>
      <w:r w:rsidRPr="001D4614">
        <w:rPr>
          <w:sz w:val="28"/>
          <w:szCs w:val="28"/>
          <w:bdr w:val="none" w:sz="0" w:space="0" w:color="auto" w:frame="1"/>
          <w:lang w:eastAsia="uk-UA"/>
        </w:rPr>
        <w:t>розділу 11 Інструкції</w:t>
      </w:r>
      <w:r w:rsidRPr="00DD5B13">
        <w:rPr>
          <w:sz w:val="28"/>
          <w:szCs w:val="28"/>
          <w:bdr w:val="none" w:sz="0" w:space="0" w:color="auto" w:frame="1"/>
          <w:lang w:eastAsia="uk-UA"/>
        </w:rPr>
        <w:t xml:space="preserve"> № 22.</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8. Якщо територіальному органу ДФС протягом операційного дня після відправ</w:t>
      </w:r>
      <w:r w:rsidR="00933FCA" w:rsidRPr="007E4792">
        <w:rPr>
          <w:sz w:val="28"/>
          <w:szCs w:val="28"/>
          <w:bdr w:val="none" w:sz="0" w:space="0" w:color="auto" w:frame="1"/>
          <w:lang w:eastAsia="uk-UA"/>
        </w:rPr>
        <w:t>лення</w:t>
      </w:r>
      <w:r w:rsidRPr="007E4792">
        <w:rPr>
          <w:sz w:val="28"/>
          <w:szCs w:val="28"/>
          <w:bdr w:val="none" w:sz="0" w:space="0" w:color="auto" w:frame="1"/>
          <w:lang w:eastAsia="uk-UA"/>
        </w:rPr>
        <w:t xml:space="preserve"> </w:t>
      </w:r>
      <w:r w:rsidRPr="00DD5B13">
        <w:rPr>
          <w:sz w:val="28"/>
          <w:szCs w:val="28"/>
          <w:bdr w:val="none" w:sz="0" w:space="0" w:color="auto" w:frame="1"/>
          <w:lang w:eastAsia="uk-UA"/>
        </w:rPr>
        <w:t>інкасового доручення (розпорядження) не надійшло повідомлення з результатами перевірки інкасового доручення (розпорядження), інкасове доручення (розпорядження) вважається недоставленим до банку платника.</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У такому </w:t>
      </w:r>
      <w:r w:rsidR="00933FCA" w:rsidRPr="00DE2FCE">
        <w:rPr>
          <w:sz w:val="28"/>
          <w:szCs w:val="28"/>
          <w:bdr w:val="none" w:sz="0" w:space="0" w:color="auto" w:frame="1"/>
          <w:lang w:eastAsia="uk-UA"/>
        </w:rPr>
        <w:t>разі</w:t>
      </w:r>
      <w:r w:rsidRPr="00DE2FCE">
        <w:rPr>
          <w:sz w:val="28"/>
          <w:szCs w:val="28"/>
          <w:bdr w:val="none" w:sz="0" w:space="0" w:color="auto" w:frame="1"/>
          <w:lang w:eastAsia="uk-UA"/>
        </w:rPr>
        <w:t xml:space="preserve"> т</w:t>
      </w:r>
      <w:r w:rsidRPr="00DD5B13">
        <w:rPr>
          <w:sz w:val="28"/>
          <w:szCs w:val="28"/>
          <w:bdr w:val="none" w:sz="0" w:space="0" w:color="auto" w:frame="1"/>
          <w:lang w:eastAsia="uk-UA"/>
        </w:rPr>
        <w:t>ериторіальний орган ДФС повторно формує та направляє банку платника таке інкасове доручення (розпорядження).</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9. Частково виконане чи невиконане інкасове доручення (розпорядження), отримане банком платника в електронному вигляді, повертається територіальному органу ДФС не пізніше наступного операційного дня з дня його отримання до виконання з відповідною відміткою про стан виконання (у тому числі з виправленими даними в номері рахунку платника, назві та коді банку платника в разі їх зміни з ініціативи банку платника відповідно до пункту 11.10 розділу 11 Інструкції № 22). </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lastRenderedPageBreak/>
        <w:t xml:space="preserve">10. На частково виконане чи невиконане інкасове доручення (розпорядження) накладається кваліфікований електронний підпис уповноваженої особи та кваліфікована електронна печатка банку платника, здійснюється шифрування з дотриманням вимог до форматів криптографічних повідомлень, затверджених в установленому законодавством порядку, </w:t>
      </w:r>
      <w:r w:rsidRPr="00DD5B13">
        <w:rPr>
          <w:sz w:val="28"/>
          <w:szCs w:val="28"/>
        </w:rPr>
        <w:t xml:space="preserve">з використанням особистого ключа </w:t>
      </w:r>
      <w:r w:rsidRPr="00DD5B13">
        <w:rPr>
          <w:spacing w:val="-3"/>
          <w:sz w:val="28"/>
          <w:szCs w:val="28"/>
        </w:rPr>
        <w:t xml:space="preserve">кваліфікованого електронного підпису </w:t>
      </w:r>
      <w:r w:rsidRPr="00DD5B13">
        <w:rPr>
          <w:sz w:val="28"/>
          <w:szCs w:val="28"/>
        </w:rPr>
        <w:t xml:space="preserve">уповноваженої особи банку платника (відправника) та відкритого ключа </w:t>
      </w:r>
      <w:r w:rsidRPr="00DD5B13">
        <w:rPr>
          <w:spacing w:val="-3"/>
          <w:sz w:val="28"/>
          <w:szCs w:val="28"/>
        </w:rPr>
        <w:t xml:space="preserve">кваліфікованого </w:t>
      </w:r>
      <w:r w:rsidRPr="00DD5B13">
        <w:rPr>
          <w:sz w:val="28"/>
          <w:szCs w:val="28"/>
        </w:rPr>
        <w:t>електронного підпису уповноваженої особи територіального органу ДФС (одержувача) з відповідного за призначенням кваліфікованого сертифіката відкритого ключа.</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Підписане та зашифроване інкасове доручення (розпорядження) надсилається до територіального органу ДФС </w:t>
      </w:r>
      <w:r w:rsidR="00C85A8E" w:rsidRPr="00DD5B13">
        <w:rPr>
          <w:sz w:val="28"/>
          <w:szCs w:val="28"/>
          <w:bdr w:val="none" w:sz="0" w:space="0" w:color="auto" w:frame="1"/>
          <w:lang w:eastAsia="uk-UA"/>
        </w:rPr>
        <w:t xml:space="preserve">з використанням </w:t>
      </w:r>
      <w:r w:rsidR="00102783" w:rsidRPr="00DD5B13">
        <w:rPr>
          <w:sz w:val="28"/>
          <w:szCs w:val="28"/>
          <w:bdr w:val="none" w:sz="0" w:space="0" w:color="auto" w:frame="1"/>
          <w:lang w:eastAsia="uk-UA"/>
        </w:rPr>
        <w:t>телекомунікаційни</w:t>
      </w:r>
      <w:r w:rsidR="00C85A8E" w:rsidRPr="00DD5B13">
        <w:rPr>
          <w:sz w:val="28"/>
          <w:szCs w:val="28"/>
          <w:bdr w:val="none" w:sz="0" w:space="0" w:color="auto" w:frame="1"/>
          <w:lang w:eastAsia="uk-UA"/>
        </w:rPr>
        <w:t>х</w:t>
      </w:r>
      <w:r w:rsidR="00102783" w:rsidRPr="00DD5B13">
        <w:rPr>
          <w:sz w:val="28"/>
          <w:szCs w:val="28"/>
          <w:bdr w:val="none" w:sz="0" w:space="0" w:color="auto" w:frame="1"/>
          <w:lang w:eastAsia="uk-UA"/>
        </w:rPr>
        <w:t xml:space="preserve"> </w:t>
      </w:r>
      <w:r w:rsidR="00C85A8E" w:rsidRPr="00DD5B13">
        <w:rPr>
          <w:sz w:val="28"/>
          <w:szCs w:val="28"/>
          <w:bdr w:val="none" w:sz="0" w:space="0" w:color="auto" w:frame="1"/>
          <w:lang w:eastAsia="uk-UA"/>
        </w:rPr>
        <w:t>мереж,</w:t>
      </w:r>
      <w:r w:rsidR="00102783" w:rsidRPr="00DD5B13">
        <w:rPr>
          <w:sz w:val="28"/>
          <w:szCs w:val="28"/>
          <w:bdr w:val="none" w:sz="0" w:space="0" w:color="auto" w:frame="1"/>
          <w:lang w:eastAsia="uk-UA"/>
        </w:rPr>
        <w:t xml:space="preserve"> засобів технічного та криптографічного захисту інформації відповідно до вимог законодавства з питань захисту інформації</w:t>
      </w:r>
      <w:r w:rsidRPr="00DD5B13">
        <w:rPr>
          <w:sz w:val="28"/>
          <w:szCs w:val="28"/>
          <w:bdr w:val="none" w:sz="0" w:space="0" w:color="auto" w:frame="1"/>
          <w:lang w:eastAsia="uk-UA"/>
        </w:rPr>
        <w:t>.</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11. Якщо банку платника протягом двох годин з моменту відправ</w:t>
      </w:r>
      <w:r w:rsidR="00933FCA" w:rsidRPr="007E4792">
        <w:rPr>
          <w:sz w:val="28"/>
          <w:szCs w:val="28"/>
          <w:bdr w:val="none" w:sz="0" w:space="0" w:color="auto" w:frame="1"/>
          <w:lang w:eastAsia="uk-UA"/>
        </w:rPr>
        <w:t>лення</w:t>
      </w:r>
      <w:r w:rsidRPr="007E4792">
        <w:rPr>
          <w:sz w:val="28"/>
          <w:szCs w:val="28"/>
          <w:bdr w:val="none" w:sz="0" w:space="0" w:color="auto" w:frame="1"/>
          <w:lang w:eastAsia="uk-UA"/>
        </w:rPr>
        <w:t xml:space="preserve"> </w:t>
      </w:r>
      <w:r w:rsidRPr="00DD5B13">
        <w:rPr>
          <w:sz w:val="28"/>
          <w:szCs w:val="28"/>
          <w:bdr w:val="none" w:sz="0" w:space="0" w:color="auto" w:frame="1"/>
          <w:lang w:eastAsia="uk-UA"/>
        </w:rPr>
        <w:t xml:space="preserve">територіальному органу ДФС інкасового доручення (розпорядження), частково виконаного або не виконаного, не надійшла квитанція, сформована у форматі (стандарті) у встановленому законодавством порядку, з результатами його перевірки, таке інкасове доручення (розпорядження) вважається недоставленим. </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Інкасове доручення (розпорядження), визначене пунктом 9 цього розділу, направляється банком платника до територіального органу ДФС повторно.</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12. Територіальний орган ДФС згідно з пунктом 11.13 глави 11 Інструкції № 22 може відкликати інкасове доручення (розпорядження) шляхом направлення банку платника листа про відкликання інкасового доручення (розпорядження) в електронній формі.</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 xml:space="preserve">13. Лист про відкликання інкасового доручення (розпорядження) в електронній формі створюється за формою, визначеною у додатку 2 до цього </w:t>
      </w:r>
      <w:r w:rsidRPr="00DD5B13">
        <w:rPr>
          <w:sz w:val="28"/>
          <w:szCs w:val="28"/>
          <w:bdr w:val="none" w:sz="0" w:space="0" w:color="auto" w:frame="1"/>
          <w:lang w:eastAsia="uk-UA"/>
        </w:rPr>
        <w:lastRenderedPageBreak/>
        <w:t xml:space="preserve">Порядку, у форматі за стандартом на основі специфікації </w:t>
      </w:r>
      <w:proofErr w:type="spellStart"/>
      <w:r w:rsidRPr="00DD5B13">
        <w:rPr>
          <w:sz w:val="28"/>
          <w:szCs w:val="28"/>
        </w:rPr>
        <w:t>eXtensible</w:t>
      </w:r>
      <w:proofErr w:type="spellEnd"/>
      <w:r w:rsidRPr="00DD5B13">
        <w:rPr>
          <w:sz w:val="28"/>
          <w:szCs w:val="28"/>
        </w:rPr>
        <w:t xml:space="preserve"> </w:t>
      </w:r>
      <w:proofErr w:type="spellStart"/>
      <w:r w:rsidRPr="00DD5B13">
        <w:rPr>
          <w:sz w:val="28"/>
          <w:szCs w:val="28"/>
        </w:rPr>
        <w:t>Markup</w:t>
      </w:r>
      <w:proofErr w:type="spellEnd"/>
      <w:r w:rsidRPr="00DD5B13">
        <w:rPr>
          <w:sz w:val="28"/>
          <w:szCs w:val="28"/>
        </w:rPr>
        <w:t xml:space="preserve"> </w:t>
      </w:r>
      <w:proofErr w:type="spellStart"/>
      <w:r w:rsidRPr="00DD5B13">
        <w:rPr>
          <w:sz w:val="28"/>
          <w:szCs w:val="28"/>
        </w:rPr>
        <w:t>Language</w:t>
      </w:r>
      <w:proofErr w:type="spellEnd"/>
      <w:r w:rsidRPr="00DD5B13">
        <w:rPr>
          <w:sz w:val="28"/>
          <w:szCs w:val="28"/>
        </w:rPr>
        <w:t xml:space="preserve"> (XML)</w:t>
      </w:r>
      <w:r w:rsidRPr="00DD5B13">
        <w:rPr>
          <w:sz w:val="28"/>
          <w:szCs w:val="28"/>
          <w:bdr w:val="none" w:sz="0" w:space="0" w:color="auto" w:frame="1"/>
          <w:lang w:eastAsia="uk-UA"/>
        </w:rPr>
        <w:t>.</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Створення листа про відкликання інкасового доручення (розпорядження) в електронній формі завершується накладенням на нього кваліфікованих електронних підписів уповноважених посадових осіб та кваліфікованої електронної печатки відповідного територіального органу ДФС.</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Лист про відкликання інкасового доручення (розпорядження)</w:t>
      </w:r>
      <w:r w:rsidR="0006181E" w:rsidRPr="00DD5B13">
        <w:rPr>
          <w:sz w:val="28"/>
          <w:szCs w:val="28"/>
          <w:bdr w:val="none" w:sz="0" w:space="0" w:color="auto" w:frame="1"/>
          <w:lang w:eastAsia="uk-UA"/>
        </w:rPr>
        <w:t xml:space="preserve"> в електронній формі</w:t>
      </w:r>
      <w:r w:rsidRPr="00DD5B13">
        <w:rPr>
          <w:sz w:val="28"/>
          <w:szCs w:val="28"/>
          <w:bdr w:val="none" w:sz="0" w:space="0" w:color="auto" w:frame="1"/>
          <w:lang w:eastAsia="uk-UA"/>
        </w:rPr>
        <w:t xml:space="preserve">, підписаний та зашифрований з дотриманням вимог до форматів криптографічних повідомлень, затверджених в установленому законодавством порядку, надсилається до банку платника </w:t>
      </w:r>
      <w:r w:rsidR="0028321A" w:rsidRPr="00DD5B13">
        <w:rPr>
          <w:sz w:val="28"/>
          <w:szCs w:val="28"/>
          <w:bdr w:val="none" w:sz="0" w:space="0" w:color="auto" w:frame="1"/>
          <w:lang w:eastAsia="uk-UA"/>
        </w:rPr>
        <w:t xml:space="preserve">з використанням </w:t>
      </w:r>
      <w:r w:rsidR="00102783" w:rsidRPr="00DD5B13">
        <w:rPr>
          <w:sz w:val="28"/>
          <w:szCs w:val="28"/>
          <w:bdr w:val="none" w:sz="0" w:space="0" w:color="auto" w:frame="1"/>
          <w:lang w:eastAsia="uk-UA"/>
        </w:rPr>
        <w:t>телекомунікаційн</w:t>
      </w:r>
      <w:r w:rsidR="0028321A" w:rsidRPr="00DD5B13">
        <w:rPr>
          <w:sz w:val="28"/>
          <w:szCs w:val="28"/>
          <w:bdr w:val="none" w:sz="0" w:space="0" w:color="auto" w:frame="1"/>
          <w:lang w:eastAsia="uk-UA"/>
        </w:rPr>
        <w:t>их</w:t>
      </w:r>
      <w:r w:rsidR="00102783" w:rsidRPr="00DD5B13">
        <w:rPr>
          <w:sz w:val="28"/>
          <w:szCs w:val="28"/>
          <w:bdr w:val="none" w:sz="0" w:space="0" w:color="auto" w:frame="1"/>
          <w:lang w:eastAsia="uk-UA"/>
        </w:rPr>
        <w:t xml:space="preserve"> </w:t>
      </w:r>
      <w:r w:rsidR="0028321A" w:rsidRPr="00DD5B13">
        <w:rPr>
          <w:sz w:val="28"/>
          <w:szCs w:val="28"/>
          <w:bdr w:val="none" w:sz="0" w:space="0" w:color="auto" w:frame="1"/>
          <w:lang w:eastAsia="uk-UA"/>
        </w:rPr>
        <w:t>мереж</w:t>
      </w:r>
      <w:r w:rsidR="00C85A8E" w:rsidRPr="00DD5B13">
        <w:rPr>
          <w:sz w:val="28"/>
          <w:szCs w:val="28"/>
          <w:bdr w:val="none" w:sz="0" w:space="0" w:color="auto" w:frame="1"/>
          <w:lang w:eastAsia="uk-UA"/>
        </w:rPr>
        <w:t>,</w:t>
      </w:r>
      <w:r w:rsidR="0028321A" w:rsidRPr="00DD5B13">
        <w:rPr>
          <w:sz w:val="28"/>
          <w:szCs w:val="28"/>
          <w:bdr w:val="none" w:sz="0" w:space="0" w:color="auto" w:frame="1"/>
          <w:lang w:eastAsia="uk-UA"/>
        </w:rPr>
        <w:t xml:space="preserve"> </w:t>
      </w:r>
      <w:r w:rsidR="00102783" w:rsidRPr="00DD5B13">
        <w:rPr>
          <w:sz w:val="28"/>
          <w:szCs w:val="28"/>
          <w:bdr w:val="none" w:sz="0" w:space="0" w:color="auto" w:frame="1"/>
          <w:lang w:eastAsia="uk-UA"/>
        </w:rPr>
        <w:t>засобів технічного та криптографічного захисту інформації відповідно до вимог законодавства з питань захисту інформації</w:t>
      </w:r>
      <w:r w:rsidRPr="00DD5B13">
        <w:rPr>
          <w:sz w:val="28"/>
          <w:szCs w:val="28"/>
          <w:bdr w:val="none" w:sz="0" w:space="0" w:color="auto" w:frame="1"/>
          <w:lang w:eastAsia="uk-UA"/>
        </w:rPr>
        <w:t>.</w:t>
      </w:r>
    </w:p>
    <w:p w:rsidR="00F45884" w:rsidRPr="00227521" w:rsidRDefault="00F45884" w:rsidP="00F45884">
      <w:pPr>
        <w:spacing w:line="360" w:lineRule="auto"/>
        <w:ind w:firstLine="567"/>
        <w:jc w:val="both"/>
        <w:textAlignment w:val="baseline"/>
        <w:rPr>
          <w:sz w:val="16"/>
          <w:szCs w:val="16"/>
          <w:bdr w:val="none" w:sz="0" w:space="0" w:color="auto" w:frame="1"/>
          <w:lang w:eastAsia="uk-UA"/>
        </w:rPr>
      </w:pPr>
      <w:r w:rsidRPr="00DD5B13">
        <w:rPr>
          <w:sz w:val="28"/>
          <w:szCs w:val="28"/>
          <w:bdr w:val="none" w:sz="0" w:space="0" w:color="auto" w:frame="1"/>
          <w:lang w:eastAsia="uk-UA"/>
        </w:rPr>
        <w:t xml:space="preserve"> </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r w:rsidRPr="00DD5B13">
        <w:rPr>
          <w:sz w:val="28"/>
          <w:szCs w:val="28"/>
          <w:bdr w:val="none" w:sz="0" w:space="0" w:color="auto" w:frame="1"/>
          <w:lang w:eastAsia="uk-UA"/>
        </w:rPr>
        <w:t>14. Повідомлення про перевірку банком платника отриманого листа про відкликання інкасового доручення (розпорядження)</w:t>
      </w:r>
      <w:r w:rsidR="0006181E" w:rsidRPr="00DD5B13">
        <w:rPr>
          <w:sz w:val="28"/>
          <w:szCs w:val="28"/>
          <w:bdr w:val="none" w:sz="0" w:space="0" w:color="auto" w:frame="1"/>
          <w:lang w:eastAsia="uk-UA"/>
        </w:rPr>
        <w:t xml:space="preserve"> в електронній формі</w:t>
      </w:r>
      <w:r w:rsidRPr="00DD5B13">
        <w:rPr>
          <w:sz w:val="28"/>
          <w:szCs w:val="28"/>
          <w:bdr w:val="none" w:sz="0" w:space="0" w:color="auto" w:frame="1"/>
          <w:lang w:eastAsia="uk-UA"/>
        </w:rPr>
        <w:t xml:space="preserve"> та направлення територіальному органу ДФС результатів такої перевірки здійснюється у порядку, визначеному пунктами 6 – 8 цього розділу. </w:t>
      </w:r>
    </w:p>
    <w:p w:rsidR="00F45884" w:rsidRPr="00DD5B13" w:rsidRDefault="00F45884" w:rsidP="00F45884">
      <w:pPr>
        <w:spacing w:line="360" w:lineRule="auto"/>
        <w:ind w:firstLine="567"/>
        <w:jc w:val="both"/>
        <w:textAlignment w:val="baseline"/>
        <w:rPr>
          <w:sz w:val="28"/>
          <w:szCs w:val="28"/>
          <w:bdr w:val="none" w:sz="0" w:space="0" w:color="auto" w:frame="1"/>
          <w:lang w:eastAsia="uk-UA"/>
        </w:rPr>
      </w:pPr>
    </w:p>
    <w:p w:rsidR="00F45884" w:rsidRPr="00DD5B13" w:rsidRDefault="00F45884" w:rsidP="00F45884">
      <w:pPr>
        <w:spacing w:line="360" w:lineRule="auto"/>
        <w:ind w:firstLine="709"/>
        <w:jc w:val="center"/>
        <w:outlineLvl w:val="0"/>
        <w:rPr>
          <w:b/>
          <w:sz w:val="28"/>
          <w:szCs w:val="28"/>
        </w:rPr>
      </w:pPr>
      <w:r w:rsidRPr="00DD5B13">
        <w:rPr>
          <w:b/>
          <w:sz w:val="28"/>
          <w:szCs w:val="28"/>
          <w:lang w:val="en-US"/>
        </w:rPr>
        <w:t>V</w:t>
      </w:r>
      <w:r w:rsidRPr="00DD5B13">
        <w:rPr>
          <w:b/>
          <w:sz w:val="28"/>
          <w:szCs w:val="28"/>
        </w:rPr>
        <w:t>. Захист інформації під час інформаційної взаємодії</w:t>
      </w:r>
    </w:p>
    <w:p w:rsidR="00F45884" w:rsidRPr="00227521" w:rsidRDefault="00F45884" w:rsidP="00F45884">
      <w:pPr>
        <w:spacing w:line="360" w:lineRule="auto"/>
        <w:ind w:firstLine="709"/>
        <w:jc w:val="center"/>
        <w:rPr>
          <w:b/>
          <w:sz w:val="16"/>
          <w:szCs w:val="16"/>
        </w:rPr>
      </w:pPr>
    </w:p>
    <w:p w:rsidR="00F45884" w:rsidRPr="00DD5B13" w:rsidRDefault="00F45884" w:rsidP="00F45884">
      <w:pPr>
        <w:spacing w:line="360" w:lineRule="auto"/>
        <w:ind w:firstLine="567"/>
        <w:jc w:val="both"/>
        <w:rPr>
          <w:sz w:val="28"/>
          <w:szCs w:val="28"/>
        </w:rPr>
      </w:pPr>
      <w:r w:rsidRPr="00DD5B13">
        <w:rPr>
          <w:sz w:val="28"/>
          <w:szCs w:val="28"/>
        </w:rPr>
        <w:t>1. Інформація, що передається відповідно до цього Порядку, належить до інформації з обмеженим доступом.</w:t>
      </w:r>
    </w:p>
    <w:p w:rsidR="00F45884" w:rsidRPr="00227521" w:rsidRDefault="00F45884" w:rsidP="00F45884">
      <w:pPr>
        <w:spacing w:line="360" w:lineRule="auto"/>
        <w:ind w:firstLine="567"/>
        <w:jc w:val="both"/>
        <w:rPr>
          <w:sz w:val="16"/>
          <w:szCs w:val="16"/>
        </w:rPr>
      </w:pPr>
    </w:p>
    <w:p w:rsidR="00F45884" w:rsidRPr="00DD5B13" w:rsidRDefault="00F45884" w:rsidP="00227521">
      <w:pPr>
        <w:spacing w:line="360" w:lineRule="auto"/>
        <w:ind w:firstLine="567"/>
        <w:jc w:val="both"/>
        <w:rPr>
          <w:sz w:val="28"/>
          <w:szCs w:val="28"/>
        </w:rPr>
      </w:pPr>
      <w:r w:rsidRPr="00DD5B13">
        <w:rPr>
          <w:sz w:val="28"/>
          <w:szCs w:val="28"/>
        </w:rPr>
        <w:t>2. Під час інформаційної взаємодії згідно з цим Порядком органи ДФС та банки впроваджують організаційно-технічні заходи, які відповідно до законодавства забезпечують захист та порядок доступу до інформації, що передається.</w:t>
      </w:r>
    </w:p>
    <w:p w:rsidR="00F45884" w:rsidRPr="00227521" w:rsidRDefault="00F45884" w:rsidP="00F45884">
      <w:pPr>
        <w:spacing w:line="360" w:lineRule="auto"/>
        <w:ind w:firstLine="567"/>
        <w:jc w:val="both"/>
        <w:rPr>
          <w:sz w:val="16"/>
          <w:szCs w:val="16"/>
        </w:rPr>
      </w:pPr>
    </w:p>
    <w:p w:rsidR="00F45884" w:rsidRPr="00DD5B13" w:rsidRDefault="00F45884" w:rsidP="00F45884">
      <w:pPr>
        <w:spacing w:line="360" w:lineRule="auto"/>
        <w:ind w:firstLine="567"/>
        <w:jc w:val="both"/>
        <w:rPr>
          <w:sz w:val="28"/>
          <w:szCs w:val="28"/>
        </w:rPr>
      </w:pPr>
      <w:r w:rsidRPr="001D4614">
        <w:rPr>
          <w:sz w:val="28"/>
          <w:szCs w:val="28"/>
        </w:rPr>
        <w:t>3. Для захисту інформації</w:t>
      </w:r>
      <w:r w:rsidRPr="00DD5B13">
        <w:rPr>
          <w:sz w:val="28"/>
          <w:szCs w:val="28"/>
        </w:rPr>
        <w:t xml:space="preserve"> під час її передання </w:t>
      </w:r>
      <w:r w:rsidR="00037CA6" w:rsidRPr="00DD5B13">
        <w:rPr>
          <w:sz w:val="28"/>
          <w:szCs w:val="28"/>
        </w:rPr>
        <w:t xml:space="preserve">з використанням </w:t>
      </w:r>
      <w:r w:rsidRPr="00227521">
        <w:rPr>
          <w:sz w:val="28"/>
          <w:szCs w:val="28"/>
        </w:rPr>
        <w:t>телекомунікаційн</w:t>
      </w:r>
      <w:r w:rsidR="00102783" w:rsidRPr="00227521">
        <w:rPr>
          <w:sz w:val="28"/>
          <w:szCs w:val="28"/>
        </w:rPr>
        <w:t>и</w:t>
      </w:r>
      <w:r w:rsidR="00037CA6" w:rsidRPr="00227521">
        <w:rPr>
          <w:sz w:val="28"/>
          <w:szCs w:val="28"/>
        </w:rPr>
        <w:t>х</w:t>
      </w:r>
      <w:r w:rsidR="00102783" w:rsidRPr="00DD5B13">
        <w:rPr>
          <w:sz w:val="28"/>
          <w:szCs w:val="28"/>
          <w:bdr w:val="none" w:sz="0" w:space="0" w:color="auto" w:frame="1"/>
          <w:lang w:eastAsia="uk-UA"/>
        </w:rPr>
        <w:t xml:space="preserve"> </w:t>
      </w:r>
      <w:r w:rsidR="00037CA6" w:rsidRPr="00DD5B13">
        <w:rPr>
          <w:sz w:val="28"/>
          <w:szCs w:val="28"/>
          <w:bdr w:val="none" w:sz="0" w:space="0" w:color="auto" w:frame="1"/>
          <w:lang w:eastAsia="uk-UA"/>
        </w:rPr>
        <w:t>мереж</w:t>
      </w:r>
      <w:r w:rsidRPr="00DD5B13">
        <w:rPr>
          <w:sz w:val="28"/>
          <w:szCs w:val="28"/>
        </w:rPr>
        <w:t xml:space="preserve"> застосовуються засоби криптографічного захисту </w:t>
      </w:r>
      <w:r w:rsidRPr="00DD5B13">
        <w:rPr>
          <w:sz w:val="28"/>
          <w:szCs w:val="28"/>
        </w:rPr>
        <w:lastRenderedPageBreak/>
        <w:t>інформації,</w:t>
      </w:r>
      <w:r w:rsidRPr="00DD5B13">
        <w:t xml:space="preserve"> </w:t>
      </w:r>
      <w:r w:rsidRPr="00DD5B13">
        <w:rPr>
          <w:sz w:val="28"/>
          <w:szCs w:val="28"/>
        </w:rPr>
        <w:t>що мають чинний позитивний експертний висновок (свідоцтво на допуск до експлуатації) за результатами державної експертизи у сфері криптографічного захисту інформації.</w:t>
      </w:r>
    </w:p>
    <w:p w:rsidR="00F45884" w:rsidRPr="00227521" w:rsidRDefault="00F45884" w:rsidP="00F45884">
      <w:pPr>
        <w:spacing w:line="360" w:lineRule="auto"/>
        <w:ind w:firstLine="567"/>
        <w:jc w:val="both"/>
        <w:rPr>
          <w:sz w:val="16"/>
          <w:szCs w:val="16"/>
        </w:rPr>
      </w:pPr>
    </w:p>
    <w:p w:rsidR="00F45884" w:rsidRPr="00DD5B13" w:rsidRDefault="00F45884" w:rsidP="00F45884">
      <w:pPr>
        <w:spacing w:line="360" w:lineRule="auto"/>
        <w:ind w:firstLine="567"/>
        <w:jc w:val="both"/>
        <w:rPr>
          <w:sz w:val="28"/>
          <w:szCs w:val="28"/>
        </w:rPr>
      </w:pPr>
      <w:r w:rsidRPr="00DD5B13">
        <w:rPr>
          <w:sz w:val="28"/>
          <w:szCs w:val="28"/>
        </w:rPr>
        <w:t>4. Органи ДФС та банки забезпечують збереження, захист та встановлений порядок доступу до отриманої інформації, а також повідомляють один одного про виявлені факти несанкціонованих дій щодо інформації в системі відповідно до законодавства.</w:t>
      </w:r>
    </w:p>
    <w:p w:rsidR="00F45884" w:rsidRPr="00227521" w:rsidRDefault="00F45884" w:rsidP="00F45884">
      <w:pPr>
        <w:spacing w:line="360" w:lineRule="auto"/>
        <w:ind w:firstLine="567"/>
        <w:jc w:val="both"/>
        <w:rPr>
          <w:sz w:val="16"/>
          <w:szCs w:val="16"/>
        </w:rPr>
      </w:pPr>
    </w:p>
    <w:p w:rsidR="00F45884" w:rsidRPr="00DD5B13" w:rsidRDefault="00D7212B" w:rsidP="00F45884">
      <w:pPr>
        <w:spacing w:line="360" w:lineRule="auto"/>
        <w:ind w:firstLine="567"/>
        <w:jc w:val="both"/>
        <w:textAlignment w:val="baseline"/>
        <w:rPr>
          <w:sz w:val="28"/>
          <w:szCs w:val="28"/>
        </w:rPr>
      </w:pPr>
      <w:r w:rsidRPr="00DD5B13">
        <w:rPr>
          <w:sz w:val="28"/>
          <w:szCs w:val="28"/>
        </w:rPr>
        <w:t>5</w:t>
      </w:r>
      <w:r w:rsidR="00F45884" w:rsidRPr="00DD5B13">
        <w:rPr>
          <w:sz w:val="28"/>
          <w:szCs w:val="28"/>
        </w:rPr>
        <w:t>. Інформація, що передається згідно з цим Порядком, обробляється з урахуванням вимог законодавства про захист персональних даних та використовується органами ДФС та банками з метою виконання покладених відповідно до законодавства на них обов’язків і не може бути передана третій стороні, якщо інше не передбачено законом.</w:t>
      </w:r>
    </w:p>
    <w:p w:rsidR="00F45884" w:rsidRDefault="00F45884" w:rsidP="00F45884">
      <w:pPr>
        <w:spacing w:line="360" w:lineRule="auto"/>
        <w:jc w:val="both"/>
        <w:rPr>
          <w:sz w:val="28"/>
          <w:szCs w:val="28"/>
        </w:rPr>
      </w:pPr>
    </w:p>
    <w:p w:rsidR="007908B0" w:rsidRPr="00DD5B13" w:rsidRDefault="007908B0" w:rsidP="00F45884">
      <w:pPr>
        <w:spacing w:line="360" w:lineRule="auto"/>
        <w:jc w:val="both"/>
        <w:rPr>
          <w:sz w:val="28"/>
          <w:szCs w:val="28"/>
        </w:rPr>
      </w:pPr>
    </w:p>
    <w:tbl>
      <w:tblPr>
        <w:tblW w:w="9753" w:type="dxa"/>
        <w:tblLook w:val="04A0" w:firstRow="1" w:lastRow="0" w:firstColumn="1" w:lastColumn="0" w:noHBand="0" w:noVBand="1"/>
      </w:tblPr>
      <w:tblGrid>
        <w:gridCol w:w="4361"/>
        <w:gridCol w:w="850"/>
        <w:gridCol w:w="4542"/>
      </w:tblGrid>
      <w:tr w:rsidR="00DD5B13" w:rsidRPr="00DD5B13" w:rsidTr="00004AAF">
        <w:tc>
          <w:tcPr>
            <w:tcW w:w="4361" w:type="dxa"/>
            <w:shd w:val="clear" w:color="auto" w:fill="auto"/>
          </w:tcPr>
          <w:p w:rsidR="00F45884" w:rsidRPr="00DD5B13" w:rsidRDefault="00F45884" w:rsidP="00004AAF">
            <w:pPr>
              <w:rPr>
                <w:b/>
                <w:sz w:val="28"/>
                <w:szCs w:val="28"/>
              </w:rPr>
            </w:pPr>
            <w:r w:rsidRPr="00DD5B13">
              <w:rPr>
                <w:b/>
                <w:sz w:val="28"/>
                <w:szCs w:val="28"/>
              </w:rPr>
              <w:t xml:space="preserve">Директор Департаменту моніторингу баз даних та верифікації виплат </w:t>
            </w:r>
          </w:p>
        </w:tc>
        <w:tc>
          <w:tcPr>
            <w:tcW w:w="850" w:type="dxa"/>
            <w:shd w:val="clear" w:color="auto" w:fill="auto"/>
          </w:tcPr>
          <w:p w:rsidR="00F45884" w:rsidRPr="00DD5B13" w:rsidRDefault="00F45884" w:rsidP="00004AAF">
            <w:pPr>
              <w:rPr>
                <w:sz w:val="28"/>
                <w:szCs w:val="28"/>
              </w:rPr>
            </w:pPr>
          </w:p>
        </w:tc>
        <w:tc>
          <w:tcPr>
            <w:tcW w:w="4542" w:type="dxa"/>
            <w:shd w:val="clear" w:color="auto" w:fill="auto"/>
          </w:tcPr>
          <w:p w:rsidR="00F45884" w:rsidRPr="00DD5B13" w:rsidRDefault="00F45884" w:rsidP="00004AAF">
            <w:pPr>
              <w:rPr>
                <w:b/>
                <w:sz w:val="28"/>
                <w:szCs w:val="28"/>
              </w:rPr>
            </w:pPr>
          </w:p>
          <w:p w:rsidR="00F45884" w:rsidRPr="00DD5B13" w:rsidRDefault="00F45884" w:rsidP="00004AAF">
            <w:pPr>
              <w:rPr>
                <w:b/>
                <w:sz w:val="28"/>
                <w:szCs w:val="28"/>
              </w:rPr>
            </w:pPr>
          </w:p>
          <w:p w:rsidR="00F45884" w:rsidRPr="00DD5B13" w:rsidRDefault="00F45884" w:rsidP="00004AAF">
            <w:pPr>
              <w:jc w:val="right"/>
              <w:rPr>
                <w:sz w:val="28"/>
                <w:szCs w:val="28"/>
              </w:rPr>
            </w:pPr>
            <w:r w:rsidRPr="00DD5B13">
              <w:rPr>
                <w:b/>
                <w:sz w:val="28"/>
                <w:szCs w:val="28"/>
              </w:rPr>
              <w:t>Д. М. Серебрянський</w:t>
            </w:r>
          </w:p>
        </w:tc>
      </w:tr>
    </w:tbl>
    <w:p w:rsidR="00F45884" w:rsidRPr="00DD5B13" w:rsidRDefault="00F45884" w:rsidP="00F45884">
      <w:pPr>
        <w:jc w:val="both"/>
        <w:textAlignment w:val="baseline"/>
        <w:rPr>
          <w:sz w:val="28"/>
          <w:szCs w:val="28"/>
          <w:bdr w:val="none" w:sz="0" w:space="0" w:color="auto" w:frame="1"/>
          <w:lang w:eastAsia="uk-UA"/>
        </w:rPr>
      </w:pPr>
    </w:p>
    <w:p w:rsidR="00F45884" w:rsidRPr="00DD5B13" w:rsidRDefault="00F45884" w:rsidP="00F45884">
      <w:pPr>
        <w:jc w:val="both"/>
        <w:textAlignment w:val="baseline"/>
        <w:rPr>
          <w:sz w:val="28"/>
          <w:szCs w:val="28"/>
          <w:bdr w:val="none" w:sz="0" w:space="0" w:color="auto" w:frame="1"/>
          <w:lang w:eastAsia="uk-UA"/>
        </w:rPr>
      </w:pPr>
    </w:p>
    <w:p w:rsidR="00F45884" w:rsidRPr="00DD5B13" w:rsidRDefault="00F45884" w:rsidP="00F45884">
      <w:pPr>
        <w:spacing w:line="360" w:lineRule="auto"/>
        <w:jc w:val="both"/>
        <w:textAlignment w:val="baseline"/>
        <w:rPr>
          <w:sz w:val="28"/>
          <w:szCs w:val="28"/>
          <w:bdr w:val="none" w:sz="0" w:space="0" w:color="auto" w:frame="1"/>
          <w:lang w:eastAsia="uk-UA"/>
        </w:rPr>
        <w:sectPr w:rsidR="00F45884" w:rsidRPr="00DD5B13" w:rsidSect="00640F8F">
          <w:headerReference w:type="default" r:id="rId9"/>
          <w:footerReference w:type="default" r:id="rId10"/>
          <w:headerReference w:type="first" r:id="rId11"/>
          <w:footerReference w:type="first" r:id="rId12"/>
          <w:pgSz w:w="11906" w:h="16838"/>
          <w:pgMar w:top="1134" w:right="567" w:bottom="1843" w:left="1701" w:header="709" w:footer="709" w:gutter="0"/>
          <w:pgNumType w:start="1"/>
          <w:cols w:space="708"/>
          <w:titlePg/>
          <w:docGrid w:linePitch="360"/>
        </w:sectPr>
      </w:pPr>
    </w:p>
    <w:tbl>
      <w:tblPr>
        <w:tblW w:w="9756" w:type="dxa"/>
        <w:tblLook w:val="04A0" w:firstRow="1" w:lastRow="0" w:firstColumn="1" w:lastColumn="0" w:noHBand="0" w:noVBand="1"/>
      </w:tblPr>
      <w:tblGrid>
        <w:gridCol w:w="4798"/>
        <w:gridCol w:w="4958"/>
      </w:tblGrid>
      <w:tr w:rsidR="00DD5B13" w:rsidRPr="00DD5B13" w:rsidTr="00004AAF">
        <w:tc>
          <w:tcPr>
            <w:tcW w:w="4798" w:type="dxa"/>
          </w:tcPr>
          <w:p w:rsidR="00F45884" w:rsidRPr="00DD5B13" w:rsidRDefault="00F45884" w:rsidP="00004AAF"/>
        </w:tc>
        <w:tc>
          <w:tcPr>
            <w:tcW w:w="4958" w:type="dxa"/>
          </w:tcPr>
          <w:p w:rsidR="00F45884" w:rsidRPr="00DD5B13" w:rsidRDefault="00F45884" w:rsidP="00004AAF">
            <w:r w:rsidRPr="00DD5B13">
              <w:t>Додаток 1</w:t>
            </w:r>
          </w:p>
          <w:p w:rsidR="00F45884" w:rsidRPr="00DD5B13" w:rsidRDefault="00F45884" w:rsidP="00004AAF">
            <w:pPr>
              <w:ind w:right="-80"/>
            </w:pPr>
            <w:r w:rsidRPr="00DD5B13">
              <w:t>до Порядку обміну електронними документами між контролюючими органами та банками в процесі доставки до банку платника інкасових доручень (розпоряджень), що оформлюються контролюючими органами в електронному вигляді</w:t>
            </w:r>
          </w:p>
          <w:p w:rsidR="00F45884" w:rsidRPr="00DD5B13" w:rsidRDefault="00F45884" w:rsidP="00004AAF">
            <w:r w:rsidRPr="00DD5B13">
              <w:t>(пункт 6 розділу І</w:t>
            </w:r>
            <w:r w:rsidRPr="00DD5B13">
              <w:rPr>
                <w:lang w:val="en-US"/>
              </w:rPr>
              <w:t>V</w:t>
            </w:r>
            <w:r w:rsidRPr="00DD5B13">
              <w:t>)</w:t>
            </w:r>
          </w:p>
        </w:tc>
      </w:tr>
    </w:tbl>
    <w:p w:rsidR="00F45884" w:rsidRPr="00DD5B13" w:rsidRDefault="00F45884" w:rsidP="00F45884">
      <w:pPr>
        <w:spacing w:line="360" w:lineRule="auto"/>
        <w:jc w:val="both"/>
        <w:textAlignment w:val="baseline"/>
        <w:rPr>
          <w:sz w:val="28"/>
          <w:szCs w:val="28"/>
          <w:bdr w:val="none" w:sz="0" w:space="0" w:color="auto" w:frame="1"/>
          <w:lang w:eastAsia="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25"/>
        <w:gridCol w:w="2058"/>
        <w:gridCol w:w="1895"/>
        <w:gridCol w:w="883"/>
        <w:gridCol w:w="2967"/>
      </w:tblGrid>
      <w:tr w:rsidR="00DD5B13" w:rsidRPr="00DD5B13" w:rsidTr="00004AAF">
        <w:tc>
          <w:tcPr>
            <w:tcW w:w="9753" w:type="dxa"/>
            <w:gridSpan w:val="5"/>
            <w:tcBorders>
              <w:top w:val="single" w:sz="4" w:space="0" w:color="auto"/>
              <w:bottom w:val="single" w:sz="4" w:space="0" w:color="auto"/>
            </w:tcBorders>
          </w:tcPr>
          <w:p w:rsidR="00F45884" w:rsidRPr="00DD5B13" w:rsidRDefault="00F45884" w:rsidP="00004AAF">
            <w:pPr>
              <w:autoSpaceDE w:val="0"/>
              <w:autoSpaceDN w:val="0"/>
              <w:adjustRightInd w:val="0"/>
              <w:jc w:val="center"/>
              <w:rPr>
                <w:b/>
              </w:rPr>
            </w:pPr>
            <w:r w:rsidRPr="00DD5B13">
              <w:rPr>
                <w:b/>
                <w:bdr w:val="none" w:sz="0" w:space="0" w:color="auto" w:frame="1"/>
                <w:lang w:eastAsia="uk-UA"/>
              </w:rPr>
              <w:t>Повідомлення про прийняття електронного документа до оброблення</w:t>
            </w:r>
          </w:p>
        </w:tc>
      </w:tr>
      <w:tr w:rsidR="00DD5B13" w:rsidRPr="00DD5B13" w:rsidTr="00004AAF">
        <w:tc>
          <w:tcPr>
            <w:tcW w:w="1830" w:type="dxa"/>
            <w:vMerge w:val="restart"/>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Територіальний орган ДФС:</w:t>
            </w: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(код згідно з ЄДРПОУ)</w:t>
            </w: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(найменування)</w:t>
            </w: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sz w:val="20"/>
                <w:szCs w:val="20"/>
              </w:rPr>
            </w:pPr>
            <w:r w:rsidRPr="00DD5B13">
              <w:rPr>
                <w:sz w:val="20"/>
                <w:szCs w:val="20"/>
              </w:rPr>
              <w:t>(адреса електронної пошти (E-</w:t>
            </w:r>
            <w:proofErr w:type="spellStart"/>
            <w:r w:rsidRPr="00DD5B13">
              <w:rPr>
                <w:sz w:val="20"/>
                <w:szCs w:val="20"/>
              </w:rPr>
              <w:t>mail</w:t>
            </w:r>
            <w:proofErr w:type="spellEnd"/>
            <w:r w:rsidRPr="00DD5B13">
              <w:rPr>
                <w:sz w:val="20"/>
                <w:szCs w:val="20"/>
              </w:rPr>
              <w:t>))</w:t>
            </w:r>
          </w:p>
        </w:tc>
      </w:tr>
      <w:tr w:rsidR="00DD5B13" w:rsidRPr="00DD5B13" w:rsidTr="00004AAF">
        <w:tc>
          <w:tcPr>
            <w:tcW w:w="1830" w:type="dxa"/>
            <w:vMerge w:val="restart"/>
            <w:tcBorders>
              <w:top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Документ:</w:t>
            </w: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(код форми документа)</w:t>
            </w:r>
          </w:p>
        </w:tc>
      </w:tr>
      <w:tr w:rsidR="00DD5B13" w:rsidRPr="00DD5B13" w:rsidTr="00004AAF">
        <w:tc>
          <w:tcPr>
            <w:tcW w:w="1830" w:type="dxa"/>
            <w:vMerge/>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(назва документа)</w:t>
            </w:r>
          </w:p>
        </w:tc>
      </w:tr>
      <w:tr w:rsidR="00DD5B13" w:rsidRPr="00DD5B13" w:rsidTr="00004AAF">
        <w:tc>
          <w:tcPr>
            <w:tcW w:w="1830" w:type="dxa"/>
            <w:vMerge/>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nil"/>
            </w:tcBorders>
          </w:tcPr>
          <w:p w:rsidR="00F45884" w:rsidRPr="00DD5B13" w:rsidRDefault="00F45884" w:rsidP="00520EB8">
            <w:pPr>
              <w:autoSpaceDE w:val="0"/>
              <w:autoSpaceDN w:val="0"/>
              <w:adjustRightInd w:val="0"/>
              <w:jc w:val="center"/>
              <w:rPr>
                <w:sz w:val="20"/>
                <w:szCs w:val="20"/>
              </w:rPr>
            </w:pPr>
            <w:r w:rsidRPr="00DD5B13">
              <w:rPr>
                <w:sz w:val="20"/>
                <w:szCs w:val="20"/>
              </w:rPr>
              <w:t xml:space="preserve">(ім’я </w:t>
            </w:r>
            <w:proofErr w:type="spellStart"/>
            <w:r w:rsidRPr="00DD5B13">
              <w:rPr>
                <w:sz w:val="20"/>
                <w:szCs w:val="20"/>
              </w:rPr>
              <w:t>файл</w:t>
            </w:r>
            <w:r w:rsidR="00520EB8" w:rsidRPr="007E4792">
              <w:rPr>
                <w:sz w:val="20"/>
                <w:szCs w:val="20"/>
              </w:rPr>
              <w:t>а</w:t>
            </w:r>
            <w:proofErr w:type="spellEnd"/>
            <w:r w:rsidRPr="00DD5B13">
              <w:rPr>
                <w:sz w:val="20"/>
                <w:szCs w:val="20"/>
              </w:rPr>
              <w:t>)</w:t>
            </w:r>
          </w:p>
        </w:tc>
      </w:tr>
      <w:tr w:rsidR="00DD5B13" w:rsidRPr="00DD5B13" w:rsidTr="00004AAF">
        <w:tc>
          <w:tcPr>
            <w:tcW w:w="1830" w:type="dxa"/>
            <w:vMerge w:val="restart"/>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Результат</w:t>
            </w:r>
          </w:p>
          <w:p w:rsidR="00F45884" w:rsidRPr="00DD5B13" w:rsidRDefault="00F45884" w:rsidP="00004AAF">
            <w:pPr>
              <w:autoSpaceDE w:val="0"/>
              <w:autoSpaceDN w:val="0"/>
              <w:adjustRightInd w:val="0"/>
              <w:rPr>
                <w:sz w:val="20"/>
                <w:szCs w:val="20"/>
              </w:rPr>
            </w:pPr>
            <w:r w:rsidRPr="00DD5B13">
              <w:rPr>
                <w:sz w:val="20"/>
                <w:szCs w:val="20"/>
              </w:rPr>
              <w:t>обробки:</w:t>
            </w:r>
          </w:p>
        </w:tc>
        <w:tc>
          <w:tcPr>
            <w:tcW w:w="4913" w:type="dxa"/>
            <w:gridSpan w:val="3"/>
            <w:tcBorders>
              <w:top w:val="single" w:sz="4" w:space="0" w:color="auto"/>
              <w:bottom w:val="nil"/>
            </w:tcBorders>
          </w:tcPr>
          <w:p w:rsidR="00F45884" w:rsidRPr="00DD5B13" w:rsidRDefault="00F45884" w:rsidP="00004AAF">
            <w:pPr>
              <w:autoSpaceDE w:val="0"/>
              <w:autoSpaceDN w:val="0"/>
              <w:adjustRightInd w:val="0"/>
              <w:rPr>
                <w:sz w:val="20"/>
                <w:szCs w:val="20"/>
              </w:rPr>
            </w:pPr>
            <w:r w:rsidRPr="00DD5B13">
              <w:rPr>
                <w:sz w:val="20"/>
                <w:szCs w:val="20"/>
              </w:rPr>
              <w:t xml:space="preserve">Документ доставлено до </w:t>
            </w:r>
          </w:p>
        </w:tc>
        <w:tc>
          <w:tcPr>
            <w:tcW w:w="3010" w:type="dxa"/>
            <w:tcBorders>
              <w:top w:val="single" w:sz="4" w:space="0" w:color="auto"/>
              <w:bottom w:val="nil"/>
            </w:tcBorders>
          </w:tcPr>
          <w:p w:rsidR="00F45884" w:rsidRPr="00DD5B13" w:rsidRDefault="00F45884" w:rsidP="00004AAF">
            <w:pPr>
              <w:autoSpaceDE w:val="0"/>
              <w:autoSpaceDN w:val="0"/>
              <w:adjustRightInd w:val="0"/>
              <w:rPr>
                <w:sz w:val="20"/>
                <w:szCs w:val="20"/>
              </w:rPr>
            </w:pPr>
          </w:p>
        </w:tc>
      </w:tr>
      <w:tr w:rsidR="00DD5B13" w:rsidRPr="00DD5B13" w:rsidTr="00004AAF">
        <w:tc>
          <w:tcPr>
            <w:tcW w:w="1830" w:type="dxa"/>
            <w:vMerge/>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p>
        </w:tc>
        <w:tc>
          <w:tcPr>
            <w:tcW w:w="4913" w:type="dxa"/>
            <w:gridSpan w:val="3"/>
            <w:tcBorders>
              <w:top w:val="nil"/>
              <w:bottom w:val="nil"/>
            </w:tcBorders>
          </w:tcPr>
          <w:p w:rsidR="00F45884" w:rsidRPr="00DD5B13" w:rsidRDefault="00F45884" w:rsidP="00004AAF">
            <w:pPr>
              <w:autoSpaceDE w:val="0"/>
              <w:autoSpaceDN w:val="0"/>
              <w:adjustRightInd w:val="0"/>
              <w:rPr>
                <w:sz w:val="20"/>
                <w:szCs w:val="20"/>
              </w:rPr>
            </w:pPr>
          </w:p>
        </w:tc>
        <w:tc>
          <w:tcPr>
            <w:tcW w:w="3010" w:type="dxa"/>
            <w:tcBorders>
              <w:top w:val="single" w:sz="4" w:space="0" w:color="auto"/>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(код (МФО) банку платника)</w:t>
            </w:r>
          </w:p>
        </w:tc>
      </w:tr>
      <w:tr w:rsidR="00DD5B13" w:rsidRPr="00DD5B13" w:rsidTr="00004AAF">
        <w:tc>
          <w:tcPr>
            <w:tcW w:w="1830" w:type="dxa"/>
            <w:vMerge/>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tcPr>
          <w:p w:rsidR="00F45884" w:rsidRPr="00DD5B13" w:rsidRDefault="00F45884" w:rsidP="00004AAF">
            <w:pPr>
              <w:autoSpaceDE w:val="0"/>
              <w:autoSpaceDN w:val="0"/>
              <w:adjustRightInd w:val="0"/>
              <w:jc w:val="center"/>
              <w:rPr>
                <w:sz w:val="20"/>
                <w:szCs w:val="20"/>
              </w:rPr>
            </w:pPr>
          </w:p>
        </w:tc>
      </w:tr>
      <w:tr w:rsidR="00DD5B13" w:rsidRPr="00DD5B13" w:rsidTr="00004AAF">
        <w:tc>
          <w:tcPr>
            <w:tcW w:w="1830" w:type="dxa"/>
            <w:vMerge/>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nil"/>
            </w:tcBorders>
          </w:tcPr>
          <w:p w:rsidR="00F45884" w:rsidRPr="00DD5B13" w:rsidRDefault="00F45884" w:rsidP="00004AAF">
            <w:pPr>
              <w:autoSpaceDE w:val="0"/>
              <w:autoSpaceDN w:val="0"/>
              <w:adjustRightInd w:val="0"/>
              <w:jc w:val="center"/>
              <w:rPr>
                <w:sz w:val="20"/>
                <w:szCs w:val="20"/>
              </w:rPr>
            </w:pPr>
            <w:r w:rsidRPr="00DD5B13">
              <w:rPr>
                <w:sz w:val="20"/>
                <w:szCs w:val="20"/>
              </w:rPr>
              <w:t>(назва банку платника)</w:t>
            </w:r>
          </w:p>
        </w:tc>
      </w:tr>
      <w:tr w:rsidR="00DD5B13" w:rsidRPr="00DD5B13" w:rsidTr="00004AAF">
        <w:trPr>
          <w:trHeight w:val="432"/>
        </w:trPr>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nil"/>
              <w:bottom w:val="single" w:sz="4" w:space="0" w:color="auto"/>
            </w:tcBorders>
            <w:vAlign w:val="center"/>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4010" w:type="dxa"/>
            <w:gridSpan w:val="2"/>
            <w:tcBorders>
              <w:top w:val="single" w:sz="4" w:space="0" w:color="auto"/>
              <w:bottom w:val="single" w:sz="4" w:space="0" w:color="auto"/>
            </w:tcBorders>
          </w:tcPr>
          <w:p w:rsidR="00F45884" w:rsidRPr="00DD5B13" w:rsidRDefault="00F45884" w:rsidP="00004AAF">
            <w:pPr>
              <w:autoSpaceDE w:val="0"/>
              <w:autoSpaceDN w:val="0"/>
              <w:adjustRightInd w:val="0"/>
              <w:jc w:val="right"/>
              <w:rPr>
                <w:sz w:val="20"/>
                <w:szCs w:val="20"/>
              </w:rPr>
            </w:pPr>
          </w:p>
        </w:tc>
        <w:tc>
          <w:tcPr>
            <w:tcW w:w="3913" w:type="dxa"/>
            <w:gridSpan w:val="2"/>
            <w:tcBorders>
              <w:top w:val="single" w:sz="4" w:space="0" w:color="auto"/>
              <w:bottom w:val="single" w:sz="4" w:space="0" w:color="auto"/>
            </w:tcBorders>
          </w:tcPr>
          <w:p w:rsidR="00F45884" w:rsidRPr="00DD5B13" w:rsidRDefault="00F45884" w:rsidP="00004AAF">
            <w:pPr>
              <w:autoSpaceDE w:val="0"/>
              <w:autoSpaceDN w:val="0"/>
              <w:adjustRightInd w:val="0"/>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4010" w:type="dxa"/>
            <w:gridSpan w:val="2"/>
            <w:tcBorders>
              <w:top w:val="single" w:sz="4" w:space="0" w:color="auto"/>
              <w:bottom w:val="nil"/>
            </w:tcBorders>
          </w:tcPr>
          <w:p w:rsidR="00F45884" w:rsidRPr="00DD5B13" w:rsidRDefault="00F45884" w:rsidP="00004AAF">
            <w:pPr>
              <w:autoSpaceDE w:val="0"/>
              <w:autoSpaceDN w:val="0"/>
              <w:adjustRightInd w:val="0"/>
              <w:jc w:val="right"/>
              <w:rPr>
                <w:sz w:val="20"/>
                <w:szCs w:val="20"/>
              </w:rPr>
            </w:pPr>
            <w:r w:rsidRPr="00DD5B13">
              <w:rPr>
                <w:sz w:val="20"/>
                <w:szCs w:val="20"/>
              </w:rPr>
              <w:t>(дата)</w:t>
            </w:r>
          </w:p>
        </w:tc>
        <w:tc>
          <w:tcPr>
            <w:tcW w:w="3913" w:type="dxa"/>
            <w:gridSpan w:val="2"/>
            <w:tcBorders>
              <w:top w:val="single" w:sz="4" w:space="0" w:color="auto"/>
              <w:bottom w:val="nil"/>
            </w:tcBorders>
          </w:tcPr>
          <w:p w:rsidR="00F45884" w:rsidRPr="00DD5B13" w:rsidRDefault="00F45884" w:rsidP="00004AAF">
            <w:pPr>
              <w:autoSpaceDE w:val="0"/>
              <w:autoSpaceDN w:val="0"/>
              <w:adjustRightInd w:val="0"/>
              <w:rPr>
                <w:sz w:val="20"/>
                <w:szCs w:val="20"/>
              </w:rPr>
            </w:pPr>
            <w:r w:rsidRPr="00DD5B13">
              <w:rPr>
                <w:sz w:val="20"/>
                <w:szCs w:val="20"/>
              </w:rPr>
              <w:t>(час)</w:t>
            </w: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2072" w:type="dxa"/>
            <w:tcBorders>
              <w:top w:val="nil"/>
              <w:bottom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Реєстраційний №</w:t>
            </w:r>
          </w:p>
        </w:tc>
        <w:tc>
          <w:tcPr>
            <w:tcW w:w="5851" w:type="dxa"/>
            <w:gridSpan w:val="3"/>
            <w:tcBorders>
              <w:top w:val="nil"/>
              <w:bottom w:val="single" w:sz="4" w:space="0" w:color="auto"/>
            </w:tcBorders>
          </w:tcPr>
          <w:p w:rsidR="00F45884" w:rsidRPr="00DD5B13" w:rsidRDefault="00F45884" w:rsidP="00004AAF">
            <w:pPr>
              <w:autoSpaceDE w:val="0"/>
              <w:autoSpaceDN w:val="0"/>
              <w:adjustRightInd w:val="0"/>
              <w:rPr>
                <w:b/>
                <w:bCs/>
                <w:sz w:val="20"/>
                <w:szCs w:val="20"/>
              </w:rPr>
            </w:pPr>
          </w:p>
        </w:tc>
      </w:tr>
      <w:tr w:rsidR="00DD5B13" w:rsidRPr="00DD5B13" w:rsidTr="00004AAF">
        <w:tc>
          <w:tcPr>
            <w:tcW w:w="1830" w:type="dxa"/>
            <w:vMerge w:val="restart"/>
            <w:tcBorders>
              <w:top w:val="single" w:sz="4" w:space="0" w:color="auto"/>
              <w:bottom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Виявлені</w:t>
            </w:r>
          </w:p>
          <w:p w:rsidR="00F45884" w:rsidRPr="00DD5B13" w:rsidRDefault="00F45884" w:rsidP="00004AAF">
            <w:pPr>
              <w:autoSpaceDE w:val="0"/>
              <w:autoSpaceDN w:val="0"/>
              <w:adjustRightInd w:val="0"/>
              <w:rPr>
                <w:sz w:val="20"/>
                <w:szCs w:val="20"/>
              </w:rPr>
            </w:pPr>
            <w:r w:rsidRPr="00DD5B13">
              <w:rPr>
                <w:sz w:val="20"/>
                <w:szCs w:val="20"/>
              </w:rPr>
              <w:t>помилки:</w:t>
            </w: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top w:val="nil"/>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rPr>
                <w:b/>
                <w:bCs/>
                <w:sz w:val="20"/>
                <w:szCs w:val="20"/>
              </w:rPr>
            </w:pPr>
          </w:p>
        </w:tc>
      </w:tr>
      <w:tr w:rsidR="00DD5B13" w:rsidRPr="00DD5B13" w:rsidTr="00004AAF">
        <w:tc>
          <w:tcPr>
            <w:tcW w:w="1830" w:type="dxa"/>
            <w:vMerge w:val="restart"/>
            <w:tcBorders>
              <w:top w:val="single" w:sz="4" w:space="0" w:color="auto"/>
            </w:tcBorders>
          </w:tcPr>
          <w:p w:rsidR="00F45884" w:rsidRPr="00DD5B13" w:rsidRDefault="00F45884" w:rsidP="00004AAF">
            <w:pPr>
              <w:autoSpaceDE w:val="0"/>
              <w:autoSpaceDN w:val="0"/>
              <w:adjustRightInd w:val="0"/>
              <w:rPr>
                <w:sz w:val="20"/>
                <w:szCs w:val="20"/>
              </w:rPr>
            </w:pPr>
            <w:r w:rsidRPr="00DD5B13">
              <w:rPr>
                <w:sz w:val="20"/>
                <w:szCs w:val="20"/>
              </w:rPr>
              <w:t>Відправник:</w:t>
            </w: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b/>
                <w:bCs/>
                <w:sz w:val="20"/>
                <w:szCs w:val="20"/>
              </w:rPr>
            </w:pPr>
          </w:p>
        </w:tc>
      </w:tr>
      <w:tr w:rsidR="00DD5B13" w:rsidRPr="00DD5B13" w:rsidTr="00004AAF">
        <w:tc>
          <w:tcPr>
            <w:tcW w:w="1830" w:type="dxa"/>
            <w:vMerge/>
            <w:tcBorders>
              <w:bottom w:val="single" w:sz="4" w:space="0" w:color="auto"/>
            </w:tcBorders>
          </w:tcPr>
          <w:p w:rsidR="00F45884" w:rsidRPr="00DD5B13" w:rsidRDefault="00F45884" w:rsidP="00004AAF">
            <w:pPr>
              <w:autoSpaceDE w:val="0"/>
              <w:autoSpaceDN w:val="0"/>
              <w:adjustRightInd w:val="0"/>
              <w:rPr>
                <w:sz w:val="20"/>
                <w:szCs w:val="20"/>
              </w:rPr>
            </w:pPr>
          </w:p>
        </w:tc>
        <w:tc>
          <w:tcPr>
            <w:tcW w:w="7923" w:type="dxa"/>
            <w:gridSpan w:val="4"/>
            <w:tcBorders>
              <w:top w:val="single" w:sz="4" w:space="0" w:color="auto"/>
              <w:bottom w:val="single" w:sz="4" w:space="0" w:color="auto"/>
            </w:tcBorders>
          </w:tcPr>
          <w:p w:rsidR="00F45884" w:rsidRPr="00DD5B13" w:rsidRDefault="00F45884" w:rsidP="00004AAF">
            <w:pPr>
              <w:autoSpaceDE w:val="0"/>
              <w:autoSpaceDN w:val="0"/>
              <w:adjustRightInd w:val="0"/>
              <w:jc w:val="center"/>
              <w:rPr>
                <w:sz w:val="20"/>
                <w:szCs w:val="20"/>
              </w:rPr>
            </w:pPr>
            <w:r w:rsidRPr="00DD5B13">
              <w:rPr>
                <w:sz w:val="20"/>
                <w:szCs w:val="20"/>
              </w:rPr>
              <w:t>(інформація про відправника)</w:t>
            </w:r>
          </w:p>
        </w:tc>
      </w:tr>
    </w:tbl>
    <w:p w:rsidR="00F45884" w:rsidRPr="00DD5B13" w:rsidRDefault="00F45884" w:rsidP="00F45884">
      <w:pPr>
        <w:spacing w:line="360" w:lineRule="auto"/>
        <w:jc w:val="both"/>
        <w:textAlignment w:val="baseline"/>
        <w:rPr>
          <w:sz w:val="28"/>
          <w:szCs w:val="28"/>
          <w:bdr w:val="none" w:sz="0" w:space="0" w:color="auto" w:frame="1"/>
          <w:lang w:eastAsia="uk-UA"/>
        </w:rPr>
      </w:pPr>
    </w:p>
    <w:p w:rsidR="00F45884" w:rsidRPr="00DD5B13" w:rsidRDefault="00F45884" w:rsidP="00F45884">
      <w:pPr>
        <w:spacing w:line="360" w:lineRule="auto"/>
        <w:jc w:val="both"/>
        <w:textAlignment w:val="baseline"/>
        <w:rPr>
          <w:sz w:val="28"/>
          <w:szCs w:val="28"/>
          <w:bdr w:val="none" w:sz="0" w:space="0" w:color="auto" w:frame="1"/>
          <w:lang w:eastAsia="uk-UA"/>
        </w:rPr>
      </w:pPr>
    </w:p>
    <w:p w:rsidR="00F45884" w:rsidRPr="00DD5B13" w:rsidRDefault="00F45884" w:rsidP="00F45884">
      <w:pPr>
        <w:spacing w:line="360" w:lineRule="auto"/>
        <w:jc w:val="both"/>
        <w:textAlignment w:val="baseline"/>
        <w:rPr>
          <w:sz w:val="28"/>
          <w:szCs w:val="28"/>
          <w:bdr w:val="none" w:sz="0" w:space="0" w:color="auto" w:frame="1"/>
          <w:lang w:eastAsia="uk-UA"/>
        </w:rPr>
        <w:sectPr w:rsidR="00F45884" w:rsidRPr="00DD5B13" w:rsidSect="0060570D">
          <w:pgSz w:w="11906" w:h="16838"/>
          <w:pgMar w:top="1134" w:right="567" w:bottom="1134" w:left="1701" w:header="709" w:footer="709" w:gutter="0"/>
          <w:pgNumType w:start="1"/>
          <w:cols w:space="708"/>
          <w:titlePg/>
          <w:docGrid w:linePitch="360"/>
        </w:sectPr>
      </w:pPr>
    </w:p>
    <w:tbl>
      <w:tblPr>
        <w:tblW w:w="9854" w:type="dxa"/>
        <w:tblLook w:val="04A0" w:firstRow="1" w:lastRow="0" w:firstColumn="1" w:lastColumn="0" w:noHBand="0" w:noVBand="1"/>
      </w:tblPr>
      <w:tblGrid>
        <w:gridCol w:w="4896"/>
        <w:gridCol w:w="4958"/>
      </w:tblGrid>
      <w:tr w:rsidR="00DD5B13" w:rsidRPr="00DD5B13" w:rsidTr="00004AAF">
        <w:tc>
          <w:tcPr>
            <w:tcW w:w="4896" w:type="dxa"/>
          </w:tcPr>
          <w:p w:rsidR="00F45884" w:rsidRPr="00DD5B13" w:rsidRDefault="00F45884" w:rsidP="00004AAF">
            <w:pPr>
              <w:spacing w:line="228" w:lineRule="auto"/>
            </w:pPr>
          </w:p>
        </w:tc>
        <w:tc>
          <w:tcPr>
            <w:tcW w:w="4958" w:type="dxa"/>
          </w:tcPr>
          <w:p w:rsidR="00F45884" w:rsidRPr="00DD5B13" w:rsidRDefault="00F45884" w:rsidP="00004AAF">
            <w:pPr>
              <w:spacing w:line="228" w:lineRule="auto"/>
            </w:pPr>
            <w:r w:rsidRPr="00DD5B13">
              <w:t>Додаток 2</w:t>
            </w:r>
          </w:p>
          <w:p w:rsidR="00F45884" w:rsidRPr="00DD5B13" w:rsidRDefault="00F45884" w:rsidP="00004AAF">
            <w:pPr>
              <w:spacing w:line="228" w:lineRule="auto"/>
              <w:ind w:right="-80"/>
            </w:pPr>
            <w:r w:rsidRPr="00DD5B13">
              <w:t>до Порядку обміну електронними документами між контролюючими органами та банками в процесі доставки до банку платника інкасових доручень (розпоряджень), що оформлюються контролюючими органами в електронному вигляді</w:t>
            </w:r>
          </w:p>
          <w:p w:rsidR="00F45884" w:rsidRPr="00DD5B13" w:rsidRDefault="00F45884" w:rsidP="00004AAF">
            <w:pPr>
              <w:spacing w:line="228" w:lineRule="auto"/>
            </w:pPr>
            <w:r w:rsidRPr="00DD5B13">
              <w:t>(пункт 12 розділу І</w:t>
            </w:r>
            <w:r w:rsidRPr="00DD5B13">
              <w:rPr>
                <w:lang w:val="en-US"/>
              </w:rPr>
              <w:t>V</w:t>
            </w:r>
            <w:r w:rsidRPr="00DD5B13">
              <w:t>)</w:t>
            </w:r>
          </w:p>
        </w:tc>
      </w:tr>
    </w:tbl>
    <w:p w:rsidR="00F45884" w:rsidRPr="00DD5B13" w:rsidRDefault="00F45884" w:rsidP="00F45884"/>
    <w:p w:rsidR="00F45884" w:rsidRPr="00DD5B13" w:rsidRDefault="00F45884" w:rsidP="00F45884">
      <w:pPr>
        <w:spacing w:line="228" w:lineRule="auto"/>
        <w:ind w:left="420"/>
        <w:rPr>
          <w:sz w:val="20"/>
          <w:szCs w:val="20"/>
        </w:rPr>
      </w:pPr>
    </w:p>
    <w:tbl>
      <w:tblPr>
        <w:tblW w:w="10135" w:type="dxa"/>
        <w:tblInd w:w="-284" w:type="dxa"/>
        <w:tblLook w:val="04A0" w:firstRow="1" w:lastRow="0" w:firstColumn="1" w:lastColumn="0" w:noHBand="0" w:noVBand="1"/>
      </w:tblPr>
      <w:tblGrid>
        <w:gridCol w:w="1414"/>
        <w:gridCol w:w="445"/>
        <w:gridCol w:w="1851"/>
        <w:gridCol w:w="1638"/>
        <w:gridCol w:w="4787"/>
      </w:tblGrid>
      <w:tr w:rsidR="00DD5B13" w:rsidRPr="00DD5B13" w:rsidTr="00004AAF">
        <w:tc>
          <w:tcPr>
            <w:tcW w:w="1414"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c>
          <w:tcPr>
            <w:tcW w:w="445" w:type="dxa"/>
          </w:tcPr>
          <w:p w:rsidR="00F45884" w:rsidRPr="00DD5B13" w:rsidRDefault="00F45884" w:rsidP="00004AAF">
            <w:pPr>
              <w:spacing w:line="228" w:lineRule="auto"/>
            </w:pPr>
            <w:r w:rsidRPr="00DD5B13">
              <w:t>№</w:t>
            </w:r>
          </w:p>
        </w:tc>
        <w:tc>
          <w:tcPr>
            <w:tcW w:w="1851"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c>
          <w:tcPr>
            <w:tcW w:w="1638" w:type="dxa"/>
          </w:tcPr>
          <w:p w:rsidR="00F45884" w:rsidRPr="00DD5B13" w:rsidRDefault="00F45884" w:rsidP="00004AAF">
            <w:pPr>
              <w:spacing w:line="228" w:lineRule="auto"/>
            </w:pPr>
          </w:p>
        </w:tc>
        <w:tc>
          <w:tcPr>
            <w:tcW w:w="4787"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r>
      <w:tr w:rsidR="00DD5B13" w:rsidRPr="00DD5B13" w:rsidTr="00004AAF">
        <w:tc>
          <w:tcPr>
            <w:tcW w:w="1414" w:type="dxa"/>
            <w:tcBorders>
              <w:top w:val="single" w:sz="4" w:space="0" w:color="auto"/>
            </w:tcBorders>
          </w:tcPr>
          <w:p w:rsidR="00F45884" w:rsidRPr="00DD5B13" w:rsidRDefault="00F45884" w:rsidP="00004AAF">
            <w:pPr>
              <w:spacing w:line="228" w:lineRule="auto"/>
              <w:jc w:val="center"/>
              <w:rPr>
                <w:sz w:val="18"/>
                <w:szCs w:val="18"/>
              </w:rPr>
            </w:pPr>
            <w:r w:rsidRPr="00DD5B13">
              <w:rPr>
                <w:sz w:val="18"/>
                <w:szCs w:val="18"/>
              </w:rPr>
              <w:t>(дата)</w:t>
            </w:r>
          </w:p>
        </w:tc>
        <w:tc>
          <w:tcPr>
            <w:tcW w:w="445" w:type="dxa"/>
          </w:tcPr>
          <w:p w:rsidR="00F45884" w:rsidRPr="00DD5B13" w:rsidRDefault="00F45884" w:rsidP="00004AAF">
            <w:pPr>
              <w:spacing w:line="228" w:lineRule="auto"/>
              <w:rPr>
                <w:sz w:val="18"/>
                <w:szCs w:val="18"/>
              </w:rPr>
            </w:pPr>
          </w:p>
        </w:tc>
        <w:tc>
          <w:tcPr>
            <w:tcW w:w="1851" w:type="dxa"/>
            <w:tcBorders>
              <w:top w:val="single" w:sz="4" w:space="0" w:color="auto"/>
            </w:tcBorders>
          </w:tcPr>
          <w:p w:rsidR="00F45884" w:rsidRPr="00DD5B13" w:rsidRDefault="00F45884" w:rsidP="00004AAF">
            <w:pPr>
              <w:spacing w:line="228" w:lineRule="auto"/>
              <w:rPr>
                <w:sz w:val="18"/>
                <w:szCs w:val="18"/>
              </w:rPr>
            </w:pPr>
          </w:p>
        </w:tc>
        <w:tc>
          <w:tcPr>
            <w:tcW w:w="1638" w:type="dxa"/>
          </w:tcPr>
          <w:p w:rsidR="00F45884" w:rsidRPr="00DD5B13" w:rsidRDefault="00F45884" w:rsidP="00004AAF">
            <w:pPr>
              <w:spacing w:line="228" w:lineRule="auto"/>
              <w:rPr>
                <w:sz w:val="18"/>
                <w:szCs w:val="18"/>
              </w:rPr>
            </w:pPr>
          </w:p>
        </w:tc>
        <w:tc>
          <w:tcPr>
            <w:tcW w:w="4787" w:type="dxa"/>
            <w:tcBorders>
              <w:top w:val="single" w:sz="4" w:space="0" w:color="auto"/>
            </w:tcBorders>
          </w:tcPr>
          <w:p w:rsidR="00F45884" w:rsidRPr="00DD5B13" w:rsidRDefault="00F45884" w:rsidP="00004AAF">
            <w:pPr>
              <w:spacing w:line="228" w:lineRule="auto"/>
              <w:ind w:left="-113" w:right="-108"/>
              <w:jc w:val="center"/>
              <w:rPr>
                <w:sz w:val="18"/>
                <w:szCs w:val="18"/>
              </w:rPr>
            </w:pPr>
            <w:r w:rsidRPr="00DD5B13">
              <w:rPr>
                <w:sz w:val="18"/>
                <w:szCs w:val="18"/>
              </w:rPr>
              <w:t>(найменування банку)</w:t>
            </w:r>
          </w:p>
        </w:tc>
      </w:tr>
      <w:tr w:rsidR="00DD5B13" w:rsidRPr="00DD5B13" w:rsidTr="00004AAF">
        <w:tc>
          <w:tcPr>
            <w:tcW w:w="1414" w:type="dxa"/>
          </w:tcPr>
          <w:p w:rsidR="00F45884" w:rsidRPr="00DD5B13" w:rsidRDefault="00F45884" w:rsidP="00004AAF">
            <w:pPr>
              <w:spacing w:line="228" w:lineRule="auto"/>
              <w:rPr>
                <w:sz w:val="18"/>
                <w:szCs w:val="18"/>
              </w:rPr>
            </w:pPr>
          </w:p>
        </w:tc>
        <w:tc>
          <w:tcPr>
            <w:tcW w:w="445" w:type="dxa"/>
          </w:tcPr>
          <w:p w:rsidR="00F45884" w:rsidRPr="00DD5B13" w:rsidRDefault="00F45884" w:rsidP="00004AAF">
            <w:pPr>
              <w:spacing w:line="228" w:lineRule="auto"/>
              <w:rPr>
                <w:sz w:val="18"/>
                <w:szCs w:val="18"/>
              </w:rPr>
            </w:pPr>
          </w:p>
        </w:tc>
        <w:tc>
          <w:tcPr>
            <w:tcW w:w="1851" w:type="dxa"/>
          </w:tcPr>
          <w:p w:rsidR="00F45884" w:rsidRPr="00DD5B13" w:rsidRDefault="00F45884" w:rsidP="00004AAF">
            <w:pPr>
              <w:spacing w:line="228" w:lineRule="auto"/>
              <w:rPr>
                <w:sz w:val="18"/>
                <w:szCs w:val="18"/>
              </w:rPr>
            </w:pPr>
          </w:p>
        </w:tc>
        <w:tc>
          <w:tcPr>
            <w:tcW w:w="1638" w:type="dxa"/>
          </w:tcPr>
          <w:p w:rsidR="00F45884" w:rsidRPr="00DD5B13" w:rsidRDefault="00F45884" w:rsidP="00004AAF">
            <w:pPr>
              <w:spacing w:line="228" w:lineRule="auto"/>
            </w:pPr>
          </w:p>
        </w:tc>
        <w:tc>
          <w:tcPr>
            <w:tcW w:w="4787"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r>
      <w:tr w:rsidR="00DD5B13" w:rsidRPr="00DD5B13" w:rsidTr="00004AAF">
        <w:tc>
          <w:tcPr>
            <w:tcW w:w="1414" w:type="dxa"/>
          </w:tcPr>
          <w:p w:rsidR="00F45884" w:rsidRPr="00DD5B13" w:rsidRDefault="00F45884" w:rsidP="00004AAF">
            <w:pPr>
              <w:spacing w:line="228" w:lineRule="auto"/>
              <w:rPr>
                <w:sz w:val="18"/>
                <w:szCs w:val="18"/>
              </w:rPr>
            </w:pPr>
          </w:p>
        </w:tc>
        <w:tc>
          <w:tcPr>
            <w:tcW w:w="445" w:type="dxa"/>
          </w:tcPr>
          <w:p w:rsidR="00F45884" w:rsidRPr="00DD5B13" w:rsidRDefault="00F45884" w:rsidP="00004AAF">
            <w:pPr>
              <w:spacing w:line="228" w:lineRule="auto"/>
              <w:rPr>
                <w:sz w:val="18"/>
                <w:szCs w:val="18"/>
              </w:rPr>
            </w:pPr>
          </w:p>
        </w:tc>
        <w:tc>
          <w:tcPr>
            <w:tcW w:w="1851" w:type="dxa"/>
          </w:tcPr>
          <w:p w:rsidR="00F45884" w:rsidRPr="00DD5B13" w:rsidRDefault="00F45884" w:rsidP="00004AAF">
            <w:pPr>
              <w:spacing w:line="228" w:lineRule="auto"/>
              <w:rPr>
                <w:sz w:val="18"/>
                <w:szCs w:val="18"/>
              </w:rPr>
            </w:pPr>
          </w:p>
        </w:tc>
        <w:tc>
          <w:tcPr>
            <w:tcW w:w="1638" w:type="dxa"/>
          </w:tcPr>
          <w:p w:rsidR="00F45884" w:rsidRPr="00DD5B13" w:rsidRDefault="00F45884" w:rsidP="00004AAF">
            <w:pPr>
              <w:spacing w:line="228" w:lineRule="auto"/>
              <w:rPr>
                <w:sz w:val="18"/>
                <w:szCs w:val="18"/>
              </w:rPr>
            </w:pPr>
          </w:p>
        </w:tc>
        <w:tc>
          <w:tcPr>
            <w:tcW w:w="4787" w:type="dxa"/>
            <w:tcBorders>
              <w:top w:val="single" w:sz="4" w:space="0" w:color="auto"/>
            </w:tcBorders>
          </w:tcPr>
          <w:p w:rsidR="00F45884" w:rsidRPr="00DD5B13" w:rsidRDefault="00F45884" w:rsidP="00004AAF">
            <w:pPr>
              <w:spacing w:line="228" w:lineRule="auto"/>
              <w:jc w:val="center"/>
              <w:rPr>
                <w:sz w:val="18"/>
                <w:szCs w:val="18"/>
              </w:rPr>
            </w:pPr>
            <w:r w:rsidRPr="00DD5B13">
              <w:rPr>
                <w:sz w:val="18"/>
                <w:szCs w:val="18"/>
              </w:rPr>
              <w:t>(код згідно з ЄДРПОУ)</w:t>
            </w:r>
          </w:p>
        </w:tc>
      </w:tr>
      <w:tr w:rsidR="00DD5B13" w:rsidRPr="00DD5B13" w:rsidTr="00004AAF">
        <w:tc>
          <w:tcPr>
            <w:tcW w:w="1414" w:type="dxa"/>
          </w:tcPr>
          <w:p w:rsidR="00F45884" w:rsidRPr="00DD5B13" w:rsidRDefault="00F45884" w:rsidP="00004AAF">
            <w:pPr>
              <w:spacing w:line="228" w:lineRule="auto"/>
              <w:rPr>
                <w:sz w:val="18"/>
                <w:szCs w:val="18"/>
              </w:rPr>
            </w:pPr>
          </w:p>
        </w:tc>
        <w:tc>
          <w:tcPr>
            <w:tcW w:w="445" w:type="dxa"/>
          </w:tcPr>
          <w:p w:rsidR="00F45884" w:rsidRPr="00DD5B13" w:rsidRDefault="00F45884" w:rsidP="00004AAF">
            <w:pPr>
              <w:spacing w:line="228" w:lineRule="auto"/>
              <w:rPr>
                <w:sz w:val="18"/>
                <w:szCs w:val="18"/>
              </w:rPr>
            </w:pPr>
          </w:p>
        </w:tc>
        <w:tc>
          <w:tcPr>
            <w:tcW w:w="1851" w:type="dxa"/>
          </w:tcPr>
          <w:p w:rsidR="00F45884" w:rsidRPr="00DD5B13" w:rsidRDefault="00F45884" w:rsidP="00004AAF">
            <w:pPr>
              <w:spacing w:line="228" w:lineRule="auto"/>
              <w:rPr>
                <w:sz w:val="18"/>
                <w:szCs w:val="18"/>
              </w:rPr>
            </w:pPr>
          </w:p>
        </w:tc>
        <w:tc>
          <w:tcPr>
            <w:tcW w:w="1638" w:type="dxa"/>
          </w:tcPr>
          <w:p w:rsidR="00F45884" w:rsidRPr="00DD5B13" w:rsidRDefault="00F45884" w:rsidP="00004AAF">
            <w:pPr>
              <w:spacing w:line="228" w:lineRule="auto"/>
            </w:pPr>
          </w:p>
        </w:tc>
        <w:tc>
          <w:tcPr>
            <w:tcW w:w="4787"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r>
      <w:tr w:rsidR="00DD5B13" w:rsidRPr="00DD5B13" w:rsidTr="00004AAF">
        <w:tc>
          <w:tcPr>
            <w:tcW w:w="1414" w:type="dxa"/>
          </w:tcPr>
          <w:p w:rsidR="00F45884" w:rsidRPr="00DD5B13" w:rsidRDefault="00F45884" w:rsidP="00004AAF">
            <w:pPr>
              <w:spacing w:line="228" w:lineRule="auto"/>
              <w:rPr>
                <w:sz w:val="18"/>
                <w:szCs w:val="18"/>
              </w:rPr>
            </w:pPr>
          </w:p>
        </w:tc>
        <w:tc>
          <w:tcPr>
            <w:tcW w:w="445" w:type="dxa"/>
          </w:tcPr>
          <w:p w:rsidR="00F45884" w:rsidRPr="00DD5B13" w:rsidRDefault="00F45884" w:rsidP="00004AAF">
            <w:pPr>
              <w:spacing w:line="228" w:lineRule="auto"/>
              <w:rPr>
                <w:sz w:val="18"/>
                <w:szCs w:val="18"/>
              </w:rPr>
            </w:pPr>
          </w:p>
        </w:tc>
        <w:tc>
          <w:tcPr>
            <w:tcW w:w="1851" w:type="dxa"/>
          </w:tcPr>
          <w:p w:rsidR="00F45884" w:rsidRPr="00DD5B13" w:rsidRDefault="00F45884" w:rsidP="00004AAF">
            <w:pPr>
              <w:spacing w:line="228" w:lineRule="auto"/>
              <w:rPr>
                <w:sz w:val="18"/>
                <w:szCs w:val="18"/>
              </w:rPr>
            </w:pPr>
          </w:p>
        </w:tc>
        <w:tc>
          <w:tcPr>
            <w:tcW w:w="1638" w:type="dxa"/>
          </w:tcPr>
          <w:p w:rsidR="00F45884" w:rsidRPr="00DD5B13" w:rsidRDefault="00F45884" w:rsidP="00004AAF">
            <w:pPr>
              <w:spacing w:line="228" w:lineRule="auto"/>
              <w:rPr>
                <w:sz w:val="18"/>
                <w:szCs w:val="18"/>
              </w:rPr>
            </w:pPr>
          </w:p>
        </w:tc>
        <w:tc>
          <w:tcPr>
            <w:tcW w:w="4787" w:type="dxa"/>
            <w:tcBorders>
              <w:top w:val="single" w:sz="4" w:space="0" w:color="auto"/>
            </w:tcBorders>
          </w:tcPr>
          <w:p w:rsidR="00F45884" w:rsidRPr="00DD5B13" w:rsidRDefault="00F45884" w:rsidP="00004AAF">
            <w:pPr>
              <w:spacing w:line="228" w:lineRule="auto"/>
              <w:jc w:val="center"/>
              <w:rPr>
                <w:sz w:val="18"/>
                <w:szCs w:val="18"/>
              </w:rPr>
            </w:pPr>
            <w:r w:rsidRPr="00DD5B13">
              <w:rPr>
                <w:sz w:val="18"/>
                <w:szCs w:val="18"/>
              </w:rPr>
              <w:t>(місцезнаходження)</w:t>
            </w:r>
          </w:p>
        </w:tc>
      </w:tr>
    </w:tbl>
    <w:p w:rsidR="00F45884" w:rsidRPr="00DD5B13" w:rsidRDefault="00F45884" w:rsidP="00F45884">
      <w:pPr>
        <w:spacing w:line="228" w:lineRule="auto"/>
        <w:jc w:val="center"/>
        <w:rPr>
          <w:b/>
          <w:sz w:val="20"/>
          <w:szCs w:val="20"/>
        </w:rPr>
      </w:pPr>
    </w:p>
    <w:p w:rsidR="00F45884" w:rsidRPr="00DD5B13" w:rsidRDefault="00F45884" w:rsidP="00F45884">
      <w:pPr>
        <w:spacing w:line="228" w:lineRule="auto"/>
        <w:jc w:val="center"/>
        <w:outlineLvl w:val="0"/>
        <w:rPr>
          <w:b/>
        </w:rPr>
      </w:pPr>
      <w:r w:rsidRPr="00DD5B13">
        <w:rPr>
          <w:b/>
        </w:rPr>
        <w:t>ЛИСТ</w:t>
      </w:r>
    </w:p>
    <w:p w:rsidR="00F45884" w:rsidRPr="00DD5B13" w:rsidRDefault="00F45884" w:rsidP="00F45884">
      <w:pPr>
        <w:spacing w:line="228" w:lineRule="auto"/>
        <w:jc w:val="center"/>
        <w:rPr>
          <w:b/>
          <w:bdr w:val="none" w:sz="0" w:space="0" w:color="auto" w:frame="1"/>
          <w:lang w:eastAsia="uk-UA"/>
        </w:rPr>
      </w:pPr>
      <w:r w:rsidRPr="00DD5B13">
        <w:rPr>
          <w:b/>
        </w:rPr>
        <w:t xml:space="preserve">про </w:t>
      </w:r>
      <w:r w:rsidRPr="00DD5B13">
        <w:rPr>
          <w:b/>
          <w:bdr w:val="none" w:sz="0" w:space="0" w:color="auto" w:frame="1"/>
          <w:lang w:eastAsia="uk-UA"/>
        </w:rPr>
        <w:t>відкликання інкасового доручення (розпорядження)</w:t>
      </w:r>
    </w:p>
    <w:p w:rsidR="00F45884" w:rsidRPr="00DD5B13" w:rsidRDefault="00F45884" w:rsidP="00F45884">
      <w:pPr>
        <w:spacing w:line="228" w:lineRule="auto"/>
        <w:jc w:val="center"/>
        <w:rPr>
          <w:b/>
          <w:sz w:val="20"/>
          <w:szCs w:val="20"/>
        </w:rPr>
      </w:pPr>
    </w:p>
    <w:p w:rsidR="00F45884" w:rsidRPr="00DD5B13" w:rsidRDefault="00F45884" w:rsidP="00F45884">
      <w:pPr>
        <w:spacing w:line="228" w:lineRule="auto"/>
        <w:ind w:left="-364"/>
        <w:outlineLvl w:val="0"/>
        <w:rPr>
          <w:b/>
          <w:sz w:val="20"/>
          <w:szCs w:val="20"/>
        </w:rPr>
      </w:pPr>
      <w:r w:rsidRPr="00DD5B13">
        <w:rPr>
          <w:b/>
          <w:sz w:val="20"/>
          <w:szCs w:val="20"/>
        </w:rPr>
        <w:t>1. ПЕРЕЛІК ПІДСТАВ ДЛЯ ВІДКЛИКАННЯ:</w:t>
      </w:r>
      <w:r w:rsidRPr="00DD5B13">
        <w:rPr>
          <w:b/>
          <w:sz w:val="20"/>
          <w:szCs w:val="20"/>
        </w:rPr>
        <w:tab/>
      </w:r>
    </w:p>
    <w:tbl>
      <w:tblPr>
        <w:tblW w:w="1013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893"/>
        <w:gridCol w:w="5882"/>
      </w:tblGrid>
      <w:tr w:rsidR="00DD5B13" w:rsidRPr="00DD5B13" w:rsidTr="00004AAF">
        <w:trPr>
          <w:cantSplit/>
          <w:trHeight w:val="20"/>
        </w:trPr>
        <w:tc>
          <w:tcPr>
            <w:tcW w:w="360"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1</w:t>
            </w:r>
          </w:p>
        </w:tc>
        <w:tc>
          <w:tcPr>
            <w:tcW w:w="9775"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jc w:val="both"/>
              <w:rPr>
                <w:sz w:val="20"/>
                <w:szCs w:val="20"/>
              </w:rPr>
            </w:pPr>
            <w:r w:rsidRPr="00DD5B13">
              <w:rPr>
                <w:sz w:val="20"/>
                <w:szCs w:val="20"/>
              </w:rPr>
              <w:t>Пункт 11.13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w:t>
            </w:r>
          </w:p>
        </w:tc>
      </w:tr>
      <w:tr w:rsidR="00DD5B13" w:rsidRPr="00DD5B13" w:rsidTr="00004AAF">
        <w:trPr>
          <w:cantSplit/>
          <w:trHeight w:val="20"/>
        </w:trPr>
        <w:tc>
          <w:tcPr>
            <w:tcW w:w="360"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2</w:t>
            </w:r>
          </w:p>
        </w:tc>
        <w:tc>
          <w:tcPr>
            <w:tcW w:w="9775"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Законодавчі підстави, визначені у пункті 6 цього листа</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bottom w:val="single" w:sz="4" w:space="0" w:color="auto"/>
            </w:tcBorders>
          </w:tcPr>
          <w:p w:rsidR="00F45884" w:rsidRPr="00DD5B13" w:rsidRDefault="00F45884" w:rsidP="00004AAF">
            <w:pPr>
              <w:spacing w:line="228" w:lineRule="auto"/>
              <w:ind w:left="-108"/>
              <w:rPr>
                <w:sz w:val="20"/>
                <w:szCs w:val="20"/>
              </w:rPr>
            </w:pPr>
            <w:r w:rsidRPr="00DD5B13">
              <w:rPr>
                <w:b/>
                <w:sz w:val="20"/>
                <w:szCs w:val="20"/>
              </w:rPr>
              <w:t>2. ВІДОМОСТІ ПРО ІНКАСОВЕ ДОРУЧЕННЯ (РОЗПОРЯДЖЕННЯ), ЩО НАДІЙШЛО ДО БАНКУ</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Номер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Дата складання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90670C">
            <w:pPr>
              <w:spacing w:line="228" w:lineRule="auto"/>
              <w:rPr>
                <w:sz w:val="20"/>
                <w:szCs w:val="20"/>
              </w:rPr>
            </w:pPr>
            <w:r w:rsidRPr="00DD5B13">
              <w:rPr>
                <w:sz w:val="20"/>
                <w:szCs w:val="20"/>
              </w:rPr>
              <w:t>Загальна сума (цифрами та</w:t>
            </w:r>
            <w:r w:rsidR="0090670C">
              <w:rPr>
                <w:sz w:val="20"/>
                <w:szCs w:val="20"/>
              </w:rPr>
              <w:t xml:space="preserve"> словами</w:t>
            </w:r>
            <w:bookmarkStart w:id="0" w:name="_GoBack"/>
            <w:bookmarkEnd w:id="0"/>
            <w:r w:rsidRPr="007E4792">
              <w:rPr>
                <w:sz w:val="20"/>
                <w:szCs w:val="20"/>
              </w:rPr>
              <w:t xml:space="preserve">)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bottom w:val="single" w:sz="4" w:space="0" w:color="auto"/>
            </w:tcBorders>
          </w:tcPr>
          <w:p w:rsidR="00F45884" w:rsidRPr="00DD5B13" w:rsidRDefault="00F45884" w:rsidP="00004AAF">
            <w:pPr>
              <w:spacing w:line="228" w:lineRule="auto"/>
              <w:rPr>
                <w:sz w:val="20"/>
                <w:szCs w:val="20"/>
              </w:rPr>
            </w:pPr>
            <w:r w:rsidRPr="00DD5B13">
              <w:rPr>
                <w:b/>
                <w:sz w:val="20"/>
                <w:szCs w:val="20"/>
              </w:rPr>
              <w:t>3. ВІДМОСТІ ПРО ПЛАТНИКА</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Найменування (для юридичної особи)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Код згідно з ЄДРПОУ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bottom w:val="single" w:sz="4" w:space="0" w:color="auto"/>
            </w:tcBorders>
          </w:tcPr>
          <w:p w:rsidR="00F45884" w:rsidRPr="00DD5B13" w:rsidRDefault="00F45884" w:rsidP="00004AAF">
            <w:pPr>
              <w:spacing w:line="228" w:lineRule="auto"/>
              <w:rPr>
                <w:sz w:val="20"/>
                <w:szCs w:val="20"/>
              </w:rPr>
            </w:pPr>
            <w:r w:rsidRPr="00DD5B13">
              <w:rPr>
                <w:b/>
                <w:sz w:val="20"/>
                <w:szCs w:val="20"/>
              </w:rPr>
              <w:t>4. ВІДОМОСТІ ПРО БАНК ПЛАТНИКА</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Найменування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Місцезнаходження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 xml:space="preserve">Код  </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bottom w:val="single" w:sz="4" w:space="0" w:color="auto"/>
            </w:tcBorders>
          </w:tcPr>
          <w:p w:rsidR="00F45884" w:rsidRPr="00DD5B13" w:rsidRDefault="00F45884" w:rsidP="00004AAF">
            <w:pPr>
              <w:spacing w:line="228" w:lineRule="auto"/>
              <w:rPr>
                <w:sz w:val="20"/>
                <w:szCs w:val="20"/>
              </w:rPr>
            </w:pPr>
            <w:r w:rsidRPr="00DD5B13">
              <w:rPr>
                <w:b/>
                <w:sz w:val="20"/>
                <w:szCs w:val="20"/>
              </w:rPr>
              <w:t>5. ВІДОМОСТІ ПРО РАХУНОК ПЛАТНИКА</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4253" w:type="dxa"/>
            <w:gridSpan w:val="2"/>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r w:rsidRPr="00DD5B13">
              <w:rPr>
                <w:sz w:val="20"/>
                <w:szCs w:val="20"/>
              </w:rPr>
              <w:t>Номер рахунку</w:t>
            </w:r>
          </w:p>
        </w:tc>
        <w:tc>
          <w:tcPr>
            <w:tcW w:w="5882" w:type="dxa"/>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rPr>
                <w:sz w:val="20"/>
                <w:szCs w:val="20"/>
              </w:rPr>
            </w:pP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bottom w:val="single" w:sz="4" w:space="0" w:color="auto"/>
            </w:tcBorders>
          </w:tcPr>
          <w:p w:rsidR="00F45884" w:rsidRPr="00DD5B13" w:rsidRDefault="00F45884" w:rsidP="00004AAF">
            <w:pPr>
              <w:spacing w:line="228" w:lineRule="auto"/>
              <w:rPr>
                <w:sz w:val="20"/>
                <w:szCs w:val="20"/>
              </w:rPr>
            </w:pPr>
            <w:r w:rsidRPr="00DD5B13">
              <w:rPr>
                <w:b/>
                <w:sz w:val="20"/>
                <w:szCs w:val="20"/>
              </w:rPr>
              <w:t>6. ПІДСТАВИ ПОВЕРНЕННЯ</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ind w:left="-52" w:right="-66"/>
              <w:rPr>
                <w:spacing w:val="-2"/>
                <w:sz w:val="20"/>
                <w:szCs w:val="20"/>
              </w:rPr>
            </w:pPr>
            <w:r w:rsidRPr="00DD5B13">
              <w:rPr>
                <w:spacing w:val="-2"/>
                <w:sz w:val="20"/>
                <w:szCs w:val="20"/>
              </w:rPr>
              <w:sym w:font="Wingdings" w:char="F06F"/>
            </w:r>
            <w:r w:rsidRPr="00DD5B13">
              <w:rPr>
                <w:spacing w:val="-2"/>
                <w:sz w:val="20"/>
                <w:szCs w:val="20"/>
              </w:rPr>
              <w:t xml:space="preserve"> зарахування коштів на відповідний рахунок органу, що здійснює казначейське обслуговування бюджетних коштів;</w:t>
            </w:r>
          </w:p>
          <w:p w:rsidR="00F45884" w:rsidRPr="00DD5B13" w:rsidRDefault="00F45884" w:rsidP="00004AAF">
            <w:pPr>
              <w:spacing w:line="228" w:lineRule="auto"/>
              <w:ind w:left="-52" w:right="-66"/>
              <w:rPr>
                <w:spacing w:val="-2"/>
                <w:sz w:val="20"/>
                <w:szCs w:val="20"/>
              </w:rPr>
            </w:pPr>
            <w:r w:rsidRPr="00DD5B13">
              <w:rPr>
                <w:spacing w:val="-2"/>
                <w:sz w:val="20"/>
                <w:szCs w:val="20"/>
              </w:rPr>
              <w:sym w:font="Wingdings" w:char="F06F"/>
            </w:r>
            <w:r w:rsidRPr="00DD5B13">
              <w:rPr>
                <w:spacing w:val="-2"/>
                <w:sz w:val="20"/>
                <w:szCs w:val="20"/>
              </w:rPr>
              <w:t xml:space="preserve"> інші випадки погашення податкового боргу;</w:t>
            </w:r>
          </w:p>
          <w:p w:rsidR="00F45884" w:rsidRPr="00DD5B13" w:rsidRDefault="00F45884" w:rsidP="00004AAF">
            <w:pPr>
              <w:spacing w:line="228" w:lineRule="auto"/>
              <w:ind w:left="-52" w:right="-66"/>
              <w:rPr>
                <w:spacing w:val="-2"/>
                <w:sz w:val="20"/>
                <w:szCs w:val="20"/>
              </w:rPr>
            </w:pPr>
            <w:r w:rsidRPr="00DD5B13">
              <w:rPr>
                <w:spacing w:val="-2"/>
                <w:sz w:val="20"/>
                <w:szCs w:val="20"/>
              </w:rPr>
              <w:sym w:font="Wingdings" w:char="F06F"/>
            </w:r>
            <w:r w:rsidRPr="00DD5B13">
              <w:rPr>
                <w:spacing w:val="-2"/>
                <w:sz w:val="20"/>
                <w:szCs w:val="20"/>
              </w:rPr>
              <w:t xml:space="preserve"> інші підстави, передбачені законодавством, а саме: ______________________________________________________</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0135" w:type="dxa"/>
            <w:gridSpan w:val="3"/>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ind w:left="360" w:hanging="360"/>
              <w:rPr>
                <w:b/>
                <w:sz w:val="20"/>
                <w:szCs w:val="20"/>
              </w:rPr>
            </w:pPr>
            <w:r w:rsidRPr="00DD5B13">
              <w:rPr>
                <w:b/>
                <w:sz w:val="20"/>
                <w:szCs w:val="20"/>
              </w:rPr>
              <w:t xml:space="preserve">7. ДОДАТКОВА ІНФОРМАЦІЯ </w:t>
            </w:r>
          </w:p>
        </w:tc>
      </w:tr>
      <w:tr w:rsidR="00DD5B13" w:rsidRPr="00DD5B13" w:rsidTr="00004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4"/>
        </w:trPr>
        <w:tc>
          <w:tcPr>
            <w:tcW w:w="10135" w:type="dxa"/>
            <w:gridSpan w:val="3"/>
            <w:tcBorders>
              <w:top w:val="single" w:sz="4" w:space="0" w:color="auto"/>
              <w:left w:val="single" w:sz="4" w:space="0" w:color="auto"/>
              <w:bottom w:val="single" w:sz="4" w:space="0" w:color="auto"/>
              <w:right w:val="single" w:sz="4" w:space="0" w:color="auto"/>
            </w:tcBorders>
          </w:tcPr>
          <w:p w:rsidR="00F45884" w:rsidRPr="00DD5B13" w:rsidRDefault="00F45884" w:rsidP="00004AAF">
            <w:pPr>
              <w:spacing w:line="228" w:lineRule="auto"/>
              <w:ind w:left="360" w:hanging="360"/>
              <w:rPr>
                <w:b/>
                <w:sz w:val="20"/>
                <w:szCs w:val="20"/>
              </w:rPr>
            </w:pPr>
          </w:p>
        </w:tc>
      </w:tr>
    </w:tbl>
    <w:p w:rsidR="00F45884" w:rsidRPr="00DD5B13" w:rsidRDefault="00F45884" w:rsidP="00F45884">
      <w:pPr>
        <w:pStyle w:val="a3"/>
        <w:spacing w:line="228" w:lineRule="auto"/>
        <w:ind w:left="-378" w:right="-106"/>
        <w:rPr>
          <w:b/>
          <w:i/>
          <w:sz w:val="20"/>
          <w:szCs w:val="20"/>
        </w:rPr>
      </w:pPr>
      <w:r w:rsidRPr="00DD5B13">
        <w:rPr>
          <w:b/>
          <w:i/>
          <w:sz w:val="20"/>
          <w:szCs w:val="20"/>
        </w:rPr>
        <w:t>Стягувач бере на себе відповідальність за достовірність інформації, яка міститься у листі, на підставі якого банку доручається відмінити проведення операції.</w:t>
      </w:r>
    </w:p>
    <w:p w:rsidR="00F45884" w:rsidRPr="00DD5B13" w:rsidRDefault="00F45884" w:rsidP="00F45884">
      <w:pPr>
        <w:spacing w:line="228" w:lineRule="auto"/>
        <w:rPr>
          <w:b/>
        </w:rPr>
      </w:pPr>
    </w:p>
    <w:tbl>
      <w:tblPr>
        <w:tblW w:w="10159" w:type="dxa"/>
        <w:tblInd w:w="-312" w:type="dxa"/>
        <w:tblLook w:val="04A0" w:firstRow="1" w:lastRow="0" w:firstColumn="1" w:lastColumn="0" w:noHBand="0" w:noVBand="1"/>
      </w:tblPr>
      <w:tblGrid>
        <w:gridCol w:w="5796"/>
        <w:gridCol w:w="236"/>
        <w:gridCol w:w="1595"/>
        <w:gridCol w:w="236"/>
        <w:gridCol w:w="2296"/>
      </w:tblGrid>
      <w:tr w:rsidR="00DD5B13" w:rsidRPr="00DD5B13" w:rsidTr="00004AAF">
        <w:trPr>
          <w:trHeight w:val="552"/>
        </w:trPr>
        <w:tc>
          <w:tcPr>
            <w:tcW w:w="5796" w:type="dxa"/>
            <w:tcBorders>
              <w:top w:val="nil"/>
              <w:left w:val="nil"/>
              <w:bottom w:val="nil"/>
              <w:right w:val="nil"/>
            </w:tcBorders>
            <w:shd w:val="clear" w:color="auto" w:fill="auto"/>
            <w:hideMark/>
          </w:tcPr>
          <w:p w:rsidR="00F45884" w:rsidRPr="00DD5B13" w:rsidRDefault="00F45884" w:rsidP="00640661">
            <w:pPr>
              <w:spacing w:line="228" w:lineRule="auto"/>
              <w:ind w:left="-52"/>
              <w:rPr>
                <w:b/>
                <w:bCs/>
              </w:rPr>
            </w:pPr>
            <w:r w:rsidRPr="00DD5B13">
              <w:rPr>
                <w:b/>
              </w:rPr>
              <w:t>Керівник (його заступник</w:t>
            </w:r>
            <w:r w:rsidR="00640661" w:rsidRPr="00DD5B13">
              <w:rPr>
                <w:b/>
              </w:rPr>
              <w:t>,</w:t>
            </w:r>
            <w:r w:rsidRPr="00DD5B13">
              <w:rPr>
                <w:b/>
              </w:rPr>
              <w:t xml:space="preserve"> або </w:t>
            </w:r>
            <w:r w:rsidRPr="00DD5B13">
              <w:rPr>
                <w:b/>
              </w:rPr>
              <w:br/>
              <w:t>уповноважена особа) стягувача</w:t>
            </w:r>
          </w:p>
        </w:tc>
        <w:tc>
          <w:tcPr>
            <w:tcW w:w="236" w:type="dxa"/>
            <w:tcBorders>
              <w:top w:val="nil"/>
              <w:left w:val="nil"/>
              <w:right w:val="nil"/>
            </w:tcBorders>
          </w:tcPr>
          <w:p w:rsidR="00F45884" w:rsidRPr="00DD5B13" w:rsidRDefault="00F45884" w:rsidP="00004AAF">
            <w:pPr>
              <w:spacing w:line="228" w:lineRule="auto"/>
            </w:pPr>
          </w:p>
        </w:tc>
        <w:tc>
          <w:tcPr>
            <w:tcW w:w="1595" w:type="dxa"/>
            <w:tcBorders>
              <w:top w:val="nil"/>
              <w:left w:val="nil"/>
              <w:right w:val="nil"/>
            </w:tcBorders>
            <w:shd w:val="clear" w:color="auto" w:fill="auto"/>
            <w:noWrap/>
            <w:hideMark/>
          </w:tcPr>
          <w:p w:rsidR="00F45884" w:rsidRPr="00DD5B13" w:rsidRDefault="00F45884" w:rsidP="00004AAF">
            <w:pPr>
              <w:spacing w:line="228" w:lineRule="auto"/>
            </w:pPr>
          </w:p>
        </w:tc>
        <w:tc>
          <w:tcPr>
            <w:tcW w:w="236" w:type="dxa"/>
            <w:tcBorders>
              <w:top w:val="nil"/>
              <w:left w:val="nil"/>
              <w:right w:val="nil"/>
            </w:tcBorders>
          </w:tcPr>
          <w:p w:rsidR="00F45884" w:rsidRPr="00DD5B13" w:rsidRDefault="00F45884" w:rsidP="00004AAF">
            <w:pPr>
              <w:spacing w:line="228" w:lineRule="auto"/>
            </w:pPr>
          </w:p>
        </w:tc>
        <w:tc>
          <w:tcPr>
            <w:tcW w:w="2296" w:type="dxa"/>
            <w:tcBorders>
              <w:top w:val="nil"/>
              <w:left w:val="nil"/>
              <w:right w:val="nil"/>
            </w:tcBorders>
            <w:shd w:val="clear" w:color="auto" w:fill="auto"/>
            <w:noWrap/>
            <w:hideMark/>
          </w:tcPr>
          <w:p w:rsidR="00F45884" w:rsidRPr="00DD5B13" w:rsidRDefault="00F45884" w:rsidP="00004AAF">
            <w:pPr>
              <w:spacing w:line="228" w:lineRule="auto"/>
              <w:rPr>
                <w:lang w:val="ru-RU"/>
              </w:rPr>
            </w:pP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jc w:val="center"/>
              <w:rPr>
                <w:sz w:val="16"/>
                <w:szCs w:val="16"/>
              </w:rPr>
            </w:pPr>
          </w:p>
        </w:tc>
        <w:tc>
          <w:tcPr>
            <w:tcW w:w="236" w:type="dxa"/>
            <w:tcBorders>
              <w:top w:val="nil"/>
              <w:left w:val="nil"/>
              <w:bottom w:val="nil"/>
              <w:right w:val="nil"/>
            </w:tcBorders>
          </w:tcPr>
          <w:p w:rsidR="00F45884" w:rsidRPr="00DD5B13" w:rsidRDefault="00F45884" w:rsidP="00004AAF">
            <w:pPr>
              <w:spacing w:line="228" w:lineRule="auto"/>
              <w:jc w:val="center"/>
              <w:rPr>
                <w:sz w:val="16"/>
                <w:szCs w:val="16"/>
              </w:rPr>
            </w:pPr>
          </w:p>
        </w:tc>
        <w:tc>
          <w:tcPr>
            <w:tcW w:w="1595"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(підпис)</w:t>
            </w:r>
          </w:p>
        </w:tc>
        <w:tc>
          <w:tcPr>
            <w:tcW w:w="236" w:type="dxa"/>
            <w:tcBorders>
              <w:top w:val="nil"/>
              <w:left w:val="nil"/>
              <w:right w:val="nil"/>
            </w:tcBorders>
          </w:tcPr>
          <w:p w:rsidR="00F45884" w:rsidRPr="00DD5B13" w:rsidRDefault="00F45884" w:rsidP="00004AAF">
            <w:pPr>
              <w:spacing w:line="228" w:lineRule="auto"/>
              <w:jc w:val="center"/>
              <w:rPr>
                <w:sz w:val="16"/>
                <w:szCs w:val="16"/>
              </w:rPr>
            </w:pPr>
          </w:p>
        </w:tc>
        <w:tc>
          <w:tcPr>
            <w:tcW w:w="2296"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(П.І.Б.)</w:t>
            </w: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jc w:val="center"/>
              <w:rPr>
                <w:sz w:val="20"/>
                <w:szCs w:val="20"/>
              </w:rPr>
            </w:pPr>
          </w:p>
        </w:tc>
        <w:tc>
          <w:tcPr>
            <w:tcW w:w="236" w:type="dxa"/>
            <w:tcBorders>
              <w:top w:val="nil"/>
              <w:left w:val="nil"/>
              <w:bottom w:val="nil"/>
              <w:right w:val="nil"/>
            </w:tcBorders>
          </w:tcPr>
          <w:p w:rsidR="00F45884" w:rsidRPr="00DD5B13" w:rsidRDefault="00F45884" w:rsidP="00004AAF">
            <w:pPr>
              <w:spacing w:line="228" w:lineRule="auto"/>
              <w:jc w:val="center"/>
              <w:rPr>
                <w:sz w:val="20"/>
                <w:szCs w:val="20"/>
              </w:rPr>
            </w:pPr>
          </w:p>
        </w:tc>
        <w:tc>
          <w:tcPr>
            <w:tcW w:w="1595" w:type="dxa"/>
            <w:tcBorders>
              <w:left w:val="nil"/>
              <w:right w:val="nil"/>
            </w:tcBorders>
            <w:shd w:val="clear" w:color="auto" w:fill="auto"/>
            <w:noWrap/>
            <w:hideMark/>
          </w:tcPr>
          <w:p w:rsidR="00F45884" w:rsidRPr="00DD5B13" w:rsidRDefault="00F45884" w:rsidP="00004AAF">
            <w:pPr>
              <w:spacing w:line="228" w:lineRule="auto"/>
              <w:jc w:val="center"/>
              <w:rPr>
                <w:sz w:val="20"/>
                <w:szCs w:val="20"/>
              </w:rPr>
            </w:pPr>
          </w:p>
        </w:tc>
        <w:tc>
          <w:tcPr>
            <w:tcW w:w="236" w:type="dxa"/>
            <w:tcBorders>
              <w:left w:val="nil"/>
              <w:right w:val="nil"/>
            </w:tcBorders>
          </w:tcPr>
          <w:p w:rsidR="00F45884" w:rsidRPr="00DD5B13" w:rsidRDefault="00F45884" w:rsidP="00004AAF">
            <w:pPr>
              <w:spacing w:line="228" w:lineRule="auto"/>
              <w:jc w:val="center"/>
              <w:rPr>
                <w:sz w:val="20"/>
                <w:szCs w:val="20"/>
              </w:rPr>
            </w:pPr>
          </w:p>
        </w:tc>
        <w:tc>
          <w:tcPr>
            <w:tcW w:w="2296" w:type="dxa"/>
            <w:tcBorders>
              <w:left w:val="nil"/>
              <w:right w:val="nil"/>
            </w:tcBorders>
            <w:shd w:val="clear" w:color="auto" w:fill="auto"/>
            <w:noWrap/>
            <w:hideMark/>
          </w:tcPr>
          <w:p w:rsidR="00F45884" w:rsidRPr="00DD5B13" w:rsidRDefault="00F45884" w:rsidP="00004AAF">
            <w:pPr>
              <w:spacing w:line="228" w:lineRule="auto"/>
              <w:jc w:val="center"/>
              <w:rPr>
                <w:sz w:val="20"/>
                <w:szCs w:val="20"/>
              </w:rPr>
            </w:pP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pPr>
            <w:r w:rsidRPr="00DD5B13">
              <w:rPr>
                <w:b/>
              </w:rPr>
              <w:t>Головний бухгалтер стягувача</w:t>
            </w:r>
          </w:p>
        </w:tc>
        <w:tc>
          <w:tcPr>
            <w:tcW w:w="236" w:type="dxa"/>
            <w:tcBorders>
              <w:top w:val="nil"/>
              <w:left w:val="nil"/>
              <w:bottom w:val="nil"/>
              <w:right w:val="nil"/>
            </w:tcBorders>
          </w:tcPr>
          <w:p w:rsidR="00F45884" w:rsidRPr="00DD5B13" w:rsidRDefault="00F45884" w:rsidP="00004AAF">
            <w:pPr>
              <w:spacing w:line="228" w:lineRule="auto"/>
              <w:jc w:val="center"/>
              <w:rPr>
                <w:sz w:val="20"/>
                <w:szCs w:val="20"/>
              </w:rPr>
            </w:pPr>
          </w:p>
        </w:tc>
        <w:tc>
          <w:tcPr>
            <w:tcW w:w="1595" w:type="dxa"/>
            <w:tcBorders>
              <w:left w:val="nil"/>
              <w:bottom w:val="single" w:sz="4" w:space="0" w:color="auto"/>
              <w:right w:val="nil"/>
            </w:tcBorders>
            <w:shd w:val="clear" w:color="auto" w:fill="auto"/>
            <w:noWrap/>
            <w:hideMark/>
          </w:tcPr>
          <w:p w:rsidR="00F45884" w:rsidRPr="00DD5B13" w:rsidRDefault="00F45884" w:rsidP="00004AAF">
            <w:pPr>
              <w:spacing w:line="228" w:lineRule="auto"/>
            </w:pPr>
          </w:p>
        </w:tc>
        <w:tc>
          <w:tcPr>
            <w:tcW w:w="236" w:type="dxa"/>
            <w:tcBorders>
              <w:left w:val="nil"/>
              <w:right w:val="nil"/>
            </w:tcBorders>
          </w:tcPr>
          <w:p w:rsidR="00F45884" w:rsidRPr="00DD5B13" w:rsidRDefault="00F45884" w:rsidP="00004AAF">
            <w:pPr>
              <w:spacing w:line="228" w:lineRule="auto"/>
            </w:pPr>
          </w:p>
        </w:tc>
        <w:tc>
          <w:tcPr>
            <w:tcW w:w="2296" w:type="dxa"/>
            <w:tcBorders>
              <w:left w:val="nil"/>
              <w:bottom w:val="single" w:sz="4" w:space="0" w:color="auto"/>
              <w:right w:val="nil"/>
            </w:tcBorders>
            <w:shd w:val="clear" w:color="auto" w:fill="auto"/>
            <w:noWrap/>
            <w:hideMark/>
          </w:tcPr>
          <w:p w:rsidR="00F45884" w:rsidRPr="00DD5B13" w:rsidRDefault="00F45884" w:rsidP="00004AAF">
            <w:pPr>
              <w:spacing w:line="228" w:lineRule="auto"/>
              <w:rPr>
                <w:lang w:val="ru-RU"/>
              </w:rPr>
            </w:pP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jc w:val="center"/>
              <w:rPr>
                <w:sz w:val="16"/>
                <w:szCs w:val="16"/>
              </w:rPr>
            </w:pPr>
          </w:p>
        </w:tc>
        <w:tc>
          <w:tcPr>
            <w:tcW w:w="236" w:type="dxa"/>
            <w:tcBorders>
              <w:top w:val="nil"/>
              <w:left w:val="nil"/>
              <w:bottom w:val="nil"/>
              <w:right w:val="nil"/>
            </w:tcBorders>
          </w:tcPr>
          <w:p w:rsidR="00F45884" w:rsidRPr="00DD5B13" w:rsidRDefault="00F45884" w:rsidP="00004AAF">
            <w:pPr>
              <w:spacing w:line="228" w:lineRule="auto"/>
              <w:jc w:val="center"/>
              <w:rPr>
                <w:sz w:val="16"/>
                <w:szCs w:val="16"/>
              </w:rPr>
            </w:pPr>
          </w:p>
        </w:tc>
        <w:tc>
          <w:tcPr>
            <w:tcW w:w="1595"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(підпис)</w:t>
            </w:r>
          </w:p>
        </w:tc>
        <w:tc>
          <w:tcPr>
            <w:tcW w:w="236" w:type="dxa"/>
            <w:tcBorders>
              <w:left w:val="nil"/>
              <w:right w:val="nil"/>
            </w:tcBorders>
          </w:tcPr>
          <w:p w:rsidR="00F45884" w:rsidRPr="00DD5B13" w:rsidRDefault="00F45884" w:rsidP="00004AAF">
            <w:pPr>
              <w:spacing w:line="228" w:lineRule="auto"/>
              <w:jc w:val="center"/>
              <w:rPr>
                <w:sz w:val="16"/>
                <w:szCs w:val="16"/>
              </w:rPr>
            </w:pPr>
          </w:p>
        </w:tc>
        <w:tc>
          <w:tcPr>
            <w:tcW w:w="2296"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(П.І.Б.)</w:t>
            </w: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jc w:val="center"/>
              <w:rPr>
                <w:sz w:val="16"/>
                <w:szCs w:val="16"/>
              </w:rPr>
            </w:pPr>
          </w:p>
        </w:tc>
        <w:tc>
          <w:tcPr>
            <w:tcW w:w="236" w:type="dxa"/>
            <w:tcBorders>
              <w:top w:val="nil"/>
              <w:left w:val="nil"/>
              <w:bottom w:val="nil"/>
              <w:right w:val="nil"/>
            </w:tcBorders>
          </w:tcPr>
          <w:p w:rsidR="00F45884" w:rsidRPr="00DD5B13" w:rsidRDefault="00F45884" w:rsidP="00004AAF">
            <w:pPr>
              <w:spacing w:line="228" w:lineRule="auto"/>
              <w:jc w:val="center"/>
              <w:rPr>
                <w:sz w:val="16"/>
                <w:szCs w:val="16"/>
              </w:rPr>
            </w:pPr>
          </w:p>
        </w:tc>
        <w:tc>
          <w:tcPr>
            <w:tcW w:w="1595" w:type="dxa"/>
            <w:tcBorders>
              <w:left w:val="nil"/>
              <w:right w:val="nil"/>
            </w:tcBorders>
            <w:shd w:val="clear" w:color="auto" w:fill="auto"/>
            <w:noWrap/>
            <w:hideMark/>
          </w:tcPr>
          <w:p w:rsidR="00F45884" w:rsidRPr="00DD5B13" w:rsidRDefault="00F45884" w:rsidP="00004AAF">
            <w:pPr>
              <w:spacing w:line="228" w:lineRule="auto"/>
              <w:jc w:val="center"/>
              <w:rPr>
                <w:sz w:val="16"/>
                <w:szCs w:val="16"/>
              </w:rPr>
            </w:pPr>
          </w:p>
        </w:tc>
        <w:tc>
          <w:tcPr>
            <w:tcW w:w="236" w:type="dxa"/>
            <w:tcBorders>
              <w:left w:val="nil"/>
              <w:right w:val="nil"/>
            </w:tcBorders>
          </w:tcPr>
          <w:p w:rsidR="00F45884" w:rsidRPr="00DD5B13" w:rsidRDefault="00F45884" w:rsidP="00004AAF">
            <w:pPr>
              <w:spacing w:line="228" w:lineRule="auto"/>
              <w:jc w:val="center"/>
              <w:rPr>
                <w:sz w:val="16"/>
                <w:szCs w:val="16"/>
              </w:rPr>
            </w:pPr>
          </w:p>
        </w:tc>
        <w:tc>
          <w:tcPr>
            <w:tcW w:w="2296" w:type="dxa"/>
            <w:tcBorders>
              <w:left w:val="nil"/>
              <w:right w:val="nil"/>
            </w:tcBorders>
            <w:shd w:val="clear" w:color="auto" w:fill="auto"/>
            <w:noWrap/>
            <w:hideMark/>
          </w:tcPr>
          <w:p w:rsidR="00F45884" w:rsidRPr="00DD5B13" w:rsidRDefault="00F45884" w:rsidP="00004AAF">
            <w:pPr>
              <w:spacing w:line="228" w:lineRule="auto"/>
              <w:jc w:val="center"/>
              <w:rPr>
                <w:sz w:val="16"/>
                <w:szCs w:val="16"/>
              </w:rPr>
            </w:pPr>
          </w:p>
        </w:tc>
      </w:tr>
      <w:tr w:rsidR="00DD5B13" w:rsidRPr="00DD5B13" w:rsidTr="00004AAF">
        <w:trPr>
          <w:trHeight w:val="77"/>
        </w:trPr>
        <w:tc>
          <w:tcPr>
            <w:tcW w:w="5796" w:type="dxa"/>
            <w:tcBorders>
              <w:top w:val="nil"/>
              <w:left w:val="nil"/>
              <w:bottom w:val="nil"/>
              <w:right w:val="nil"/>
            </w:tcBorders>
            <w:shd w:val="clear" w:color="auto" w:fill="auto"/>
            <w:noWrap/>
            <w:hideMark/>
          </w:tcPr>
          <w:p w:rsidR="00F45884" w:rsidRPr="00DD5B13" w:rsidRDefault="00F45884" w:rsidP="00004AAF">
            <w:pPr>
              <w:spacing w:line="228" w:lineRule="auto"/>
              <w:ind w:left="-52"/>
              <w:jc w:val="center"/>
              <w:rPr>
                <w:sz w:val="16"/>
                <w:szCs w:val="16"/>
              </w:rPr>
            </w:pPr>
          </w:p>
        </w:tc>
        <w:tc>
          <w:tcPr>
            <w:tcW w:w="236" w:type="dxa"/>
            <w:tcBorders>
              <w:top w:val="nil"/>
              <w:left w:val="nil"/>
              <w:bottom w:val="nil"/>
              <w:right w:val="nil"/>
            </w:tcBorders>
          </w:tcPr>
          <w:p w:rsidR="00F45884" w:rsidRPr="00DD5B13" w:rsidRDefault="00F45884" w:rsidP="00004AAF">
            <w:pPr>
              <w:spacing w:line="228" w:lineRule="auto"/>
              <w:jc w:val="center"/>
              <w:rPr>
                <w:sz w:val="16"/>
                <w:szCs w:val="16"/>
              </w:rPr>
            </w:pPr>
          </w:p>
        </w:tc>
        <w:tc>
          <w:tcPr>
            <w:tcW w:w="1595" w:type="dxa"/>
            <w:tcBorders>
              <w:left w:val="nil"/>
              <w:bottom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М.П.</w:t>
            </w:r>
          </w:p>
        </w:tc>
        <w:tc>
          <w:tcPr>
            <w:tcW w:w="236" w:type="dxa"/>
            <w:tcBorders>
              <w:left w:val="nil"/>
              <w:bottom w:val="nil"/>
              <w:right w:val="nil"/>
            </w:tcBorders>
          </w:tcPr>
          <w:p w:rsidR="00F45884" w:rsidRPr="00DD5B13" w:rsidRDefault="00F45884" w:rsidP="00004AAF">
            <w:pPr>
              <w:spacing w:line="228" w:lineRule="auto"/>
              <w:jc w:val="center"/>
              <w:rPr>
                <w:sz w:val="16"/>
                <w:szCs w:val="16"/>
              </w:rPr>
            </w:pPr>
          </w:p>
        </w:tc>
        <w:tc>
          <w:tcPr>
            <w:tcW w:w="2296" w:type="dxa"/>
            <w:tcBorders>
              <w:left w:val="nil"/>
              <w:bottom w:val="nil"/>
              <w:right w:val="nil"/>
            </w:tcBorders>
            <w:shd w:val="clear" w:color="auto" w:fill="auto"/>
            <w:noWrap/>
            <w:hideMark/>
          </w:tcPr>
          <w:p w:rsidR="00F45884" w:rsidRPr="00DD5B13" w:rsidRDefault="00F45884" w:rsidP="00004AAF">
            <w:pPr>
              <w:spacing w:line="228" w:lineRule="auto"/>
              <w:jc w:val="center"/>
              <w:rPr>
                <w:sz w:val="16"/>
                <w:szCs w:val="16"/>
              </w:rPr>
            </w:pPr>
          </w:p>
        </w:tc>
      </w:tr>
    </w:tbl>
    <w:p w:rsidR="00F45884" w:rsidRPr="00DD5B13" w:rsidRDefault="00F45884" w:rsidP="00F45884">
      <w:pPr>
        <w:spacing w:line="228" w:lineRule="auto"/>
        <w:rPr>
          <w:b/>
          <w:sz w:val="18"/>
          <w:szCs w:val="18"/>
        </w:rPr>
      </w:pPr>
    </w:p>
    <w:p w:rsidR="00F45884" w:rsidRPr="00DD5B13" w:rsidRDefault="00F45884" w:rsidP="00F45884">
      <w:pPr>
        <w:shd w:val="clear" w:color="auto" w:fill="FFFFFF"/>
        <w:spacing w:line="228" w:lineRule="auto"/>
        <w:jc w:val="center"/>
        <w:outlineLvl w:val="0"/>
        <w:rPr>
          <w:b/>
          <w:sz w:val="18"/>
          <w:szCs w:val="18"/>
        </w:rPr>
      </w:pPr>
      <w:r w:rsidRPr="00DD5B13">
        <w:rPr>
          <w:b/>
          <w:sz w:val="18"/>
          <w:szCs w:val="18"/>
        </w:rPr>
        <w:t>ВІДМІТКИ БАНКУ</w:t>
      </w:r>
    </w:p>
    <w:tbl>
      <w:tblPr>
        <w:tblW w:w="10203" w:type="dxa"/>
        <w:tblInd w:w="-312" w:type="dxa"/>
        <w:tblLook w:val="04A0" w:firstRow="1" w:lastRow="0" w:firstColumn="1" w:lastColumn="0" w:noHBand="0" w:noVBand="1"/>
      </w:tblPr>
      <w:tblGrid>
        <w:gridCol w:w="2338"/>
        <w:gridCol w:w="448"/>
        <w:gridCol w:w="1806"/>
        <w:gridCol w:w="868"/>
        <w:gridCol w:w="2341"/>
        <w:gridCol w:w="529"/>
        <w:gridCol w:w="1873"/>
      </w:tblGrid>
      <w:tr w:rsidR="00DD5B13" w:rsidRPr="00DD5B13" w:rsidTr="00004AAF">
        <w:tc>
          <w:tcPr>
            <w:tcW w:w="2338"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c>
          <w:tcPr>
            <w:tcW w:w="448" w:type="dxa"/>
          </w:tcPr>
          <w:p w:rsidR="00F45884" w:rsidRPr="00DD5B13" w:rsidRDefault="00F45884" w:rsidP="00004AAF">
            <w:pPr>
              <w:spacing w:line="228" w:lineRule="auto"/>
            </w:pPr>
            <w:r w:rsidRPr="00DD5B13">
              <w:t>№</w:t>
            </w:r>
          </w:p>
        </w:tc>
        <w:tc>
          <w:tcPr>
            <w:tcW w:w="1806"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c>
          <w:tcPr>
            <w:tcW w:w="868" w:type="dxa"/>
          </w:tcPr>
          <w:p w:rsidR="00F45884" w:rsidRPr="00DD5B13" w:rsidRDefault="00F45884" w:rsidP="00004AAF">
            <w:pPr>
              <w:pStyle w:val="10"/>
              <w:keepNext/>
              <w:keepLines/>
              <w:shd w:val="clear" w:color="auto" w:fill="auto"/>
              <w:spacing w:line="228" w:lineRule="auto"/>
              <w:ind w:left="-44"/>
              <w:rPr>
                <w:lang w:val="en-US"/>
              </w:rPr>
            </w:pPr>
          </w:p>
        </w:tc>
        <w:tc>
          <w:tcPr>
            <w:tcW w:w="2341"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c>
          <w:tcPr>
            <w:tcW w:w="529" w:type="dxa"/>
          </w:tcPr>
          <w:p w:rsidR="00F45884" w:rsidRPr="00DD5B13" w:rsidRDefault="00F45884" w:rsidP="00004AAF">
            <w:pPr>
              <w:spacing w:line="228" w:lineRule="auto"/>
            </w:pPr>
            <w:r w:rsidRPr="00DD5B13">
              <w:t>№</w:t>
            </w:r>
          </w:p>
        </w:tc>
        <w:tc>
          <w:tcPr>
            <w:tcW w:w="1873" w:type="dxa"/>
            <w:tcBorders>
              <w:bottom w:val="single" w:sz="4" w:space="0" w:color="auto"/>
            </w:tcBorders>
          </w:tcPr>
          <w:p w:rsidR="00F45884" w:rsidRPr="00DD5B13" w:rsidRDefault="00F45884" w:rsidP="00004AAF">
            <w:pPr>
              <w:pStyle w:val="10"/>
              <w:keepNext/>
              <w:keepLines/>
              <w:shd w:val="clear" w:color="auto" w:fill="auto"/>
              <w:spacing w:line="228" w:lineRule="auto"/>
              <w:ind w:left="-44"/>
              <w:rPr>
                <w:lang w:val="en-US"/>
              </w:rPr>
            </w:pPr>
          </w:p>
        </w:tc>
      </w:tr>
      <w:tr w:rsidR="00DD5B13" w:rsidRPr="00DD5B13" w:rsidTr="00004AAF">
        <w:tc>
          <w:tcPr>
            <w:tcW w:w="2338" w:type="dxa"/>
            <w:tcBorders>
              <w:top w:val="single" w:sz="4" w:space="0" w:color="auto"/>
            </w:tcBorders>
          </w:tcPr>
          <w:p w:rsidR="00F45884" w:rsidRPr="00DD5B13" w:rsidRDefault="00F45884" w:rsidP="00004AAF">
            <w:pPr>
              <w:spacing w:line="228" w:lineRule="auto"/>
              <w:jc w:val="center"/>
              <w:rPr>
                <w:sz w:val="18"/>
                <w:szCs w:val="18"/>
              </w:rPr>
            </w:pPr>
            <w:r w:rsidRPr="00DD5B13">
              <w:rPr>
                <w:sz w:val="18"/>
                <w:szCs w:val="18"/>
              </w:rPr>
              <w:t>(дата реєстрації листа)</w:t>
            </w:r>
          </w:p>
        </w:tc>
        <w:tc>
          <w:tcPr>
            <w:tcW w:w="448" w:type="dxa"/>
          </w:tcPr>
          <w:p w:rsidR="00F45884" w:rsidRPr="00DD5B13" w:rsidRDefault="00F45884" w:rsidP="00004AAF">
            <w:pPr>
              <w:spacing w:line="228" w:lineRule="auto"/>
              <w:rPr>
                <w:sz w:val="18"/>
                <w:szCs w:val="18"/>
              </w:rPr>
            </w:pPr>
          </w:p>
        </w:tc>
        <w:tc>
          <w:tcPr>
            <w:tcW w:w="1806" w:type="dxa"/>
            <w:tcBorders>
              <w:top w:val="single" w:sz="4" w:space="0" w:color="auto"/>
            </w:tcBorders>
          </w:tcPr>
          <w:p w:rsidR="00F45884" w:rsidRPr="00DD5B13" w:rsidRDefault="00F45884" w:rsidP="00004AAF">
            <w:pPr>
              <w:spacing w:line="228" w:lineRule="auto"/>
              <w:rPr>
                <w:sz w:val="18"/>
                <w:szCs w:val="18"/>
              </w:rPr>
            </w:pPr>
          </w:p>
        </w:tc>
        <w:tc>
          <w:tcPr>
            <w:tcW w:w="868" w:type="dxa"/>
          </w:tcPr>
          <w:p w:rsidR="00F45884" w:rsidRPr="00DD5B13" w:rsidRDefault="00F45884" w:rsidP="00004AAF">
            <w:pPr>
              <w:spacing w:line="228" w:lineRule="auto"/>
              <w:rPr>
                <w:sz w:val="18"/>
                <w:szCs w:val="18"/>
              </w:rPr>
            </w:pPr>
          </w:p>
        </w:tc>
        <w:tc>
          <w:tcPr>
            <w:tcW w:w="2341" w:type="dxa"/>
            <w:tcBorders>
              <w:top w:val="single" w:sz="4" w:space="0" w:color="auto"/>
            </w:tcBorders>
          </w:tcPr>
          <w:p w:rsidR="00F45884" w:rsidRPr="00DD5B13" w:rsidRDefault="00F45884" w:rsidP="00004AAF">
            <w:pPr>
              <w:spacing w:line="228" w:lineRule="auto"/>
              <w:jc w:val="center"/>
              <w:rPr>
                <w:sz w:val="18"/>
                <w:szCs w:val="18"/>
              </w:rPr>
            </w:pPr>
            <w:r w:rsidRPr="00DD5B13">
              <w:rPr>
                <w:sz w:val="18"/>
                <w:szCs w:val="18"/>
              </w:rPr>
              <w:t>(дата проведення операції)</w:t>
            </w:r>
          </w:p>
        </w:tc>
        <w:tc>
          <w:tcPr>
            <w:tcW w:w="529" w:type="dxa"/>
          </w:tcPr>
          <w:p w:rsidR="00F45884" w:rsidRPr="00DD5B13" w:rsidRDefault="00F45884" w:rsidP="00004AAF">
            <w:pPr>
              <w:spacing w:line="228" w:lineRule="auto"/>
              <w:rPr>
                <w:sz w:val="18"/>
                <w:szCs w:val="18"/>
              </w:rPr>
            </w:pPr>
          </w:p>
        </w:tc>
        <w:tc>
          <w:tcPr>
            <w:tcW w:w="1873" w:type="dxa"/>
            <w:tcBorders>
              <w:top w:val="single" w:sz="4" w:space="0" w:color="auto"/>
            </w:tcBorders>
          </w:tcPr>
          <w:p w:rsidR="00F45884" w:rsidRPr="00DD5B13" w:rsidRDefault="00F45884" w:rsidP="00004AAF">
            <w:pPr>
              <w:spacing w:line="228" w:lineRule="auto"/>
              <w:rPr>
                <w:sz w:val="18"/>
                <w:szCs w:val="18"/>
              </w:rPr>
            </w:pPr>
          </w:p>
        </w:tc>
      </w:tr>
    </w:tbl>
    <w:p w:rsidR="00F45884" w:rsidRPr="00DD5B13" w:rsidRDefault="00F45884" w:rsidP="00F45884">
      <w:pPr>
        <w:shd w:val="clear" w:color="auto" w:fill="FFFFFF"/>
        <w:spacing w:line="228" w:lineRule="auto"/>
        <w:jc w:val="center"/>
        <w:rPr>
          <w:b/>
          <w:sz w:val="18"/>
          <w:szCs w:val="18"/>
        </w:rPr>
      </w:pPr>
    </w:p>
    <w:tbl>
      <w:tblPr>
        <w:tblW w:w="10175" w:type="dxa"/>
        <w:tblInd w:w="-326" w:type="dxa"/>
        <w:tblLook w:val="04A0" w:firstRow="1" w:lastRow="0" w:firstColumn="1" w:lastColumn="0" w:noHBand="0" w:noVBand="1"/>
      </w:tblPr>
      <w:tblGrid>
        <w:gridCol w:w="5392"/>
        <w:gridCol w:w="656"/>
        <w:gridCol w:w="1595"/>
        <w:gridCol w:w="236"/>
        <w:gridCol w:w="2296"/>
      </w:tblGrid>
      <w:tr w:rsidR="00DD5B13" w:rsidRPr="00DD5B13" w:rsidTr="00004AAF">
        <w:trPr>
          <w:trHeight w:val="77"/>
        </w:trPr>
        <w:tc>
          <w:tcPr>
            <w:tcW w:w="5392" w:type="dxa"/>
            <w:tcBorders>
              <w:top w:val="nil"/>
              <w:left w:val="nil"/>
              <w:bottom w:val="nil"/>
              <w:right w:val="nil"/>
            </w:tcBorders>
            <w:shd w:val="clear" w:color="auto" w:fill="auto"/>
            <w:noWrap/>
            <w:hideMark/>
          </w:tcPr>
          <w:p w:rsidR="00F45884" w:rsidRPr="00DD5B13" w:rsidRDefault="00F45884" w:rsidP="00004AAF">
            <w:pPr>
              <w:spacing w:line="228" w:lineRule="auto"/>
              <w:ind w:left="-80"/>
              <w:rPr>
                <w:sz w:val="20"/>
                <w:szCs w:val="20"/>
              </w:rPr>
            </w:pPr>
            <w:r w:rsidRPr="00DD5B13">
              <w:rPr>
                <w:b/>
                <w:sz w:val="20"/>
                <w:szCs w:val="20"/>
              </w:rPr>
              <w:t>Відповідальна особа</w:t>
            </w:r>
          </w:p>
        </w:tc>
        <w:tc>
          <w:tcPr>
            <w:tcW w:w="656" w:type="dxa"/>
            <w:tcBorders>
              <w:top w:val="nil"/>
              <w:left w:val="nil"/>
              <w:bottom w:val="nil"/>
              <w:right w:val="nil"/>
            </w:tcBorders>
          </w:tcPr>
          <w:p w:rsidR="00F45884" w:rsidRPr="00DD5B13" w:rsidRDefault="00F45884" w:rsidP="00004AAF">
            <w:pPr>
              <w:spacing w:line="228" w:lineRule="auto"/>
              <w:jc w:val="center"/>
              <w:rPr>
                <w:sz w:val="20"/>
                <w:szCs w:val="20"/>
              </w:rPr>
            </w:pPr>
          </w:p>
        </w:tc>
        <w:tc>
          <w:tcPr>
            <w:tcW w:w="1595" w:type="dxa"/>
            <w:tcBorders>
              <w:left w:val="nil"/>
              <w:bottom w:val="single" w:sz="4" w:space="0" w:color="auto"/>
              <w:right w:val="nil"/>
            </w:tcBorders>
            <w:shd w:val="clear" w:color="auto" w:fill="auto"/>
            <w:noWrap/>
            <w:hideMark/>
          </w:tcPr>
          <w:p w:rsidR="00F45884" w:rsidRPr="00DD5B13" w:rsidRDefault="00F45884" w:rsidP="00004AAF">
            <w:pPr>
              <w:spacing w:line="228" w:lineRule="auto"/>
              <w:rPr>
                <w:sz w:val="20"/>
                <w:szCs w:val="20"/>
              </w:rPr>
            </w:pPr>
          </w:p>
        </w:tc>
        <w:tc>
          <w:tcPr>
            <w:tcW w:w="236" w:type="dxa"/>
            <w:tcBorders>
              <w:left w:val="nil"/>
              <w:right w:val="nil"/>
            </w:tcBorders>
          </w:tcPr>
          <w:p w:rsidR="00F45884" w:rsidRPr="00DD5B13" w:rsidRDefault="00F45884" w:rsidP="00004AAF">
            <w:pPr>
              <w:spacing w:line="228" w:lineRule="auto"/>
              <w:rPr>
                <w:sz w:val="20"/>
                <w:szCs w:val="20"/>
              </w:rPr>
            </w:pPr>
          </w:p>
        </w:tc>
        <w:tc>
          <w:tcPr>
            <w:tcW w:w="2296" w:type="dxa"/>
            <w:tcBorders>
              <w:left w:val="nil"/>
              <w:bottom w:val="single" w:sz="4" w:space="0" w:color="auto"/>
              <w:right w:val="nil"/>
            </w:tcBorders>
            <w:shd w:val="clear" w:color="auto" w:fill="auto"/>
            <w:noWrap/>
            <w:hideMark/>
          </w:tcPr>
          <w:p w:rsidR="00F45884" w:rsidRPr="00DD5B13" w:rsidRDefault="00F45884" w:rsidP="00004AAF">
            <w:pPr>
              <w:spacing w:line="228" w:lineRule="auto"/>
              <w:rPr>
                <w:sz w:val="20"/>
                <w:szCs w:val="20"/>
                <w:lang w:val="ru-RU"/>
              </w:rPr>
            </w:pPr>
          </w:p>
        </w:tc>
      </w:tr>
      <w:tr w:rsidR="00DD5B13" w:rsidRPr="00DD5B13" w:rsidTr="00004AAF">
        <w:trPr>
          <w:trHeight w:val="77"/>
        </w:trPr>
        <w:tc>
          <w:tcPr>
            <w:tcW w:w="5392" w:type="dxa"/>
            <w:tcBorders>
              <w:top w:val="nil"/>
              <w:left w:val="nil"/>
              <w:bottom w:val="nil"/>
              <w:right w:val="nil"/>
            </w:tcBorders>
            <w:shd w:val="clear" w:color="auto" w:fill="auto"/>
            <w:noWrap/>
            <w:hideMark/>
          </w:tcPr>
          <w:p w:rsidR="00F45884" w:rsidRPr="00DD5B13" w:rsidRDefault="00F45884" w:rsidP="00004AAF">
            <w:pPr>
              <w:spacing w:line="228" w:lineRule="auto"/>
              <w:ind w:left="-108"/>
              <w:jc w:val="center"/>
              <w:rPr>
                <w:sz w:val="16"/>
                <w:szCs w:val="16"/>
              </w:rPr>
            </w:pPr>
          </w:p>
        </w:tc>
        <w:tc>
          <w:tcPr>
            <w:tcW w:w="656" w:type="dxa"/>
            <w:tcBorders>
              <w:top w:val="nil"/>
              <w:left w:val="nil"/>
              <w:bottom w:val="nil"/>
              <w:right w:val="nil"/>
            </w:tcBorders>
          </w:tcPr>
          <w:p w:rsidR="00F45884" w:rsidRPr="00DD5B13" w:rsidRDefault="00F45884" w:rsidP="00004AAF">
            <w:pPr>
              <w:spacing w:line="228" w:lineRule="auto"/>
              <w:jc w:val="center"/>
              <w:rPr>
                <w:sz w:val="16"/>
                <w:szCs w:val="16"/>
              </w:rPr>
            </w:pPr>
          </w:p>
        </w:tc>
        <w:tc>
          <w:tcPr>
            <w:tcW w:w="1595"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(підпис)</w:t>
            </w:r>
          </w:p>
        </w:tc>
        <w:tc>
          <w:tcPr>
            <w:tcW w:w="236" w:type="dxa"/>
            <w:tcBorders>
              <w:left w:val="nil"/>
              <w:right w:val="nil"/>
            </w:tcBorders>
          </w:tcPr>
          <w:p w:rsidR="00F45884" w:rsidRPr="00DD5B13" w:rsidRDefault="00F45884" w:rsidP="00004AAF">
            <w:pPr>
              <w:spacing w:line="228" w:lineRule="auto"/>
              <w:jc w:val="center"/>
              <w:rPr>
                <w:sz w:val="16"/>
                <w:szCs w:val="16"/>
              </w:rPr>
            </w:pPr>
          </w:p>
        </w:tc>
        <w:tc>
          <w:tcPr>
            <w:tcW w:w="2296" w:type="dxa"/>
            <w:tcBorders>
              <w:top w:val="single" w:sz="4" w:space="0" w:color="auto"/>
              <w:left w:val="nil"/>
              <w:right w:val="nil"/>
            </w:tcBorders>
            <w:shd w:val="clear" w:color="auto" w:fill="auto"/>
            <w:noWrap/>
            <w:hideMark/>
          </w:tcPr>
          <w:p w:rsidR="00F45884" w:rsidRPr="00DD5B13" w:rsidRDefault="00F45884" w:rsidP="00004AAF">
            <w:pPr>
              <w:spacing w:line="228" w:lineRule="auto"/>
              <w:jc w:val="center"/>
              <w:rPr>
                <w:sz w:val="16"/>
                <w:szCs w:val="16"/>
              </w:rPr>
            </w:pPr>
            <w:r w:rsidRPr="00DD5B13">
              <w:rPr>
                <w:sz w:val="16"/>
                <w:szCs w:val="16"/>
              </w:rPr>
              <w:t>(П.І.Б.)</w:t>
            </w:r>
          </w:p>
        </w:tc>
      </w:tr>
    </w:tbl>
    <w:p w:rsidR="00F45884" w:rsidRPr="00DD5B13" w:rsidRDefault="00F45884" w:rsidP="00F45884">
      <w:pPr>
        <w:rPr>
          <w:sz w:val="2"/>
          <w:szCs w:val="2"/>
        </w:rPr>
      </w:pPr>
    </w:p>
    <w:p w:rsidR="00F45884" w:rsidRPr="00DD5B13" w:rsidRDefault="00F45884" w:rsidP="00F45884">
      <w:pPr>
        <w:rPr>
          <w:sz w:val="2"/>
          <w:szCs w:val="2"/>
        </w:rPr>
      </w:pPr>
    </w:p>
    <w:sectPr w:rsidR="00F45884" w:rsidRPr="00DD5B13" w:rsidSect="00640661">
      <w:pgSz w:w="11906" w:h="16838"/>
      <w:pgMar w:top="1135" w:right="62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36" w:rsidRDefault="001F2236">
      <w:r>
        <w:separator/>
      </w:r>
    </w:p>
  </w:endnote>
  <w:endnote w:type="continuationSeparator" w:id="0">
    <w:p w:rsidR="001F2236" w:rsidRDefault="001F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9">
    <w:altName w:val="Times New Roman"/>
    <w:charset w:val="CC"/>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A" w:rsidRDefault="001F223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A" w:rsidRDefault="001F223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36" w:rsidRDefault="001F2236">
      <w:r>
        <w:separator/>
      </w:r>
    </w:p>
  </w:footnote>
  <w:footnote w:type="continuationSeparator" w:id="0">
    <w:p w:rsidR="001F2236" w:rsidRDefault="001F2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9B" w:rsidRDefault="008035F5" w:rsidP="007460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2E9B" w:rsidRDefault="001F223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9B" w:rsidRDefault="008035F5" w:rsidP="000F27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670C">
      <w:rPr>
        <w:rStyle w:val="a7"/>
        <w:noProof/>
      </w:rPr>
      <w:t>2</w:t>
    </w:r>
    <w:r>
      <w:rPr>
        <w:rStyle w:val="a7"/>
      </w:rPr>
      <w:fldChar w:fldCharType="end"/>
    </w:r>
  </w:p>
  <w:p w:rsidR="00022E9B" w:rsidRPr="0082727F" w:rsidRDefault="001F2236">
    <w:pPr>
      <w:pStyle w:val="a5"/>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A" w:rsidRDefault="008035F5">
    <w:pPr>
      <w:pStyle w:val="a5"/>
      <w:jc w:val="center"/>
    </w:pPr>
    <w:r>
      <w:fldChar w:fldCharType="begin"/>
    </w:r>
    <w:r>
      <w:instrText xml:space="preserve"> PAGE   \* MERGEFORMAT </w:instrText>
    </w:r>
    <w:r>
      <w:fldChar w:fldCharType="separate"/>
    </w:r>
    <w:r w:rsidR="0090670C">
      <w:rPr>
        <w:noProof/>
      </w:rPr>
      <w:t>11</w:t>
    </w:r>
    <w:r>
      <w:fldChar w:fldCharType="end"/>
    </w:r>
  </w:p>
  <w:p w:rsidR="006920CA" w:rsidRPr="006920CA" w:rsidRDefault="001F2236">
    <w:pPr>
      <w:pStyle w:val="a5"/>
      <w:rPr>
        <w:lang w:val="uk-U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CA" w:rsidRDefault="001F22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84"/>
    <w:rsid w:val="00037CA6"/>
    <w:rsid w:val="0005693F"/>
    <w:rsid w:val="0006181E"/>
    <w:rsid w:val="00102783"/>
    <w:rsid w:val="001326B0"/>
    <w:rsid w:val="00141ABB"/>
    <w:rsid w:val="00172B57"/>
    <w:rsid w:val="001B6B3F"/>
    <w:rsid w:val="001D4614"/>
    <w:rsid w:val="001E3E2B"/>
    <w:rsid w:val="001F2236"/>
    <w:rsid w:val="00227521"/>
    <w:rsid w:val="00267A7A"/>
    <w:rsid w:val="0028321A"/>
    <w:rsid w:val="00285B72"/>
    <w:rsid w:val="00296394"/>
    <w:rsid w:val="002A4808"/>
    <w:rsid w:val="002B3DF4"/>
    <w:rsid w:val="002C060E"/>
    <w:rsid w:val="00315C28"/>
    <w:rsid w:val="00322BF4"/>
    <w:rsid w:val="00330DEB"/>
    <w:rsid w:val="00352555"/>
    <w:rsid w:val="003612D7"/>
    <w:rsid w:val="003654B5"/>
    <w:rsid w:val="003A5C81"/>
    <w:rsid w:val="003B45A9"/>
    <w:rsid w:val="004320A3"/>
    <w:rsid w:val="00477A5F"/>
    <w:rsid w:val="004C13AD"/>
    <w:rsid w:val="00520EB8"/>
    <w:rsid w:val="00545564"/>
    <w:rsid w:val="005877A7"/>
    <w:rsid w:val="00596F1E"/>
    <w:rsid w:val="005F7858"/>
    <w:rsid w:val="00600D36"/>
    <w:rsid w:val="0063640E"/>
    <w:rsid w:val="00640661"/>
    <w:rsid w:val="00640F8F"/>
    <w:rsid w:val="00695E1E"/>
    <w:rsid w:val="006E0511"/>
    <w:rsid w:val="00736B51"/>
    <w:rsid w:val="00746F16"/>
    <w:rsid w:val="00754B0E"/>
    <w:rsid w:val="007908B0"/>
    <w:rsid w:val="00795381"/>
    <w:rsid w:val="007D7D0A"/>
    <w:rsid w:val="007E4792"/>
    <w:rsid w:val="007E5ECC"/>
    <w:rsid w:val="008035F5"/>
    <w:rsid w:val="00814DC4"/>
    <w:rsid w:val="0090670C"/>
    <w:rsid w:val="00930D15"/>
    <w:rsid w:val="00933FCA"/>
    <w:rsid w:val="0093680C"/>
    <w:rsid w:val="00942107"/>
    <w:rsid w:val="00970836"/>
    <w:rsid w:val="00981F58"/>
    <w:rsid w:val="009B7931"/>
    <w:rsid w:val="009D03AC"/>
    <w:rsid w:val="009E4369"/>
    <w:rsid w:val="00A57ECD"/>
    <w:rsid w:val="00B40EEE"/>
    <w:rsid w:val="00B976CE"/>
    <w:rsid w:val="00BA1E65"/>
    <w:rsid w:val="00C424F3"/>
    <w:rsid w:val="00C80124"/>
    <w:rsid w:val="00C85A8E"/>
    <w:rsid w:val="00CA2818"/>
    <w:rsid w:val="00CC1683"/>
    <w:rsid w:val="00CE48CC"/>
    <w:rsid w:val="00D20B56"/>
    <w:rsid w:val="00D7212B"/>
    <w:rsid w:val="00DA181D"/>
    <w:rsid w:val="00DA6701"/>
    <w:rsid w:val="00DB57EF"/>
    <w:rsid w:val="00DD5B13"/>
    <w:rsid w:val="00DE2FCE"/>
    <w:rsid w:val="00E67486"/>
    <w:rsid w:val="00E8587B"/>
    <w:rsid w:val="00F45884"/>
    <w:rsid w:val="00FA6F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D9CE"/>
  <w15:docId w15:val="{D8E488A9-89F3-4EF8-89F0-AA6F6AE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5884"/>
    <w:pPr>
      <w:jc w:val="both"/>
    </w:pPr>
  </w:style>
  <w:style w:type="character" w:customStyle="1" w:styleId="a4">
    <w:name w:val="Основний текст Знак"/>
    <w:basedOn w:val="a0"/>
    <w:link w:val="a3"/>
    <w:rsid w:val="00F45884"/>
    <w:rPr>
      <w:rFonts w:ascii="Times New Roman" w:eastAsia="Times New Roman" w:hAnsi="Times New Roman" w:cs="Times New Roman"/>
      <w:sz w:val="24"/>
      <w:szCs w:val="24"/>
      <w:lang w:eastAsia="ru-RU"/>
    </w:rPr>
  </w:style>
  <w:style w:type="paragraph" w:styleId="a5">
    <w:name w:val="header"/>
    <w:basedOn w:val="a"/>
    <w:link w:val="a6"/>
    <w:uiPriority w:val="99"/>
    <w:rsid w:val="00F45884"/>
    <w:pPr>
      <w:tabs>
        <w:tab w:val="center" w:pos="4677"/>
        <w:tab w:val="right" w:pos="9355"/>
      </w:tabs>
    </w:pPr>
    <w:rPr>
      <w:lang w:val="x-none"/>
    </w:rPr>
  </w:style>
  <w:style w:type="character" w:customStyle="1" w:styleId="a6">
    <w:name w:val="Верхній колонтитул Знак"/>
    <w:basedOn w:val="a0"/>
    <w:link w:val="a5"/>
    <w:uiPriority w:val="99"/>
    <w:rsid w:val="00F45884"/>
    <w:rPr>
      <w:rFonts w:ascii="Times New Roman" w:eastAsia="Times New Roman" w:hAnsi="Times New Roman" w:cs="Times New Roman"/>
      <w:sz w:val="24"/>
      <w:szCs w:val="24"/>
      <w:lang w:val="x-none" w:eastAsia="ru-RU"/>
    </w:rPr>
  </w:style>
  <w:style w:type="character" w:styleId="a7">
    <w:name w:val="page number"/>
    <w:basedOn w:val="a0"/>
    <w:rsid w:val="00F45884"/>
  </w:style>
  <w:style w:type="paragraph" w:styleId="a8">
    <w:name w:val="footer"/>
    <w:basedOn w:val="a"/>
    <w:link w:val="a9"/>
    <w:rsid w:val="00F45884"/>
    <w:pPr>
      <w:tabs>
        <w:tab w:val="center" w:pos="4677"/>
        <w:tab w:val="right" w:pos="9355"/>
      </w:tabs>
    </w:pPr>
  </w:style>
  <w:style w:type="character" w:customStyle="1" w:styleId="a9">
    <w:name w:val="Нижній колонтитул Знак"/>
    <w:basedOn w:val="a0"/>
    <w:link w:val="a8"/>
    <w:rsid w:val="00F45884"/>
    <w:rPr>
      <w:rFonts w:ascii="Times New Roman" w:eastAsia="Times New Roman" w:hAnsi="Times New Roman" w:cs="Times New Roman"/>
      <w:sz w:val="24"/>
      <w:szCs w:val="24"/>
      <w:lang w:eastAsia="ru-RU"/>
    </w:rPr>
  </w:style>
  <w:style w:type="paragraph" w:styleId="aa">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w:basedOn w:val="a"/>
    <w:uiPriority w:val="99"/>
    <w:rsid w:val="00F45884"/>
    <w:pPr>
      <w:spacing w:before="100" w:beforeAutospacing="1" w:after="100" w:afterAutospacing="1"/>
    </w:pPr>
    <w:rPr>
      <w:lang w:val="ru-RU"/>
    </w:rPr>
  </w:style>
  <w:style w:type="paragraph" w:customStyle="1" w:styleId="1">
    <w:name w:val="Обычный (веб)1"/>
    <w:basedOn w:val="a"/>
    <w:rsid w:val="00F45884"/>
    <w:pPr>
      <w:suppressAutoHyphens/>
      <w:spacing w:before="100" w:after="100"/>
    </w:pPr>
    <w:rPr>
      <w:rFonts w:cs="font299"/>
      <w:lang w:eastAsia="ar-SA"/>
    </w:rPr>
  </w:style>
  <w:style w:type="paragraph" w:styleId="ab">
    <w:name w:val="List Paragraph"/>
    <w:basedOn w:val="a"/>
    <w:uiPriority w:val="34"/>
    <w:qFormat/>
    <w:rsid w:val="00F45884"/>
    <w:pPr>
      <w:spacing w:after="200" w:line="276" w:lineRule="auto"/>
      <w:ind w:left="720"/>
      <w:contextualSpacing/>
    </w:pPr>
    <w:rPr>
      <w:rFonts w:ascii="Calibri" w:eastAsia="Calibri" w:hAnsi="Calibri" w:cs="Calibri"/>
      <w:sz w:val="22"/>
      <w:szCs w:val="22"/>
      <w:lang w:eastAsia="en-US"/>
    </w:rPr>
  </w:style>
  <w:style w:type="character" w:customStyle="1" w:styleId="FontStyle19">
    <w:name w:val="Font Style19"/>
    <w:rsid w:val="00F45884"/>
    <w:rPr>
      <w:rFonts w:ascii="Times New Roman" w:hAnsi="Times New Roman" w:cs="Times New Roman"/>
      <w:sz w:val="26"/>
      <w:szCs w:val="26"/>
    </w:rPr>
  </w:style>
  <w:style w:type="paragraph" w:customStyle="1" w:styleId="10">
    <w:name w:val="Заголовок №1"/>
    <w:basedOn w:val="a"/>
    <w:rsid w:val="00F45884"/>
    <w:pPr>
      <w:shd w:val="clear" w:color="auto" w:fill="FFFFFF"/>
      <w:spacing w:line="317" w:lineRule="exact"/>
      <w:jc w:val="center"/>
      <w:outlineLvl w:val="0"/>
    </w:pPr>
    <w:rPr>
      <w:sz w:val="25"/>
      <w:szCs w:val="25"/>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33CA-D0E4-4929-B48E-37C127E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6A6966BB</Template>
  <TotalTime>28</TotalTime>
  <Pages>15</Pages>
  <Words>12632</Words>
  <Characters>7201</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Гаврильчик Олена Володимирівна</cp:lastModifiedBy>
  <cp:revision>4</cp:revision>
  <dcterms:created xsi:type="dcterms:W3CDTF">2019-06-03T11:29:00Z</dcterms:created>
  <dcterms:modified xsi:type="dcterms:W3CDTF">2019-06-03T11:56:00Z</dcterms:modified>
</cp:coreProperties>
</file>