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="3" w:beforeAutospacing="0" w:afterAutospacing="0"/>
        <w:rPr>
          <w:sz w:val="19"/>
          <w:szCs w:val="19"/>
        </w:rPr>
      </w:pPr>
    </w:p>
    <w:p>
      <w:pPr>
        <w:pStyle w:val="P1"/>
        <w:spacing w:before="88" w:beforeAutospacing="0" w:afterAutospacing="0"/>
      </w:pPr>
      <w:r>
        <w:rPr>
          <w:rtl w:val="0"/>
        </w:rPr>
        <w:t>ПОРІВНЯЛЬНА ТАБЛИЦЯ</w:t>
      </w:r>
    </w:p>
    <w:p>
      <w:pPr>
        <w:spacing w:before="0" w:beforeAutospacing="0" w:afterAutospacing="0"/>
        <w:ind w:firstLine="0" w:left="115" w:right="332"/>
        <w:jc w:val="center"/>
        <w:rPr>
          <w:b w:val="1"/>
          <w:sz w:val="28"/>
          <w:szCs w:val="28"/>
        </w:rPr>
      </w:pPr>
      <w:r>
        <w:rPr>
          <w:b w:val="1"/>
          <w:sz w:val="28"/>
          <w:szCs w:val="28"/>
          <w:rtl w:val="0"/>
        </w:rPr>
        <w:t>до проекту постанови Кабінету Міністрів України</w:t>
      </w:r>
    </w:p>
    <w:p>
      <w:pPr>
        <w:pStyle w:val="P1"/>
        <w:ind w:right="334"/>
      </w:pPr>
      <w:r>
        <w:rPr>
          <w:rtl w:val="0"/>
        </w:rPr>
        <w:t>«Про внесення змін до Порядку зупинення реєстрації податкової накладної/розрахунку коригування в Єдиному реєстрі податкових накладних»</w:t>
      </w:r>
    </w:p>
    <w:p>
      <w:pPr>
        <w:spacing w:lineRule="auto" w:line="240" w:before="0" w:after="1" w:beforeAutospacing="0" w:afterAutospacing="0"/>
        <w:rPr>
          <w:b w:val="1"/>
          <w:sz w:val="28"/>
          <w:szCs w:val="28"/>
        </w:rPr>
      </w:pPr>
    </w:p>
    <w:tbl>
      <w:tblPr>
        <w:tblStyle w:val="T2"/>
        <w:tblW w:w="14340" w:type="dxa"/>
        <w:jc w:val="left"/>
        <w:tblInd w:w="247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Look w:val="0000"/>
      </w:tblPr>
      <w:tblGrid/>
      <w:tr>
        <w:trPr>
          <w:trHeight w:hRule="atLeast" w:val="321"/>
        </w:trPr>
        <w:tc>
          <w:tcPr>
            <w:tcW w:w="7393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302" w:before="0" w:after="0" w:beforeAutospacing="0" w:afterAutospacing="0"/>
              <w:ind w:hanging="106" w:left="1489" w:right="1475"/>
              <w:jc w:val="center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Зміст положення акта законодавства</w:t>
            </w:r>
          </w:p>
        </w:tc>
        <w:tc>
          <w:tcPr>
            <w:tcW w:w="6947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302" w:before="0" w:after="0" w:beforeAutospacing="0" w:afterAutospacing="0"/>
              <w:ind w:hanging="107" w:left="834" w:right="820"/>
              <w:jc w:val="center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Зміст відповідного положення проекту акту</w:t>
            </w:r>
          </w:p>
        </w:tc>
      </w:tr>
      <w:tr>
        <w:trPr>
          <w:trHeight w:hRule="atLeast" w:val="643"/>
        </w:trPr>
        <w:tc>
          <w:tcPr>
            <w:tcW w:w="143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hanging="2540" w:left="4534" w:right="1941"/>
              <w:jc w:val="left"/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ПОРЯДОК зупинення реєстрації податкової накладної / розрахунку коригування в Єдиному реєстрі податкових накладних</w:t>
            </w:r>
          </w:p>
        </w:tc>
      </w:tr>
      <w:tr>
        <w:trPr>
          <w:trHeight w:hRule="atLeast" w:val="3185"/>
        </w:trPr>
        <w:tc>
          <w:tcPr>
            <w:tcW w:w="7393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firstLine="587" w:left="107" w:right="90"/>
              <w:jc w:val="both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3. </w:t>
            </w:r>
            <w:hyperlink xmlns:r="http://schemas.openxmlformats.org/officeDocument/2006/relationships" r:id="R2">
              <w:r>
                <w:rPr>
                  <w:rFonts w:ascii="Times New Roman" w:hAnsi="Times New Roman"/>
                  <w:b w:val="0"/>
                  <w:i w:val="0"/>
                  <w:smallCaps w:val="0"/>
                  <w:color w:val="000000"/>
                  <w:sz w:val="24"/>
                  <w:szCs w:val="24"/>
                  <w:u w:val="none"/>
                  <w:shd w:val="clear" w:color="auto" w:fill="auto"/>
                  <w:vertAlign w:val="baseline"/>
                  <w:rtl w:val="0"/>
                </w:rPr>
                <w:t>Податкові накла</w:t>
              </w:r>
            </w:hyperlink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дні/розрахунки коригування (крім </w:t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розрахунків коригування, складених у разі зменшення суми компенсації вартості товарів/послуг їх постачальнику</w:t>
            </w:r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, та розрахунків коригування, складених на неплатника податку), що подаються для реєстрації в Реєстрі, перевіряються щодо відповідності таким ознакам безумовної реєстрації податкової накладної/розрахунку коригування (далі - ознаки безумовної реєстрації):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150" w:after="0" w:beforeAutospacing="0" w:afterAutospacing="0"/>
              <w:ind w:hanging="107" w:left="695" w:right="0"/>
              <w:jc w:val="left"/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…</w:t>
            </w:r>
          </w:p>
        </w:tc>
        <w:tc>
          <w:tcPr>
            <w:tcW w:w="6947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firstLine="469" w:left="165" w:right="0"/>
              <w:jc w:val="both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3. </w:t>
            </w:r>
            <w:hyperlink xmlns:r="http://schemas.openxmlformats.org/officeDocument/2006/relationships" r:id="R3">
              <w:r>
                <w:rPr>
                  <w:rFonts w:ascii="Times New Roman" w:hAnsi="Times New Roman"/>
                  <w:b w:val="0"/>
                  <w:i w:val="0"/>
                  <w:smallCaps w:val="0"/>
                  <w:color w:val="000000"/>
                  <w:sz w:val="24"/>
                  <w:szCs w:val="24"/>
                  <w:u w:val="none"/>
                  <w:shd w:val="clear" w:color="auto" w:fill="auto"/>
                  <w:vertAlign w:val="baseline"/>
                  <w:rtl w:val="0"/>
                </w:rPr>
                <w:t>Податкові</w:t>
              </w:r>
            </w:hyperlink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 накладні/розрахунки  коригування (крім</w:t>
            </w:r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розрахунків коригування, складених постачальником товарів</w:t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/ послуг до податкової накладної, складеної на отримувача – платника податку, в яких передбачається зменшення суми компенсації вартості хоча б одного з товарів/послуг їх постачальнику, </w:t>
            </w:r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та розрахунків коригування, складених на неплатника податку), що подаються для реєстрації в Реєстрі, перевіряються щодо відповідності таким ознакам безумовної реєстрації податкової накладної/розрахунку коригування (далі - ознаки безумовної реєстрації):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hanging="107" w:left="694" w:right="0"/>
              <w:jc w:val="left"/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…</w:t>
            </w:r>
          </w:p>
        </w:tc>
      </w:tr>
      <w:tr>
        <w:trPr>
          <w:trHeight w:hRule="atLeast" w:val="1931"/>
        </w:trPr>
        <w:tc>
          <w:tcPr>
            <w:tcW w:w="7393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firstLine="587" w:left="107" w:right="90"/>
              <w:jc w:val="both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6. У разі коли за результатами автоматизованого моніторингу платник податку, яким складено </w:t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податкову накладну/розрахунок коригування</w:t>
            </w:r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, відповідає хоча б одному критерію ризиковості платника податку, реєстрація </w:t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таких </w:t>
            </w:r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податкової накладної/розрахунку коригування зупиняється.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hanging="107" w:left="695" w:right="0"/>
              <w:jc w:val="left"/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…</w:t>
            </w:r>
          </w:p>
        </w:tc>
        <w:tc>
          <w:tcPr>
            <w:tcW w:w="6947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firstLine="587" w:left="107" w:right="90"/>
              <w:jc w:val="both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6. У разі коли за результатами автоматизованого моніторингу платник податку, яким складено </w:t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та/або подано податкову накладну/розрахунок коригування для реєстрації в Реєстрі</w:t>
            </w:r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, відповідає хоча б одному критерію ризиковості платника податку, реєстрація </w:t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такої </w:t>
            </w:r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податкової накладної/розрахунку коригування зупиняється.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56" w:before="0" w:after="0" w:beforeAutospacing="0" w:afterAutospacing="0"/>
              <w:ind w:hanging="107" w:left="694" w:right="0"/>
              <w:jc w:val="left"/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…</w:t>
            </w:r>
          </w:p>
        </w:tc>
      </w:tr>
      <w:tr>
        <w:trPr>
          <w:trHeight w:hRule="atLeast" w:val="827"/>
        </w:trPr>
        <w:tc>
          <w:tcPr>
            <w:tcW w:w="7393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firstLine="480" w:left="108" w:right="90"/>
              <w:jc w:val="both"/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19. У разі коли до контролюючого органу надійшла податкова інформація, що свідчить про надання платником податку недостовірної інформації, в таблиці даних платника </w:t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instrText>PAGE</w:instrText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t>2</w:t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податку, яка</w:t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t xml:space="preserve"> врахована, зокрема в автоматичному режимі, комісії контролюючих органів мають право прийняти рішення про неврахування таблиці даних платника податку, яке надсилається платнику податку в порядку, визначеному статтею 42 Кодексу (додаток 7).</w:t>
            </w:r>
          </w:p>
        </w:tc>
        <w:tc>
          <w:tcPr>
            <w:tcW w:w="6947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firstLine="540" w:left="107" w:right="91"/>
              <w:jc w:val="both"/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19. </w:t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t>Комісії контролюючих органів приймають рішення про неврахування таблиці даних платника податку (додаток 7), яку враховано, зокрема, в автоматичному режимі, яке надсилається платнику податку у порядку, визначеному статтею 42 Кодексу у разі, коли: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firstLine="540" w:left="107" w:right="91"/>
              <w:jc w:val="both"/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t xml:space="preserve">стосовно платника податку прийнято рішення про відповідність критеріям ризиковості платника податку (додаток 4), визначених у пунктах 1-5 додатка </w:t>
            </w:r>
            <w:r>
              <w:rPr>
                <w:b w:val="1"/>
                <w:smallCaps w:val="0"/>
                <w:sz w:val="24"/>
                <w:szCs w:val="22"/>
                <w:rtl w:val="0"/>
                <w:cs w:val="0"/>
                <w:spacing w:val="0"/>
                <w:w w:val="100"/>
                <w:position w:val="0"/>
                <w:snapToGrid w:val="1"/>
              </w:rPr>
              <w:t>1</w:t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t xml:space="preserve"> до цього Порядку;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firstLine="540" w:left="107" w:right="91"/>
              <w:jc w:val="both"/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t>до контролюючого органу надійшла податкова інформація щодо невідповідності інформації, зазначеної в таблиці даних платника податків, видам економічної діяльності відповідно до Класифікатора видів економічної діяльності, кодам товарів згідно з УКТЗЕД та/або кодам послуг згідно з Державним класифікатором продукції та послуг, що постачаються та/або придбаваються (отримуються) платником податку, ввозяться на митну територію України, яка свідчить про надання платником податку недостовірної інформації в таблиці даних платника податку.</w:t>
            </w:r>
          </w:p>
        </w:tc>
      </w:tr>
      <w:tr>
        <w:trPr>
          <w:trHeight w:hRule="atLeast" w:val="827"/>
        </w:trPr>
        <w:tc>
          <w:tcPr>
            <w:tcW w:w="143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hanging="107" w:left="1082" w:right="597"/>
              <w:jc w:val="center"/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8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8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t>Додаток 3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hanging="107" w:left="1082" w:right="598"/>
              <w:jc w:val="center"/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8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8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t>до Порядку зупинення реєстрації податкової накладної/розрахунку коригування в Єдиному реєстрі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hanging="107" w:left="632" w:right="598"/>
              <w:jc w:val="center"/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8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8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t>податкових накладних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hanging="107" w:left="632" w:right="598"/>
              <w:jc w:val="center"/>
              <w:rPr>
                <w:rFonts w:ascii="Calibri" w:hAnsi="Calibri"/>
                <w:b w:val="0"/>
                <w:i w:val="0"/>
                <w:smallCaps w:val="0"/>
                <w:color w:val="000000"/>
                <w:sz w:val="25"/>
                <w:szCs w:val="25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8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t>КРИТЕРІЇ ризиковості здійснення операцій</w:t>
            </w:r>
          </w:p>
        </w:tc>
      </w:tr>
      <w:tr>
        <w:trPr>
          <w:trHeight w:hRule="atLeast" w:val="827"/>
        </w:trPr>
        <w:tc>
          <w:tcPr>
            <w:tcW w:w="7393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firstLine="480" w:left="108" w:right="90"/>
              <w:jc w:val="both"/>
              <w:rPr>
                <w:rFonts w:ascii="Calibri" w:hAnsi="Calibri"/>
                <w:b w:val="0"/>
                <w:i w:val="0"/>
                <w:smallCaps w:val="0"/>
                <w:color w:val="000000"/>
                <w:sz w:val="25"/>
                <w:szCs w:val="25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t xml:space="preserve">1. Відсутність товару/послуги, зазначеного/зазначеної в </w:t>
            </w:r>
            <w:hyperlink xmlns:r="http://schemas.openxmlformats.org/officeDocument/2006/relationships" r:id="R4" w:anchor="n20">
              <w:r>
                <w:rPr>
                  <w:rFonts w:ascii="Times New Roman" w:hAnsi="Times New Roman"/>
                  <w:b w:val="0"/>
                  <w:i w:val="0"/>
                  <w:smallCaps w:val="0"/>
                  <w:color w:val="000000"/>
                  <w:sz w:val="24"/>
                  <w:szCs w:val="22"/>
                  <w:u w:val="none"/>
                  <w:shd w:val="clear" w:color="auto" w:fill="auto"/>
                  <w:vertAlign w:val="baseline"/>
                  <w:rtl w:val="0"/>
                  <w:cs w:val="0"/>
                  <w:spacing w:val="0"/>
                  <w:w w:val="100"/>
                  <w:position w:val="0"/>
                  <w:snapToGrid w:val="1"/>
                </w:rPr>
                <w:t>податковій накладній</w:t>
              </w:r>
            </w:hyperlink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t>, поданій для реєстрації в Єдиному реєстрі податкових накладних (далі - Реєстр), у таблиці даних платника податку на додану вартість (далі - платник податку) як товару/послуги, що на постійній основі постачається, та обсяг постачання товару/послуги, зазначений у податковій накладній/розрахунку коригування до податкової накладної на збільшення суми податкових зобов’язань, яку/який подано для реєстрації в Реєстрі, дорівнює або перевищує величину залишку, що визначається як різниця між обсягом придбання на митній території України такого/такої товару/послуги (крім обсягу придбання товарів/послуг за операціями, які звільнені від оподаткування та підлягають оподаткуванню за нульовою ставкою) та/або ввезення на митну територію України такого товару, зазначеного з 1 січня 2017 р. в отриманих податкових накладних/розрахунках коригування, зареєстрованих у Реєстрі, і митних деклараціях, збільшеного у 1,5 раза, та обсягом постачання відповідного товару/послуги, зазначеного/зазначеної в податкових накладних/розрахунках коригування, зареєстрованих з 1 січня 2017 р. у Реєстрі</w:t>
            </w:r>
            <w:r>
              <w:rPr>
                <w:rFonts w:ascii="Times New Roman" w:hAnsi="Times New Roman"/>
                <w:b w:val="1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t>, і переважання в такому залишку (більше 50 відсотків) груп товарів (продукції), визначених ДПС та затверджених відповідним наказом, оприлюдненим на офіційному веб-сайті ДПС.</w:t>
            </w:r>
          </w:p>
        </w:tc>
        <w:tc>
          <w:tcPr>
            <w:tcW w:w="6947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firstLine="540" w:left="107" w:right="91"/>
              <w:jc w:val="both"/>
              <w:rPr>
                <w:rFonts w:ascii="Calibri" w:hAnsi="Calibri"/>
                <w:b w:val="0"/>
                <w:i w:val="0"/>
                <w:smallCaps w:val="0"/>
                <w:color w:val="000000"/>
                <w:sz w:val="25"/>
                <w:szCs w:val="25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2"/>
                <w:u w:val="none"/>
                <w:shd w:val="clear" w:color="auto" w:fill="auto"/>
                <w:vertAlign w:val="baseline"/>
                <w:rtl w:val="0"/>
                <w:cs w:val="0"/>
                <w:spacing w:val="0"/>
                <w:w w:val="100"/>
                <w:position w:val="0"/>
                <w:snapToGrid w:val="1"/>
              </w:rPr>
              <w:t>1. Відсутність товару/послуги, зазначеного/зазначеної в податковій накладній, поданій для реєстрації в Єдиному реєстрі податкових накладних (далі - Реєстр), у таблиці даних платника податку на додану вартість (далі - платник податку) як товару/послуги, що на постійній основі постачається, та обсяг постачання товару/послуги, зазначений у податковій накладній/розрахунку коригування до податкової накладної на збільшення суми податкових зобов’язань, яку/який подано для реєстрації в Реєстрі, дорівнює або перевищує величину залишку, що визначається як різниця між обсягом придбання на митній території України такого/такої товару/послуги (крім обсягу придбання товарів/послуг за операціями, які звільнені від оподаткування та підлягають оподаткуванню за нульовою ставкою) та/або ввезення на митну територію України такого товару, зазначеного з 1 січня 2017 р. в отриманих податкових накладних/розрахунках коригування, зареєстрованих у Реєстрі, і митних деклараціях, збільшеного у 1,5 раза, та обсягом постачання відповідного товару/послуги, зазначеного/зазначеної в податкових накладних/розрахунках коригування, зареєстрованих з 1 січня 2017 р. у Реєстрі.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auto"/>
        <w:spacing w:lineRule="auto" w:line="240" w:before="64" w:after="0" w:beforeAutospacing="0" w:afterAutospacing="0"/>
        <w:ind w:firstLine="0" w:left="0" w:right="0"/>
        <w:jc w:val="left"/>
        <w:rPr>
          <w:rFonts w:ascii="Calibri" w:hAnsi="Calibri"/>
          <w:b w:val="0"/>
          <w:i w:val="0"/>
          <w:smallCaps w:val="0"/>
          <w:color w:val="000000"/>
          <w:sz w:val="25"/>
          <w:szCs w:val="25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auto"/>
        <w:spacing w:lineRule="auto" w:line="240" w:before="4" w:after="1" w:beforeAutospacing="0" w:afterAutospacing="0"/>
        <w:ind w:firstLine="0" w:left="0" w:right="0"/>
        <w:jc w:val="left"/>
        <w:rPr>
          <w:rFonts w:ascii="Calibri" w:hAnsi="Calibri"/>
          <w:b w:val="0"/>
          <w:i w:val="0"/>
          <w:smallCaps w:val="0"/>
          <w:color w:val="000000"/>
          <w:sz w:val="25"/>
          <w:szCs w:val="25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auto"/>
        <w:spacing w:lineRule="auto" w:line="240" w:before="1" w:after="0" w:beforeAutospacing="0" w:afterAutospacing="0"/>
        <w:ind w:firstLine="0" w:left="0" w:right="0"/>
        <w:jc w:val="left"/>
        <w:rPr>
          <w:rFonts w:ascii="Calibri" w:hAnsi="Calibri"/>
          <w:b w:val="0"/>
          <w:i w:val="0"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</w:p>
    <w:p>
      <w:pPr>
        <w:pStyle w:val="P1"/>
        <w:tabs>
          <w:tab w:val="left" w:pos="11709" w:leader="none"/>
        </w:tabs>
        <w:spacing w:before="89" w:beforeAutospacing="0" w:afterAutospacing="0"/>
        <w:ind w:firstLine="0" w:left="160" w:right="0"/>
        <w:jc w:val="left"/>
      </w:pPr>
      <w:r>
        <w:rPr>
          <w:rtl w:val="0"/>
        </w:rPr>
        <w:t>Міністр фінансів України</w:t>
        <w:tab/>
        <w:t>Сергій МАРЧЕНКО</w:t>
      </w:r>
    </w:p>
    <w:p>
      <w:pPr>
        <w:spacing w:lineRule="auto" w:line="240" w:before="0" w:beforeAutospacing="0" w:afterAutospacing="0"/>
        <w:rPr>
          <w:b w:val="1"/>
          <w:sz w:val="24"/>
          <w:szCs w:val="24"/>
        </w:rPr>
      </w:pPr>
    </w:p>
    <w:p>
      <w:pPr>
        <w:tabs>
          <w:tab w:val="left" w:pos="929" w:leader="none"/>
          <w:tab w:val="left" w:pos="2844" w:leader="none"/>
        </w:tabs>
        <w:spacing w:before="0" w:beforeAutospacing="0" w:afterAutospacing="0"/>
        <w:ind w:firstLine="0" w:left="210" w:right="0"/>
        <w:jc w:val="left"/>
        <w:rPr>
          <w:b w:val="1"/>
          <w:sz w:val="24"/>
          <w:szCs w:val="24"/>
        </w:rPr>
      </w:pPr>
      <w:r>
        <w:rPr>
          <w:b w:val="1"/>
          <w:color w:val="333333"/>
          <w:sz w:val="24"/>
          <w:szCs w:val="24"/>
          <w:rtl w:val="0"/>
        </w:rPr>
        <w:t>«</w:t>
      </w:r>
      <w:r>
        <w:rPr>
          <w:b w:val="1"/>
          <w:color w:val="333333"/>
          <w:sz w:val="24"/>
          <w:szCs w:val="24"/>
          <w:u w:val="single"/>
          <w:rtl w:val="0"/>
        </w:rPr>
        <w:tab/>
      </w:r>
      <w:r>
        <w:rPr>
          <w:b w:val="1"/>
          <w:color w:val="333333"/>
          <w:sz w:val="24"/>
          <w:szCs w:val="24"/>
          <w:rtl w:val="0"/>
        </w:rPr>
        <w:t>»</w:t>
      </w:r>
      <w:r>
        <w:rPr>
          <w:b w:val="1"/>
          <w:color w:val="333333"/>
          <w:sz w:val="24"/>
          <w:szCs w:val="24"/>
          <w:u w:val="single"/>
          <w:rtl w:val="0"/>
        </w:rPr>
        <w:tab/>
      </w:r>
      <w:r>
        <w:rPr>
          <w:b w:val="1"/>
          <w:color w:val="333333"/>
          <w:sz w:val="24"/>
          <w:szCs w:val="24"/>
          <w:rtl w:val="0"/>
        </w:rPr>
        <w:t>2022 року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type w:val="nextPage"/>
      <w:pgSz w:w="16839" w:h="11907" w:code="9" w:orient="landscape"/>
      <w:pgMar w:left="1179" w:right="958" w:top="1100" w:bottom="1701" w:header="720" w:footer="0" w:gutter="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jc w:val="center"/>
    </w:pPr>
    <w:r>
      <mc:AlternateContent>
        <mc:Choice Requires="wps">
          <w:drawing>
            <wp:anchor xmlns:wp="http://schemas.openxmlformats.org/drawingml/2006/wordprocessingDrawing" distT="0" distB="0" distL="0" distR="0" simplePos="0" relativeHeight="1" behindDoc="1" locked="0" layoutInCell="1" allowOverlap="1">
              <wp:simplePos x="0" y="0"/>
              <wp:positionH relativeFrom="page">
                <wp:posOffset>5264785</wp:posOffset>
              </wp:positionH>
              <wp:positionV relativeFrom="page">
                <wp:posOffset>438785</wp:posOffset>
              </wp:positionV>
              <wp:extent cx="161925" cy="203835"/>
              <wp:effectExtent l="0" t="0" r="0" b="0"/>
              <wp:wrapNone/>
              <wp:docPr id="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/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>
                          <w:pPr>
                            <w:spacing w:lineRule="auto" w:line="240" w:before="10" w:after="0" w:beforeAutospacing="0" w:afterAutospacing="0"/>
                            <w:ind w:firstLine="60" w:left="60" w:right="0"/>
                            <w:jc w:val="left"/>
                          </w:pP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smallCaps w:val="0"/>
                              <w:color w:val="000000"/>
                              <w:sz w:val="24"/>
                              <w:vertAlign w:val="baseline"/>
                            </w:rPr>
                            <w:t xml:space="preserve"> PAGE #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xmlns:o="urn:schemas-microsoft-com:office:office" id="Rectangle 1" o:spid="_x0000_s1026" style="position:absolute;left:5269799;top:3682844;width:12.75pt;height:16.05pt;z-index:1;mso-wrap-distance-left:0pt;mso-wrap-distance-top:0pt;mso-wrap-distance-right:0pt;mso-wrap-distance-bottom:0pt;margin-left:414.55pt;margin-top:34.55pt;mso-position-horizontal:absolute;mso-position-horizontal-relative:page;mso-position-vertical:absolute;mso-position-vertical-relative:page" o:allowincell="t" filled="f" stroked="f">
              <v:textbox inset="0mm,0mm,0mm,0mm">
                <w:txbxContent>
                  <w:p>
                    <w:pPr>
                      <w:spacing w:lineRule="auto" w:line="240" w:before="10" w:after="0" w:beforeAutospacing="0" w:afterAutospacing="0"/>
                      <w:ind w:firstLine="60" w:left="60" w:right="0"/>
                      <w:jc w:val="left"/>
                    </w:pPr>
                    <w:r>
                      <w:rPr>
                        <w:rFonts w:ascii="Times New Roman" w:hAnsi="Times New Roman"/>
                        <w:b w:val="0"/>
                        <w:i w:val="0"/>
                        <w:smallCaps w:val="0"/>
                        <w:color w:val="000000"/>
                        <w:sz w:val="24"/>
                        <w:vertAlign w:val="baseline"/>
                      </w:rPr>
                      <w:t xml:space="preserve"> PAGE #</w:t>
                    </w:r>
                  </w:p>
                </w:txbxContent>
              </v:textbox>
            </v:rect>
          </w:pict>
        </mc:Fallback>
      </mc:AlternateContent>
    </w: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2"/>
        <w:szCs w:val="22"/>
        <w:lang w:val="uk-UA"/>
      </w:rPr>
    </w:rPrDefault>
    <w:pPrDefault>
      <w:pPr>
        <w:keepNext w:val="0"/>
        <w:keepLines w:val="0"/>
        <w:pageBreakBefore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ing 1"/>
    <w:basedOn w:val="P0"/>
    <w:next w:val="P0"/>
    <w:pPr>
      <w:ind w:left="115" w:right="332"/>
      <w:jc w:val="center"/>
    </w:pPr>
    <w:rPr>
      <w:rFonts w:ascii="Times New Roman" w:hAnsi="Times New Roman"/>
      <w:b w:val="1"/>
      <w:sz w:val="28"/>
      <w:szCs w:val="28"/>
    </w:rPr>
  </w:style>
  <w:style w:type="paragraph" w:styleId="P2">
    <w:name w:val="heading 2"/>
    <w:basedOn w:val="P0"/>
    <w:next w:val="P0"/>
    <w:pPr>
      <w:keepNext w:val="1"/>
      <w:keepLines w:val="1"/>
      <w:pageBreakBefore w:val="0"/>
      <w:spacing w:before="360" w:after="80" w:beforeAutospacing="0" w:afterAutospacing="0"/>
    </w:pPr>
    <w:rPr>
      <w:b w:val="1"/>
      <w:sz w:val="36"/>
      <w:szCs w:val="36"/>
    </w:rPr>
  </w:style>
  <w:style w:type="paragraph" w:styleId="P3">
    <w:name w:val="heading 3"/>
    <w:basedOn w:val="P0"/>
    <w:next w:val="P0"/>
    <w:pPr>
      <w:keepNext w:val="1"/>
      <w:keepLines w:val="1"/>
      <w:pageBreakBefore w:val="0"/>
      <w:spacing w:before="280" w:after="80" w:beforeAutospacing="0" w:afterAutospacing="0"/>
    </w:pPr>
    <w:rPr>
      <w:b w:val="1"/>
      <w:sz w:val="28"/>
      <w:szCs w:val="28"/>
    </w:rPr>
  </w:style>
  <w:style w:type="paragraph" w:styleId="P4">
    <w:name w:val="heading 4"/>
    <w:basedOn w:val="P0"/>
    <w:next w:val="P0"/>
    <w:pPr>
      <w:keepNext w:val="1"/>
      <w:keepLines w:val="1"/>
      <w:pageBreakBefore w:val="0"/>
      <w:spacing w:before="240" w:after="40" w:beforeAutospacing="0" w:afterAutospacing="0"/>
    </w:pPr>
    <w:rPr>
      <w:b w:val="1"/>
      <w:sz w:val="24"/>
      <w:szCs w:val="24"/>
    </w:rPr>
  </w:style>
  <w:style w:type="paragraph" w:styleId="P5">
    <w:name w:val="heading 5"/>
    <w:basedOn w:val="P0"/>
    <w:next w:val="P0"/>
    <w:pPr>
      <w:keepNext w:val="1"/>
      <w:keepLines w:val="1"/>
      <w:pageBreakBefore w:val="0"/>
      <w:spacing w:before="220" w:after="40" w:beforeAutospacing="0" w:afterAutospacing="0"/>
    </w:pPr>
    <w:rPr>
      <w:b w:val="1"/>
      <w:sz w:val="22"/>
      <w:szCs w:val="22"/>
    </w:rPr>
  </w:style>
  <w:style w:type="paragraph" w:styleId="P6">
    <w:name w:val="heading 6"/>
    <w:basedOn w:val="P0"/>
    <w:next w:val="P0"/>
    <w:pPr>
      <w:keepNext w:val="1"/>
      <w:keepLines w:val="1"/>
      <w:pageBreakBefore w:val="0"/>
      <w:spacing w:before="200" w:after="40" w:beforeAutospacing="0" w:afterAutospacing="0"/>
    </w:pPr>
    <w:rPr>
      <w:b w:val="1"/>
      <w:sz w:val="20"/>
      <w:szCs w:val="20"/>
    </w:rPr>
  </w:style>
  <w:style w:type="paragraph" w:styleId="P7">
    <w:name w:val="Title"/>
    <w:basedOn w:val="P0"/>
    <w:next w:val="P0"/>
    <w:pPr>
      <w:keepNext w:val="1"/>
      <w:keepLines w:val="1"/>
      <w:pageBreakBefore w:val="0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Normal"/>
    <w:qFormat/>
    <w:pPr/>
    <w:rPr>
      <w:rFonts w:ascii="Times New Roman" w:hAnsi="Times New Roman"/>
      <w:lang w:val="uk-UA" w:bidi="ar-SA" w:eastAsia="en-US"/>
    </w:rPr>
  </w:style>
  <w:style w:type="paragraph" w:styleId="P9">
    <w:name w:val="Body Text"/>
    <w:basedOn w:val="P8"/>
    <w:qFormat/>
    <w:pPr/>
    <w:rPr>
      <w:rFonts w:ascii="Calibri" w:hAnsi="Calibri"/>
      <w:sz w:val="18"/>
      <w:szCs w:val="18"/>
      <w:lang w:val="uk-UA" w:bidi="ar-SA" w:eastAsia="en-US"/>
    </w:rPr>
  </w:style>
  <w:style w:type="paragraph" w:styleId="P10">
    <w:name w:val="Heading 1"/>
    <w:basedOn w:val="P8"/>
    <w:qFormat/>
    <w:pPr>
      <w:ind w:left="115" w:right="332"/>
      <w:jc w:val="center"/>
      <w:outlineLvl w:val="1"/>
    </w:pPr>
    <w:rPr>
      <w:rFonts w:ascii="Times New Roman" w:hAnsi="Times New Roman"/>
      <w:b w:val="1"/>
      <w:bCs w:val="1"/>
      <w:sz w:val="28"/>
      <w:szCs w:val="28"/>
      <w:lang w:val="uk-UA" w:bidi="ar-SA" w:eastAsia="en-US"/>
    </w:rPr>
  </w:style>
  <w:style w:type="paragraph" w:styleId="P11">
    <w:name w:val="List Paragraph"/>
    <w:basedOn w:val="P8"/>
    <w:qFormat/>
    <w:pPr/>
    <w:rPr>
      <w:lang w:val="uk-UA" w:bidi="ar-SA" w:eastAsia="en-US"/>
    </w:rPr>
  </w:style>
  <w:style w:type="paragraph" w:styleId="P12">
    <w:name w:val="Table Paragraph"/>
    <w:basedOn w:val="P8"/>
    <w:qFormat/>
    <w:pPr>
      <w:ind w:left="107" w:right="90"/>
      <w:jc w:val="both"/>
    </w:pPr>
    <w:rPr>
      <w:rFonts w:ascii="Times New Roman" w:hAnsi="Times New Roman"/>
      <w:lang w:val="uk-UA" w:bidi="ar-SA" w:eastAsia="en-US"/>
    </w:rPr>
  </w:style>
  <w:style w:type="paragraph" w:styleId="P13">
    <w:name w:val="Subtitle"/>
    <w:basedOn w:val="P0"/>
    <w:next w:val="P0"/>
    <w:pPr>
      <w:keepNext w:val="1"/>
      <w:keepLines w:val="1"/>
      <w:pageBreakBefore w:val="0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"/>
    <w:basedOn w:val="T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zakon.rada.gov.ua/laws/show/z0137-16#n20" TargetMode="External" /><Relationship Id="R3" Type="http://schemas.openxmlformats.org/officeDocument/2006/relationships/hyperlink" Target="https://zakon.rada.gov.ua/laws/show/z0137-16#n20" TargetMode="External" /><Relationship Id="R4" Type="http://schemas.openxmlformats.org/officeDocument/2006/relationships/hyperlink" Target="https://zakon.rada.gov.ua/laws/show/z0137-16" TargetMode="External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qnWkyD7ISK6OZ++N6paNdk20qA==">AMUW2mU4O4faFpGWXwGeK0TTkhCANLXAgPij35XLwWOY1cTRzB7BcSLBx3sWNUP+Fb+T4wGkj2W57N/MRMeBxSjMWthfs1yjvvVYZExBmL47PO6PL9jE/IA=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Жук Маргарита Сергіївна</dc:creator>
  <dcterms:created xsi:type="dcterms:W3CDTF">2022-05-30T13:51:30Z</dcterms:created>
  <cp:lastModifiedBy>tech_user</cp:lastModifiedBy>
  <dcterms:modified xsi:type="dcterms:W3CDTF">2022-06-23T09:28:06Z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2022-05-19T00:00:00Z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2022-05-30T00:00:00Z</vt:filetime>
  </property>
</Properties>
</file>