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5A" w:rsidRPr="004E16E7" w:rsidRDefault="0077425A" w:rsidP="0077425A">
      <w:pPr>
        <w:tabs>
          <w:tab w:val="left" w:pos="5121"/>
          <w:tab w:val="center" w:pos="75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E16E7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</w:t>
      </w:r>
    </w:p>
    <w:p w:rsidR="0077425A" w:rsidRDefault="0077425A" w:rsidP="00774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bookmarkStart w:id="0" w:name="_GoBack"/>
      <w:bookmarkEnd w:id="0"/>
      <w:r w:rsidRPr="004E16E7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                  №</w:t>
      </w:r>
      <w:r w:rsidRPr="004E1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7425A" w:rsidRDefault="0077425A" w:rsidP="00774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E7">
        <w:rPr>
          <w:rFonts w:ascii="Times New Roman" w:hAnsi="Times New Roman" w:cs="Times New Roman"/>
          <w:b/>
          <w:sz w:val="28"/>
          <w:szCs w:val="28"/>
        </w:rPr>
        <w:t>«</w:t>
      </w:r>
      <w:r w:rsidRPr="00B416D5">
        <w:rPr>
          <w:rFonts w:ascii="Times New Roman" w:hAnsi="Times New Roman" w:cs="Times New Roman"/>
          <w:b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Порядку заповнення форм фінансової звітності в державному секторі</w:t>
      </w:r>
      <w:r w:rsidRPr="004E16E7">
        <w:rPr>
          <w:rFonts w:ascii="Times New Roman" w:hAnsi="Times New Roman" w:cs="Times New Roman"/>
          <w:b/>
          <w:sz w:val="28"/>
          <w:szCs w:val="28"/>
        </w:rPr>
        <w:t>»</w:t>
      </w:r>
    </w:p>
    <w:p w:rsidR="00DD2028" w:rsidRPr="004E16E7" w:rsidRDefault="00DD2028" w:rsidP="00774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7"/>
        <w:gridCol w:w="7303"/>
      </w:tblGrid>
      <w:tr w:rsidR="0077425A" w:rsidTr="005E44D6">
        <w:tc>
          <w:tcPr>
            <w:tcW w:w="7257" w:type="dxa"/>
          </w:tcPr>
          <w:p w:rsidR="0077425A" w:rsidRPr="0077425A" w:rsidRDefault="0077425A" w:rsidP="005E44D6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положення (норми) чинного </w:t>
            </w:r>
          </w:p>
          <w:p w:rsidR="0077425A" w:rsidRPr="0077425A" w:rsidRDefault="0077425A" w:rsidP="005E44D6">
            <w:pPr>
              <w:ind w:firstLine="5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303" w:type="dxa"/>
          </w:tcPr>
          <w:p w:rsidR="0077425A" w:rsidRPr="0077425A" w:rsidRDefault="0077425A" w:rsidP="005E44D6">
            <w:pPr>
              <w:ind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(норми) проекту </w:t>
            </w:r>
          </w:p>
          <w:p w:rsidR="0077425A" w:rsidRPr="0077425A" w:rsidRDefault="0077425A" w:rsidP="005E44D6">
            <w:pPr>
              <w:ind w:firstLine="5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</w:tr>
      <w:tr w:rsidR="0077425A" w:rsidTr="005E44D6">
        <w:tc>
          <w:tcPr>
            <w:tcW w:w="7257" w:type="dxa"/>
          </w:tcPr>
          <w:p w:rsidR="0077425A" w:rsidRPr="0077425A" w:rsidRDefault="0077425A" w:rsidP="005E44D6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03" w:type="dxa"/>
          </w:tcPr>
          <w:p w:rsidR="0077425A" w:rsidRPr="0077425A" w:rsidRDefault="0077425A" w:rsidP="005E44D6">
            <w:pPr>
              <w:ind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7F2E" w:rsidTr="005E44D6">
        <w:tc>
          <w:tcPr>
            <w:tcW w:w="7257" w:type="dxa"/>
          </w:tcPr>
          <w:p w:rsidR="00BC7F2E" w:rsidRPr="00BC7F2E" w:rsidRDefault="00BC7F2E" w:rsidP="005E44D6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2E">
              <w:rPr>
                <w:rFonts w:ascii="Times New Roman" w:hAnsi="Times New Roman" w:cs="Times New Roman"/>
                <w:b/>
                <w:sz w:val="28"/>
                <w:szCs w:val="28"/>
              </w:rPr>
              <w:t>I. Загальні положення</w:t>
            </w:r>
          </w:p>
        </w:tc>
        <w:tc>
          <w:tcPr>
            <w:tcW w:w="7303" w:type="dxa"/>
          </w:tcPr>
          <w:p w:rsidR="00BC7F2E" w:rsidRPr="00BC7F2E" w:rsidRDefault="00BC7F2E" w:rsidP="005E44D6">
            <w:pPr>
              <w:ind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2E">
              <w:rPr>
                <w:rFonts w:ascii="Times New Roman" w:hAnsi="Times New Roman" w:cs="Times New Roman"/>
                <w:b/>
                <w:sz w:val="28"/>
                <w:szCs w:val="28"/>
              </w:rPr>
              <w:t>I. Загальні положення</w:t>
            </w:r>
          </w:p>
        </w:tc>
      </w:tr>
      <w:tr w:rsidR="0077425A" w:rsidTr="005E44D6">
        <w:tc>
          <w:tcPr>
            <w:tcW w:w="7257" w:type="dxa"/>
          </w:tcPr>
          <w:p w:rsidR="0077425A" w:rsidRPr="0077425A" w:rsidRDefault="0077425A" w:rsidP="005E44D6">
            <w:pPr>
              <w:ind w:firstLine="596"/>
              <w:jc w:val="center"/>
              <w:rPr>
                <w:rFonts w:ascii="Times New Roman" w:hAnsi="Times New Roman" w:cs="Times New Roman"/>
              </w:rPr>
            </w:pPr>
            <w:r w:rsidRPr="0077425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03" w:type="dxa"/>
          </w:tcPr>
          <w:p w:rsidR="0077425A" w:rsidRPr="0077425A" w:rsidRDefault="0077425A" w:rsidP="005E44D6">
            <w:pPr>
              <w:ind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7425A" w:rsidTr="005E44D6">
        <w:tc>
          <w:tcPr>
            <w:tcW w:w="7257" w:type="dxa"/>
          </w:tcPr>
          <w:p w:rsidR="0077425A" w:rsidRPr="0077425A" w:rsidRDefault="0077425A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Суб’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>єкти державного сектору, створені протягом звітного періоду, фінансову звітність 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 і подають контролюючим суб’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>єктам державного сектору та органам Казначейства за місцем обслуговування в установленому законодавством порядку. У фінансовій звіт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ності таких суб’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залишки на початок звітного періоду не зазначаються.</w:t>
            </w:r>
          </w:p>
        </w:tc>
        <w:tc>
          <w:tcPr>
            <w:tcW w:w="7303" w:type="dxa"/>
          </w:tcPr>
          <w:p w:rsidR="0077425A" w:rsidRPr="0077425A" w:rsidRDefault="0077425A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Суб’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>єкти державного сектору, створені протягом звітного періоду, фінансову звітність 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ають і подають контролюючим суб’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>єктам державного сектору та органам Казначейства за місцем обслуговування в установленому законодавством порядку. У фінансовій звіт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ності таких суб’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 xml:space="preserve">єктів державного сектору залишки на початок звітного періоду </w:t>
            </w: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та показники за аналогічний період попереднього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25A">
              <w:rPr>
                <w:rFonts w:ascii="Times New Roman" w:hAnsi="Times New Roman" w:cs="Times New Roman"/>
                <w:sz w:val="28"/>
                <w:szCs w:val="28"/>
              </w:rPr>
              <w:t>не зазначаються.</w:t>
            </w:r>
          </w:p>
        </w:tc>
      </w:tr>
      <w:tr w:rsidR="0077425A" w:rsidTr="005E44D6">
        <w:tc>
          <w:tcPr>
            <w:tcW w:w="7257" w:type="dxa"/>
          </w:tcPr>
          <w:p w:rsidR="0077425A" w:rsidRPr="00D47CF3" w:rsidRDefault="00D47CF3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єкти державного сектору, які ліквідовані або припинили свою діяльність протягом звітного періоду, складають фінансову звітніст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обсязі річної і подають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єкту державного сектору, під контролем якого вони перебували, та органам Казначейства за місцем обслуговування.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фінансовій звітності таких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залишки на кінець звітного періоду не зазначаються.</w:t>
            </w:r>
          </w:p>
        </w:tc>
        <w:tc>
          <w:tcPr>
            <w:tcW w:w="7303" w:type="dxa"/>
          </w:tcPr>
          <w:p w:rsidR="0077425A" w:rsidRPr="00D47CF3" w:rsidRDefault="00D47CF3" w:rsidP="00DD2028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 xml:space="preserve">єкти державного сектору, </w:t>
            </w:r>
            <w:r w:rsidRPr="00DD2028">
              <w:rPr>
                <w:rFonts w:ascii="Times New Roman" w:hAnsi="Times New Roman" w:cs="Times New Roman"/>
                <w:sz w:val="28"/>
                <w:szCs w:val="28"/>
              </w:rPr>
              <w:t>які ліквідовані або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 xml:space="preserve"> припинили свою діяльність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протягом звітного періоду, складають фінансову звітніст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обсязі річної і подають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єкту державного сектору, під контролем якого вони перебували, та органам Казначейства за місцем обслуговування. У фінансовій зві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тності таких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залишки на кінець звітного періоду не зазначаються.</w:t>
            </w:r>
          </w:p>
        </w:tc>
      </w:tr>
      <w:tr w:rsidR="0077425A" w:rsidTr="005E44D6">
        <w:tc>
          <w:tcPr>
            <w:tcW w:w="7257" w:type="dxa"/>
          </w:tcPr>
          <w:p w:rsidR="0077425A" w:rsidRPr="00D47CF3" w:rsidRDefault="00D47CF3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єкти державного сектору у разі зміни протягом зві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тного періоду контролюючого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 xml:space="preserve">єкта державного сектору фінансову звітність складають як такі, що 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ліквідовані або припинили свою діяльність,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подають її в обсязі річної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єкту державного сектору, під контролем якого 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перебували. Контролюючому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єкту державного сектору подається фінансова звітність,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адена як для новоствореного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сектору, в установленому законодавством порядку.</w:t>
            </w:r>
          </w:p>
        </w:tc>
        <w:tc>
          <w:tcPr>
            <w:tcW w:w="7303" w:type="dxa"/>
          </w:tcPr>
          <w:p w:rsidR="0077425A" w:rsidRPr="00D47CF3" w:rsidRDefault="00D47CF3" w:rsidP="00DD2028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єкти державного сектору у разі зміни протягом зві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тного періоду контролюючого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 xml:space="preserve">єкта державного сектору фінансову звітність складають як такі, що </w:t>
            </w:r>
            <w:r w:rsidRPr="00DD2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ліквідовані або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 xml:space="preserve"> припинили свою діяльність, та подають її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бсязі річної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єкту державного сектору, під контролем якого 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перебували. Контролюючому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єкту державного сектору подається фінансова звітність,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адена як для новоствореного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сектору, в установленому законодавством порядку.</w:t>
            </w:r>
          </w:p>
        </w:tc>
      </w:tr>
      <w:tr w:rsidR="0077425A" w:rsidTr="005E44D6">
        <w:tc>
          <w:tcPr>
            <w:tcW w:w="7257" w:type="dxa"/>
          </w:tcPr>
          <w:p w:rsidR="0077425A" w:rsidRPr="00D47CF3" w:rsidRDefault="00D47CF3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інансова звітність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тору подається контролюючим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єктам державного сектору з відміткою органів Казначейства щодо відповідності аналогічним даним, відображеним у бухгалтерському обліку органів Казначейства (кожна сторінка всіх форм фінансової звітності засвідчується підписом, печаткою або штампом).</w:t>
            </w:r>
          </w:p>
        </w:tc>
        <w:tc>
          <w:tcPr>
            <w:tcW w:w="7303" w:type="dxa"/>
          </w:tcPr>
          <w:p w:rsidR="0077425A" w:rsidRPr="00D47CF3" w:rsidRDefault="00D47CF3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Фінансова звітність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тору подається контролюючим суб’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 xml:space="preserve">єктам державного сектору з відміткою органів Казначейства щодо відповідності аналогічним даним, відображеним у бухгалтерському обліку органів Казначейства </w:t>
            </w:r>
            <w:r w:rsidRPr="00D47CF3">
              <w:rPr>
                <w:rFonts w:ascii="Times New Roman" w:hAnsi="Times New Roman" w:cs="Times New Roman"/>
                <w:strike/>
                <w:sz w:val="28"/>
                <w:szCs w:val="28"/>
              </w:rPr>
              <w:t>(кожна сторінка всіх форм фінансової звітності засвідчується підписом, печаткою або штампом)</w:t>
            </w:r>
            <w:r w:rsidRPr="00D4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25A" w:rsidTr="005E44D6">
        <w:tc>
          <w:tcPr>
            <w:tcW w:w="7257" w:type="dxa"/>
          </w:tcPr>
          <w:p w:rsidR="0077425A" w:rsidRPr="0077425A" w:rsidRDefault="0077425A" w:rsidP="005E44D6">
            <w:pPr>
              <w:ind w:firstLine="5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3" w:type="dxa"/>
          </w:tcPr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Усі примірники фінансової звітності суб’єктів державного сектору, а також консолідована фінансова звітність перевіряються і візуються відповідним органом Казначейства шляхом: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накладання електронного цифрового підпису на кожну форму фінансової звітності (у разі подання звітності із застосуванням автоматизованої системи подання електронної звітності клієнтами Казначейства (далі – АС «Є-Звітність»);</w:t>
            </w:r>
          </w:p>
          <w:p w:rsidR="0077425A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засвідчення підписом, печаткою або штампом на кожній сторінці всіх форм фінансової звітності (у разі подання звітності на паперових носіях).</w:t>
            </w:r>
          </w:p>
        </w:tc>
      </w:tr>
      <w:tr w:rsidR="00D47CF3" w:rsidTr="005E44D6">
        <w:tc>
          <w:tcPr>
            <w:tcW w:w="7257" w:type="dxa"/>
          </w:tcPr>
          <w:p w:rsidR="00D47CF3" w:rsidRPr="0077425A" w:rsidRDefault="00165250" w:rsidP="005E44D6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165250">
              <w:rPr>
                <w:rFonts w:ascii="Times New Roman" w:hAnsi="Times New Roman"/>
                <w:sz w:val="28"/>
                <w:szCs w:val="28"/>
              </w:rPr>
              <w:t>Контролюючі суб’єкти державного сектору до фінансової звітності додають форми фінансов</w:t>
            </w:r>
            <w:r>
              <w:rPr>
                <w:rFonts w:ascii="Times New Roman" w:hAnsi="Times New Roman"/>
                <w:sz w:val="28"/>
                <w:szCs w:val="28"/>
              </w:rPr>
              <w:t>ої звітності контрольованих суб’</w:t>
            </w:r>
            <w:r w:rsidRPr="00165250">
              <w:rPr>
                <w:rFonts w:ascii="Times New Roman" w:hAnsi="Times New Roman"/>
                <w:sz w:val="28"/>
                <w:szCs w:val="28"/>
              </w:rPr>
              <w:t xml:space="preserve">єктів державного сектору, які </w:t>
            </w:r>
            <w:r w:rsidRPr="00165250"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територіально розміщені в інших областях, з відміткою відповідних органів Казначейства.</w:t>
            </w:r>
          </w:p>
        </w:tc>
        <w:tc>
          <w:tcPr>
            <w:tcW w:w="7303" w:type="dxa"/>
          </w:tcPr>
          <w:p w:rsidR="00D47CF3" w:rsidRPr="00165250" w:rsidRDefault="00165250" w:rsidP="005E44D6">
            <w:pPr>
              <w:ind w:firstLine="568"/>
              <w:jc w:val="both"/>
              <w:rPr>
                <w:rFonts w:ascii="Times New Roman" w:hAnsi="Times New Roman" w:cs="Times New Roman"/>
              </w:rPr>
            </w:pPr>
            <w:r w:rsidRPr="00165250">
              <w:rPr>
                <w:rFonts w:ascii="Times New Roman" w:hAnsi="Times New Roman"/>
                <w:sz w:val="28"/>
                <w:szCs w:val="28"/>
              </w:rPr>
              <w:lastRenderedPageBreak/>
              <w:t>Контролюючі суб’єкти державного сектору до фінансової звітності додають форми фінансов</w:t>
            </w:r>
            <w:r>
              <w:rPr>
                <w:rFonts w:ascii="Times New Roman" w:hAnsi="Times New Roman"/>
                <w:sz w:val="28"/>
                <w:szCs w:val="28"/>
              </w:rPr>
              <w:t>ої звітності контрольованих суб’</w:t>
            </w:r>
            <w:r w:rsidRPr="00165250">
              <w:rPr>
                <w:rFonts w:ascii="Times New Roman" w:hAnsi="Times New Roman"/>
                <w:sz w:val="28"/>
                <w:szCs w:val="28"/>
              </w:rPr>
              <w:t xml:space="preserve">єктів державного сектору, які </w:t>
            </w:r>
            <w:r w:rsidRPr="00165250"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територіально розміщені в інших областях, з відміткою відповідних органів Казначейства.</w:t>
            </w:r>
          </w:p>
        </w:tc>
      </w:tr>
      <w:tr w:rsidR="00165250" w:rsidTr="005E44D6">
        <w:tc>
          <w:tcPr>
            <w:tcW w:w="7257" w:type="dxa"/>
          </w:tcPr>
          <w:p w:rsidR="00165250" w:rsidRPr="00165250" w:rsidRDefault="00165250" w:rsidP="005E44D6">
            <w:pPr>
              <w:ind w:firstLine="5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7303" w:type="dxa"/>
          </w:tcPr>
          <w:p w:rsidR="00165250" w:rsidRPr="00165250" w:rsidRDefault="00165250" w:rsidP="005E44D6">
            <w:pPr>
              <w:ind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D47CF3" w:rsidTr="005E44D6">
        <w:tc>
          <w:tcPr>
            <w:tcW w:w="7257" w:type="dxa"/>
          </w:tcPr>
          <w:p w:rsidR="00D47CF3" w:rsidRPr="00165250" w:rsidRDefault="00165250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50">
              <w:rPr>
                <w:rFonts w:ascii="Times New Roman" w:hAnsi="Times New Roman" w:cs="Times New Roman"/>
                <w:sz w:val="28"/>
                <w:szCs w:val="28"/>
              </w:rPr>
              <w:t>12. Подання фінансової звітності супроводжується листом, в якому зазначаються перелік форм фінансової звітності, що подаються, та їх обсяг (кількість аркушів за кожною формою).</w:t>
            </w:r>
          </w:p>
        </w:tc>
        <w:tc>
          <w:tcPr>
            <w:tcW w:w="7303" w:type="dxa"/>
          </w:tcPr>
          <w:p w:rsidR="00D47CF3" w:rsidRPr="00096281" w:rsidRDefault="00165250" w:rsidP="00096281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50">
              <w:rPr>
                <w:rFonts w:ascii="Times New Roman" w:hAnsi="Times New Roman" w:cs="Times New Roman"/>
                <w:sz w:val="28"/>
                <w:szCs w:val="28"/>
              </w:rPr>
              <w:t>12. Подання фінансової звітності супроводжується листом, в якому зазначаються перелік форм фінансової звітності, що подаються, та їх обсяг (кількість аркушів за кожною формою).</w:t>
            </w:r>
            <w:r w:rsidR="00096281" w:rsidRPr="0009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281" w:rsidRPr="0009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поданні </w:t>
            </w:r>
            <w:r w:rsidR="0009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фінансової </w:t>
            </w:r>
            <w:r w:rsidR="00096281" w:rsidRPr="0009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звітності із застосуванням АС </w:t>
            </w:r>
            <w:r w:rsidR="000962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96281" w:rsidRPr="00096281">
              <w:rPr>
                <w:rFonts w:ascii="Times New Roman" w:hAnsi="Times New Roman" w:cs="Times New Roman"/>
                <w:b/>
                <w:sz w:val="28"/>
                <w:szCs w:val="28"/>
              </w:rPr>
              <w:t>Є-Звітність</w:t>
            </w:r>
            <w:r w:rsidR="000962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96281" w:rsidRPr="0009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кількість аркушів за кожною формою звітності не зазначається.</w:t>
            </w:r>
          </w:p>
        </w:tc>
      </w:tr>
      <w:tr w:rsidR="00D47CF3" w:rsidTr="005E44D6">
        <w:tc>
          <w:tcPr>
            <w:tcW w:w="7257" w:type="dxa"/>
          </w:tcPr>
          <w:p w:rsidR="00D47CF3" w:rsidRPr="00165250" w:rsidRDefault="00165250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50">
              <w:rPr>
                <w:rFonts w:ascii="Times New Roman" w:hAnsi="Times New Roman" w:cs="Times New Roman"/>
                <w:sz w:val="28"/>
                <w:szCs w:val="28"/>
              </w:rPr>
              <w:t>13. Фінансова звітність подається органам Казначейства також на електронних носіях згідно з вимогами автоматизованої системи Державної казначейської служби України.</w:t>
            </w:r>
          </w:p>
        </w:tc>
        <w:tc>
          <w:tcPr>
            <w:tcW w:w="7303" w:type="dxa"/>
          </w:tcPr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165250">
              <w:rPr>
                <w:rFonts w:ascii="Times New Roman" w:hAnsi="Times New Roman" w:cs="Times New Roman"/>
                <w:strike/>
                <w:sz w:val="28"/>
                <w:szCs w:val="28"/>
              </w:rPr>
              <w:t>Фінансова звітність подається органам Казначейства також на електронних носіях згідно з вимогами автоматизованої системи Державної казначейської служби України.</w:t>
            </w:r>
            <w:r w:rsidRPr="00165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У процесі подання звітності органам Казначейства може здійснюватися обмін документами в електронному вигляді, в тому числі електронними документами. При поданні звітності в електронному вигляді застосовуються вимоги Законів України «Про електронні документи та електронний документообіг» і «Про електронний цифровий підпис».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Форми звітності складаються та подаються із застосуванням АС «Є-Звітність».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Казначейство забезпечує розміщення на офіційному веб-сайті Казначейства інформації щодо порядку роботи в АС «Є-Звітність».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При поданні звітності до органів Казначейства АС «Є-Звітність» формує повідомлення про статус документа.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 xml:space="preserve">Підтвердженням успішної передачі звітності до </w:t>
            </w:r>
            <w:r w:rsidRPr="001652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органів Казначейства є повідомлення про статус переданого документа в АС «Є-Звітність».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У разі невдалої спроби передавання звітності в електронному вигляді до органів Казначейства АС «Є-Звітність»  формує повідомлення про неприйняття звітності. Суб’єкти державного сектору здійснюють заходи щодо повторного передавання звітності.</w:t>
            </w:r>
          </w:p>
          <w:p w:rsidR="00165250" w:rsidRPr="00165250" w:rsidRDefault="00165250" w:rsidP="005E44D6">
            <w:pPr>
              <w:ind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У разі неможливості подання звітності до АС «Є-Звітність»  через мережу Інтернет з технічних причин або в інших випадках, визначених законодавством, звітність подається до АС «Є-Звітність»  з окремо налаштованого робочого місця в органі Казначейства.</w:t>
            </w:r>
          </w:p>
          <w:p w:rsidR="00D47CF3" w:rsidRPr="00165250" w:rsidRDefault="00165250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50">
              <w:rPr>
                <w:rFonts w:ascii="Times New Roman" w:hAnsi="Times New Roman"/>
                <w:b/>
                <w:sz w:val="28"/>
                <w:szCs w:val="28"/>
              </w:rPr>
              <w:t>У разі неможливості подання звітності до АС «Є-Звітність»  в порядку, визначеному в абзацах другому та сьомому цього пункту, звітність до органів Казначейства подається на паперових носіях.</w:t>
            </w:r>
          </w:p>
        </w:tc>
      </w:tr>
      <w:tr w:rsidR="00D47CF3" w:rsidTr="005E44D6">
        <w:tc>
          <w:tcPr>
            <w:tcW w:w="7257" w:type="dxa"/>
          </w:tcPr>
          <w:p w:rsidR="00D47CF3" w:rsidRPr="00165250" w:rsidRDefault="00165250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При поданні фінансової звітності в електронному вигляді застосовуються вимоги законодавства про електронні документи та електронний документообіг.</w:t>
            </w:r>
          </w:p>
        </w:tc>
        <w:tc>
          <w:tcPr>
            <w:tcW w:w="7303" w:type="dxa"/>
          </w:tcPr>
          <w:p w:rsidR="00D47CF3" w:rsidRPr="00165250" w:rsidRDefault="00165250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5250">
              <w:rPr>
                <w:rFonts w:ascii="Times New Roman" w:hAnsi="Times New Roman" w:cs="Times New Roman"/>
                <w:strike/>
                <w:sz w:val="28"/>
                <w:szCs w:val="28"/>
              </w:rPr>
              <w:t>4. При поданні фінансової звітності в електронному вигляді застосовуються вимоги законодавства про електронні документи та електронний документообіг.</w:t>
            </w:r>
          </w:p>
        </w:tc>
      </w:tr>
      <w:tr w:rsidR="00BC7F2E" w:rsidTr="005E44D6">
        <w:tc>
          <w:tcPr>
            <w:tcW w:w="7257" w:type="dxa"/>
          </w:tcPr>
          <w:p w:rsidR="00BC7F2E" w:rsidRPr="00BC7F2E" w:rsidRDefault="00BC7F2E" w:rsidP="005E44D6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2E">
              <w:rPr>
                <w:rFonts w:ascii="Times New Roman" w:hAnsi="Times New Roman" w:cs="Times New Roman"/>
                <w:b/>
                <w:sz w:val="28"/>
                <w:szCs w:val="28"/>
              </w:rPr>
              <w:t>II. Порядок заповнення форм фінансової звітності</w:t>
            </w:r>
          </w:p>
        </w:tc>
        <w:tc>
          <w:tcPr>
            <w:tcW w:w="7303" w:type="dxa"/>
          </w:tcPr>
          <w:p w:rsidR="00BC7F2E" w:rsidRPr="00BC7F2E" w:rsidRDefault="00BC7F2E" w:rsidP="005E44D6">
            <w:pPr>
              <w:ind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2E">
              <w:rPr>
                <w:rFonts w:ascii="Times New Roman" w:hAnsi="Times New Roman" w:cs="Times New Roman"/>
                <w:b/>
                <w:sz w:val="28"/>
                <w:szCs w:val="28"/>
              </w:rPr>
              <w:t>II. Порядок заповнення форм фінансової звітності</w:t>
            </w:r>
          </w:p>
        </w:tc>
      </w:tr>
      <w:tr w:rsidR="00A86AEE" w:rsidTr="005E44D6">
        <w:tc>
          <w:tcPr>
            <w:tcW w:w="7257" w:type="dxa"/>
          </w:tcPr>
          <w:p w:rsidR="00A86AE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Заповнення форми № 1-дс «Баланс»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у такому порядку:</w:t>
            </w:r>
          </w:p>
          <w:p w:rsidR="00A86AEE" w:rsidRPr="00A86AE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03" w:type="dxa"/>
          </w:tcPr>
          <w:p w:rsid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Заповнення форми № 1-дс «Баланс»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у такому порядку:</w:t>
            </w:r>
          </w:p>
          <w:p w:rsidR="00A86AEE" w:rsidRP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86AEE" w:rsidTr="005E44D6">
        <w:tc>
          <w:tcPr>
            <w:tcW w:w="7257" w:type="dxa"/>
          </w:tcPr>
          <w:p w:rsidR="00A86AEE" w:rsidRPr="00BC7F2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Розділ II. Фінансові активи</w:t>
            </w:r>
          </w:p>
          <w:p w:rsidR="00A86AEE" w:rsidRPr="00A86AE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03" w:type="dxa"/>
          </w:tcPr>
          <w:p w:rsidR="00A86AEE" w:rsidRPr="00BC7F2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Розділ II. Фінансові активи</w:t>
            </w:r>
          </w:p>
          <w:p w:rsidR="00A86AEE" w:rsidRP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86AEE" w:rsidTr="005E44D6">
        <w:tc>
          <w:tcPr>
            <w:tcW w:w="7257" w:type="dxa"/>
          </w:tcPr>
          <w:p w:rsidR="00A86AEE" w:rsidRPr="00A86AE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статті 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фондів у національній валюті»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відображаються готівка, кошти на рахунках в органах Казначейства, в банках та 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депозити до запитання в націонал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ьній валюті. Окремо наводяться:</w:t>
            </w:r>
          </w:p>
        </w:tc>
        <w:tc>
          <w:tcPr>
            <w:tcW w:w="7303" w:type="dxa"/>
          </w:tcPr>
          <w:p w:rsidR="00A86AEE" w:rsidRP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статті 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фондів у національній валюті»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відображаються готівка, кошти на рахунках в органах Казначейства, в банках та 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депозити до запитання в націонал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ьній валюті. Окремо наводяться:</w:t>
            </w:r>
          </w:p>
        </w:tc>
      </w:tr>
      <w:tr w:rsidR="00A86AEE" w:rsidTr="005E44D6">
        <w:tc>
          <w:tcPr>
            <w:tcW w:w="7257" w:type="dxa"/>
          </w:tcPr>
          <w:p w:rsidR="00A86AEE" w:rsidRPr="00A86AE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цільових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 у національній валюті в касі» –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залишок готівки в національній валюті та грошові документи в національній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люті, що знаходяться в касі суб’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сектору;</w:t>
            </w:r>
          </w:p>
        </w:tc>
        <w:tc>
          <w:tcPr>
            <w:tcW w:w="7303" w:type="dxa"/>
          </w:tcPr>
          <w:p w:rsidR="00A86AEE" w:rsidRP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цільових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 у національній валюті в касі» –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залишок готівки в національній валюті та грошові документи в національній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люті, що знаходяться в касі суб’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сектору;</w:t>
            </w:r>
          </w:p>
        </w:tc>
      </w:tr>
      <w:tr w:rsidR="00A86AEE" w:rsidTr="005E44D6">
        <w:tc>
          <w:tcPr>
            <w:tcW w:w="7257" w:type="dxa"/>
          </w:tcPr>
          <w:p w:rsidR="00A86AEE" w:rsidRPr="00BC7F2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цільових фондів у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іональній валюті в Казначействі» –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залишок коштів на реєстраційних та інших рахунках в органах Казначейства, грошові кошти в дорозі, кошти, які надходять у тимчасове розпорядження розпорядників бюджетних коштів (державних цільових фондів) і з настанням відповідних умов підлягають поверненню або перерахуванню за призначенням;</w:t>
            </w:r>
          </w:p>
        </w:tc>
        <w:tc>
          <w:tcPr>
            <w:tcW w:w="7303" w:type="dxa"/>
          </w:tcPr>
          <w:p w:rsidR="00A86AEE" w:rsidRP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цільових фондів у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іональній валюті в Казначействі» –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залишок коштів на реєстраційних та інших рахунках в органах Казначейства, </w:t>
            </w:r>
            <w:r w:rsidRPr="00A86AEE">
              <w:rPr>
                <w:rFonts w:ascii="Times New Roman" w:hAnsi="Times New Roman" w:cs="Times New Roman"/>
                <w:strike/>
                <w:sz w:val="28"/>
                <w:szCs w:val="28"/>
              </w:rPr>
              <w:t>грошові кошти в дорозі,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кошти, які надходять у тимчасове розпорядження розпорядників бюджетних коштів (державних цільових фондів) і з настанням відповідних умов підлягають поверненню або перерахуванню за призначенням;</w:t>
            </w:r>
          </w:p>
        </w:tc>
      </w:tr>
      <w:tr w:rsidR="00A86AEE" w:rsidTr="005E44D6">
        <w:tc>
          <w:tcPr>
            <w:tcW w:w="7257" w:type="dxa"/>
          </w:tcPr>
          <w:p w:rsidR="00A86AEE" w:rsidRPr="00BC7F2E" w:rsidRDefault="00A86AEE" w:rsidP="005E44D6">
            <w:pPr>
              <w:ind w:firstLine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цільових фондів у націона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льній валюті в установах банків» –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залишок грошових коштів на поточних та інших рахунках у банку, грошові кошти в дорозі, кошти, які надходять у тимчасове розпорядження розпорядників бюджетних коштів (державних цільових фондів) і з настанням відповідних умов підлягають поверненню або перерахуванню за призначе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нням.</w:t>
            </w:r>
          </w:p>
        </w:tc>
        <w:tc>
          <w:tcPr>
            <w:tcW w:w="7303" w:type="dxa"/>
          </w:tcPr>
          <w:p w:rsidR="00A86AEE" w:rsidRPr="00A86AE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>Грошові кошти та їх еквіваленти розпорядників бюджетних коштів та державних цільових фондів у націона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льній валюті в установах банків» –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залишок грошових коштів на поточних та інших рахунках у банку, </w:t>
            </w:r>
            <w:r w:rsidRPr="00A86AEE">
              <w:rPr>
                <w:rFonts w:ascii="Times New Roman" w:hAnsi="Times New Roman" w:cs="Times New Roman"/>
                <w:strike/>
                <w:sz w:val="28"/>
                <w:szCs w:val="28"/>
              </w:rPr>
              <w:t>грошові кошти в дорозі,</w:t>
            </w:r>
            <w:r w:rsidRPr="00BC7F2E">
              <w:rPr>
                <w:rFonts w:ascii="Times New Roman" w:hAnsi="Times New Roman" w:cs="Times New Roman"/>
                <w:sz w:val="28"/>
                <w:szCs w:val="28"/>
              </w:rPr>
              <w:t xml:space="preserve"> кошти, які надходять у тимчасове розпорядження розпорядників бюджетних коштів (державних цільових фондів) і з настанням відповідних умов підлягають поверненню або перерахуванню за призначе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нням.</w:t>
            </w:r>
          </w:p>
        </w:tc>
      </w:tr>
      <w:tr w:rsidR="00A86AEE" w:rsidTr="005E44D6">
        <w:tc>
          <w:tcPr>
            <w:tcW w:w="7257" w:type="dxa"/>
          </w:tcPr>
          <w:p w:rsidR="00A86AEE" w:rsidRPr="00BC7F2E" w:rsidRDefault="00A86AEE" w:rsidP="005E44D6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:rsidR="00A86AEE" w:rsidRPr="00BC7F2E" w:rsidRDefault="00A86AEE" w:rsidP="005E44D6">
            <w:pPr>
              <w:ind w:firstLine="5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EE">
              <w:rPr>
                <w:rFonts w:ascii="Times New Roman" w:hAnsi="Times New Roman"/>
                <w:b/>
                <w:sz w:val="28"/>
                <w:szCs w:val="28"/>
              </w:rPr>
              <w:t xml:space="preserve">«Грошові кошти та їх еквіваленти розпорядників бюджетних коштів та державних цільових фондів у національній валюті в дорозі» – кошти, які </w:t>
            </w:r>
            <w:r w:rsidRPr="00A86A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перераховані в останні дні звітного періоду  на реєстраційні/поточні рахунки, але будуть зараховані в наступному звітному періоді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E44D6" w:rsidTr="005E44D6">
        <w:tc>
          <w:tcPr>
            <w:tcW w:w="7257" w:type="dxa"/>
          </w:tcPr>
          <w:p w:rsidR="005E44D6" w:rsidRPr="005E44D6" w:rsidRDefault="005E44D6" w:rsidP="005E44D6">
            <w:pPr>
              <w:ind w:firstLine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7303" w:type="dxa"/>
          </w:tcPr>
          <w:p w:rsidR="005E44D6" w:rsidRPr="005E44D6" w:rsidRDefault="005E44D6" w:rsidP="005E44D6">
            <w:pPr>
              <w:ind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D6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5E44D6" w:rsidRPr="00E81ACD" w:rsidRDefault="005E44D6" w:rsidP="005E44D6">
      <w:pPr>
        <w:rPr>
          <w:sz w:val="16"/>
          <w:szCs w:val="16"/>
        </w:rPr>
      </w:pP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5E44D6" w:rsidRPr="005E44D6" w:rsidTr="005E44D6">
        <w:tc>
          <w:tcPr>
            <w:tcW w:w="7371" w:type="dxa"/>
          </w:tcPr>
          <w:p w:rsidR="005E44D6" w:rsidRPr="005E44D6" w:rsidRDefault="005E44D6" w:rsidP="005E44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4D6">
              <w:rPr>
                <w:rFonts w:ascii="Times New Roman" w:hAnsi="Times New Roman"/>
                <w:b/>
                <w:sz w:val="28"/>
                <w:szCs w:val="28"/>
              </w:rPr>
              <w:t>Директор Департаменту</w:t>
            </w:r>
          </w:p>
          <w:p w:rsidR="005E44D6" w:rsidRPr="005E44D6" w:rsidRDefault="005E44D6" w:rsidP="005E44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4D6">
              <w:rPr>
                <w:rFonts w:ascii="Times New Roman" w:hAnsi="Times New Roman"/>
                <w:b/>
                <w:sz w:val="28"/>
                <w:szCs w:val="28"/>
              </w:rPr>
              <w:t>прогнозування доходів бюджету</w:t>
            </w:r>
          </w:p>
          <w:p w:rsidR="005E44D6" w:rsidRPr="005E44D6" w:rsidRDefault="005E44D6" w:rsidP="005E44D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E44D6">
              <w:rPr>
                <w:rFonts w:ascii="Times New Roman" w:hAnsi="Times New Roman"/>
                <w:b/>
                <w:sz w:val="28"/>
                <w:szCs w:val="28"/>
              </w:rPr>
              <w:t>та методології бухгалтерського обліку</w:t>
            </w:r>
          </w:p>
        </w:tc>
        <w:tc>
          <w:tcPr>
            <w:tcW w:w="7088" w:type="dxa"/>
          </w:tcPr>
          <w:p w:rsidR="005E44D6" w:rsidRDefault="005E44D6" w:rsidP="005E44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44D6" w:rsidRDefault="005E44D6" w:rsidP="00767C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44D6" w:rsidRPr="005E44D6" w:rsidRDefault="005E44D6" w:rsidP="00767C0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E44D6">
              <w:rPr>
                <w:rFonts w:ascii="Times New Roman" w:hAnsi="Times New Roman"/>
                <w:b/>
                <w:sz w:val="28"/>
                <w:szCs w:val="28"/>
              </w:rPr>
              <w:t>Ю. П. Романюк</w:t>
            </w:r>
          </w:p>
        </w:tc>
      </w:tr>
    </w:tbl>
    <w:p w:rsidR="005E44D6" w:rsidRDefault="005E44D6" w:rsidP="005E44D6"/>
    <w:sectPr w:rsidR="005E44D6" w:rsidSect="005E44D6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88" w:rsidRDefault="00F04E88" w:rsidP="005E44D6">
      <w:pPr>
        <w:spacing w:after="0" w:line="240" w:lineRule="auto"/>
      </w:pPr>
      <w:r>
        <w:separator/>
      </w:r>
    </w:p>
  </w:endnote>
  <w:endnote w:type="continuationSeparator" w:id="0">
    <w:p w:rsidR="00F04E88" w:rsidRDefault="00F04E88" w:rsidP="005E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88" w:rsidRDefault="00F04E88" w:rsidP="005E44D6">
      <w:pPr>
        <w:spacing w:after="0" w:line="240" w:lineRule="auto"/>
      </w:pPr>
      <w:r>
        <w:separator/>
      </w:r>
    </w:p>
  </w:footnote>
  <w:footnote w:type="continuationSeparator" w:id="0">
    <w:p w:rsidR="00F04E88" w:rsidRDefault="00F04E88" w:rsidP="005E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765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E44D6" w:rsidRPr="005E44D6" w:rsidRDefault="005E44D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44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44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44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202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E44D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E44D6" w:rsidRDefault="005E44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A"/>
    <w:rsid w:val="00096281"/>
    <w:rsid w:val="00165250"/>
    <w:rsid w:val="00207318"/>
    <w:rsid w:val="005475B4"/>
    <w:rsid w:val="005C4067"/>
    <w:rsid w:val="005E44D6"/>
    <w:rsid w:val="00611DBE"/>
    <w:rsid w:val="0077425A"/>
    <w:rsid w:val="00A13769"/>
    <w:rsid w:val="00A86AEE"/>
    <w:rsid w:val="00BC7F2E"/>
    <w:rsid w:val="00D47CF3"/>
    <w:rsid w:val="00DD2028"/>
    <w:rsid w:val="00E07BE3"/>
    <w:rsid w:val="00E81ACD"/>
    <w:rsid w:val="00F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F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44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44D6"/>
  </w:style>
  <w:style w:type="paragraph" w:styleId="a7">
    <w:name w:val="footer"/>
    <w:basedOn w:val="a"/>
    <w:link w:val="a8"/>
    <w:uiPriority w:val="99"/>
    <w:unhideWhenUsed/>
    <w:rsid w:val="005E44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4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F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44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44D6"/>
  </w:style>
  <w:style w:type="paragraph" w:styleId="a7">
    <w:name w:val="footer"/>
    <w:basedOn w:val="a"/>
    <w:link w:val="a8"/>
    <w:uiPriority w:val="99"/>
    <w:unhideWhenUsed/>
    <w:rsid w:val="005E44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6744</Words>
  <Characters>3845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tokareva</cp:lastModifiedBy>
  <cp:revision>4</cp:revision>
  <dcterms:created xsi:type="dcterms:W3CDTF">2018-07-25T07:42:00Z</dcterms:created>
  <dcterms:modified xsi:type="dcterms:W3CDTF">2018-07-26T14:04:00Z</dcterms:modified>
</cp:coreProperties>
</file>