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25C05" w:rsidRPr="002F0334" w:rsidTr="004568FC">
        <w:tc>
          <w:tcPr>
            <w:tcW w:w="4814" w:type="dxa"/>
          </w:tcPr>
          <w:p w:rsidR="00D25C05" w:rsidRPr="00936032" w:rsidRDefault="00D25C05" w:rsidP="008720B8">
            <w:pPr>
              <w:spacing w:line="276" w:lineRule="auto"/>
              <w:jc w:val="both"/>
              <w:rPr>
                <w:rStyle w:val="rvts9"/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4815" w:type="dxa"/>
          </w:tcPr>
          <w:p w:rsidR="00D25C05" w:rsidRPr="002F0334" w:rsidRDefault="00D25C05" w:rsidP="008720B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ЗАТВЕРДЖЕНО</w:t>
            </w:r>
            <w:r w:rsidRPr="002F0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Наказ Міністерства фінансів України 18 липня 2017 р</w:t>
            </w:r>
            <w:r w:rsidR="00C846E9" w:rsidRPr="002F0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оку</w:t>
            </w:r>
            <w:r w:rsidRPr="002F0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643</w:t>
            </w:r>
          </w:p>
          <w:p w:rsidR="00D25C05" w:rsidRPr="002F0334" w:rsidRDefault="00D25C05" w:rsidP="008720B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 редакції наказу Міністерства фінансів України</w:t>
            </w:r>
          </w:p>
          <w:p w:rsidR="00D25C05" w:rsidRPr="002F0334" w:rsidRDefault="00D25C05" w:rsidP="008720B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від _____________ 2019 року № ____)</w:t>
            </w:r>
          </w:p>
        </w:tc>
      </w:tr>
    </w:tbl>
    <w:p w:rsidR="00D25C05" w:rsidRPr="002F0334" w:rsidRDefault="00D25C05" w:rsidP="008720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46E9" w:rsidRPr="002F0334" w:rsidRDefault="00C846E9" w:rsidP="008720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46E9" w:rsidRPr="002F0334" w:rsidRDefault="00C846E9" w:rsidP="008720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46E9" w:rsidRPr="002F0334" w:rsidRDefault="00C846E9" w:rsidP="008720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46E9" w:rsidRPr="002F0334" w:rsidRDefault="00C846E9" w:rsidP="008720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46E9" w:rsidRPr="002F0334" w:rsidRDefault="00C846E9" w:rsidP="008720B8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D25C05" w:rsidRPr="002F0334" w:rsidRDefault="00D25C05" w:rsidP="008720B8">
      <w:pPr>
        <w:spacing w:after="1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F0334">
        <w:rPr>
          <w:rFonts w:ascii="Times New Roman" w:hAnsi="Times New Roman"/>
          <w:b/>
          <w:color w:val="000000" w:themeColor="text1"/>
          <w:sz w:val="28"/>
          <w:szCs w:val="28"/>
        </w:rPr>
        <w:t>Порядок повернення авансових платежів (передоплати) та помилково та/або надміру сплачених сум митних платежів</w:t>
      </w:r>
    </w:p>
    <w:p w:rsidR="00D25C05" w:rsidRPr="002F0334" w:rsidRDefault="00D25C05" w:rsidP="00C846E9">
      <w:pPr>
        <w:pStyle w:val="a3"/>
        <w:numPr>
          <w:ilvl w:val="0"/>
          <w:numId w:val="1"/>
        </w:numPr>
        <w:spacing w:line="276" w:lineRule="auto"/>
        <w:ind w:hanging="29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2F0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Загальні положення</w:t>
      </w:r>
    </w:p>
    <w:p w:rsidR="00D25C05" w:rsidRPr="002F0334" w:rsidRDefault="00D25C05" w:rsidP="008720B8">
      <w:pPr>
        <w:pStyle w:val="a3"/>
        <w:spacing w:line="276" w:lineRule="auto"/>
        <w:ind w:left="128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Цей Порядок визначає процедури при поверненні суб'єктам господарювання та/або фізичним особам (далі </w:t>
      </w:r>
      <w:r w:rsidR="00C846E9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платники податків) коштів авансових платежів (передоплати) та помилково та/або надміру сплачених сум митних, інших платежів, контроль за справлянням яких здійсню</w:t>
      </w:r>
      <w:r w:rsidR="00C846E9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ють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Держмитслужб</w:t>
      </w:r>
      <w:r w:rsidR="00C846E9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митниц</w:t>
      </w:r>
      <w:r w:rsidR="00465D75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Держмитслужби, та пені, у тому числі у випадках, зазначених у частинах дев'ятій, десятій статті 55, частині п'ятій статті 299, частинах третій, п'ятій статті 301 Митного кодексу України, статті 43 Податкового кодексу України, частині першій статті 9 глави V Додатка A до Конвенції про тимчасове ввезення (м. Стамбул, 1990 р.), частині третій статті 11 глави II Митної конвенції про міжнародне перевезення вантажів із застосуванням книжки МДП 1975 року.</w:t>
      </w:r>
    </w:p>
    <w:p w:rsidR="00F35882" w:rsidRPr="002F0334" w:rsidRDefault="00F35882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2. Посадові особи та інші працівники в межах своїх повноважень несуть відповідальність згідно із законом за невиконання цього Порядку або надання необґрунтованої відмови у поверненні коштів, зазначених у пункті 1 цього розділу.</w:t>
      </w:r>
    </w:p>
    <w:p w:rsidR="00F35882" w:rsidRPr="002F0334" w:rsidRDefault="00F35882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Організація роботи з документами здійснюється з дотриманням вимог постанови Кабінету Міністрів України від 17 січня 2018 року </w:t>
      </w:r>
      <w:r w:rsidR="004568FC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55 </w:t>
      </w:r>
      <w:r w:rsidR="004568FC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Деякі питання документування управлінської діяльності</w:t>
      </w:r>
      <w:r w:rsidR="004568FC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0B8" w:rsidRPr="002F0334" w:rsidRDefault="00D25C05" w:rsidP="00C846E9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Порядок повернення коштів авансових платежів (передоплати) 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1. Платник податків має право на повернення залишків коштів авансових платежів (передоплати) з депозитного рахунку, відкритого в Казначейств</w:t>
      </w:r>
      <w:r w:rsidR="00C846E9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ім'я Держмитслужби (далі </w:t>
      </w:r>
      <w:r w:rsidR="00C846E9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єдиний рахунок)</w:t>
      </w:r>
      <w:r w:rsidR="00C846E9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депозитних рахунків, відкритих на балансі Казначейства на ім'я митниць Держмитслужби (далі </w:t>
      </w:r>
      <w:r w:rsidR="00C846E9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депозитний рахунок митниці Держмитслужби), та з відповідного банківського балансового рахунку «Розподільчі рахунки суб'єктів господарської діяльності» (далі </w:t>
      </w:r>
      <w:r w:rsidR="00C846E9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банківський рахунок), відкритого на ім'я митниці Держмитслужби в уповноваженому банку.</w:t>
      </w:r>
    </w:p>
    <w:p w:rsidR="00504D2F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2. Для повернення коштів авансових платежів (передоплати) платник податків подає до Держмитслужби (в разі сплати коштів на єдиний рахунок) або відповідної митниці Держмитслужби (в разі сплати на депозитний рахунок митниці Держмитслужби</w:t>
      </w:r>
      <w:r w:rsidR="00E45894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або банківський рахунок</w:t>
      </w:r>
      <w:r w:rsidR="00504D2F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) заяву в паперовому вигляді або за допомогою засобів електронного зв’язку в електронній формі з дотриманням вимог законодавства у сферах захисту інформації, електронних довірчих послуг та електронного документообігу, або в електронній формі за допомогою засобів інформаційно-телекомунікаційних систем Держмитслужби (далі – ІТС Держмитслужби) з дотриманням вимог законодавства у сферах захисту інформації, електронних довірчих послуг та електронного документообігу.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Така заява може бути подана протягом 1095 днів з дня внесення авансових платежів (передоплати) на відповідний депозитний рахунок.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У заяві платник податків зазначає: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найменування та ідентифікаційний код юридичної особи в Єдиному державному реєстрі підприємств і організацій України платника </w:t>
      </w:r>
      <w:r w:rsidR="002D25FF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юридичної особи (далі </w:t>
      </w:r>
      <w:r w:rsidR="002D25FF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 за ЄДРПОУ)</w:t>
      </w:r>
      <w:r w:rsidR="006370F6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або прізвище, ім'я</w:t>
      </w:r>
      <w:r w:rsidR="00297A7A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батькові</w:t>
      </w:r>
      <w:r w:rsidR="00297A7A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реєстраційний 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номер облікової картки платника податків у Державному реєстрі фізичних осіб </w:t>
      </w:r>
      <w:r w:rsidR="002D25FF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платників податків платника </w:t>
      </w:r>
      <w:r w:rsidR="002D25FF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фізичної особи (далі </w:t>
      </w:r>
      <w:r w:rsidR="002D25FF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реєстраційний номер облікової картки платника податків), або сері</w:t>
      </w:r>
      <w:r w:rsidR="003D60C1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F73C07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наявності) 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номер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</w:t>
      </w:r>
      <w:r w:rsidR="002D25FF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паспорті). 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осіб, які здійснюють операції з товарами та взяті на облік відповідно до Порядку обліку осіб, які здійснюють операції з товарами, затвердженого наказом Міністерства фінансів України від 15 червня 2015 року № 552, зареєстрованого в Міністерстві юстиції України 08 липня 2015 року </w:t>
      </w:r>
      <w:r w:rsidR="003D60C1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№ 807/27252</w:t>
      </w:r>
      <w:r w:rsidR="003D60C1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зазначені дані мають 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відповід</w:t>
      </w:r>
      <w:r w:rsidR="003D60C1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ати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дани</w:t>
      </w:r>
      <w:r w:rsidR="003D60C1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реєстру </w:t>
      </w:r>
      <w:r w:rsidR="003D60C1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осіб, які здійснюють операції з товарами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2) суму коштів до повернення;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3) напрям</w:t>
      </w:r>
      <w:r w:rsidR="00504D2F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перерахування коштів: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а) поточний рахунок платника податків в установі банку із зазначенням реквізитів.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б) для виплати готівкою (у разі, якщо кошти авансових платежів (передоплати) вносилися готівкою);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3D60C1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для подальших розрахунків як авансові платежі (передоплата) або грошова застава (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поверненні </w:t>
      </w:r>
      <w:r w:rsidR="003D60C1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фізичним особам 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з депозитних рахунків митниць Держмитслужби</w:t>
      </w:r>
      <w:r w:rsidR="003D60C1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депозитний рахунок іншої митниці </w:t>
      </w:r>
      <w:r w:rsidR="00041649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Держмитслужби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банківський рахунок іншої митниці </w:t>
      </w:r>
      <w:r w:rsidR="00041649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Держмитслужби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разі</w:t>
      </w:r>
      <w:r w:rsidR="002D25FF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якщо кошти авансових платежів (передоплати) вносилися готівкою.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3. Після реєстрації заява платника податку про повернення залишків коштів авансових платежів (передоплати) передається на опрацювання до відповідного структурного підрозділу Держмитслужби або митниці Держмитслужби для підготовки висновку (далі – Підрозділ).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4. Підрозділ: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перевіряє наявність коштів на відповідному депозитному рахунку за даними автоматизованої системи митного оформлення (далі – АСМО);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резервує заявлені до повернення платником податків суми коштів на період розгляду заяви шляхом проставлення відповідної відмітки в АСМО;</w:t>
      </w:r>
    </w:p>
    <w:p w:rsidR="00D25C05" w:rsidRPr="002F0334" w:rsidRDefault="002D25FF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за допомогою з</w:t>
      </w:r>
      <w:r w:rsidR="00D25C05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асоб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D25C05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АСМО формує висновок про повернення коштів авансових платежів (передоплати) з депозитного рахунку (далі – висновок на повернення коштів) за формою згідно з додатком 1 до цього Порядку</w:t>
      </w:r>
      <w:r w:rsidR="008720B8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разі якщо </w:t>
      </w:r>
      <w:r w:rsidR="002D25FF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зазначена </w:t>
      </w:r>
      <w:r w:rsidR="006370F6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заяві платника податків сума за даними АСМО </w:t>
      </w:r>
      <w:r w:rsidR="002D25FF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повному обсязі відсутня, готує та направляє платнику податків відмову (у паперовому або електронному вигляді) у поверненні коштів з депозитного рахунку з пропозицією щодо проведення за необхідності звірки залишків сум коштів авансових платежів (передоплати) на депозитному рахунку;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у разі якщо заявником не виконано вимог пункту 2 цього розділу, готує та направляє платнику податків відмову (у паперовому або електронному вигляді) у поверненні коштів з депозитного рахунку.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3D60C1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2D25FF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строк</w:t>
      </w:r>
      <w:r w:rsidR="003D60C1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r w:rsidR="00B71D74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більше восьми робочих днів від дня реєстрації заяви </w:t>
      </w:r>
      <w:r w:rsidR="002D25FF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допомогою засобів </w:t>
      </w:r>
      <w:r w:rsidR="00B71D74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АСМО висновок підписується</w:t>
      </w:r>
      <w:r w:rsidR="002D25FF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відповідними</w:t>
      </w:r>
      <w:r w:rsidR="002D25FF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25FF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71D74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уповноваженими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особами Держмитслужби або митниці Держмитслужби</w:t>
      </w:r>
      <w:r w:rsidR="00B71D74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1D74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D60C1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ісля підписання 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реєструється</w:t>
      </w:r>
      <w:r w:rsidR="00D26CFF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допомогою засобів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засобами АСМО.</w:t>
      </w:r>
    </w:p>
    <w:p w:rsidR="00B71D74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Підрозділ </w:t>
      </w:r>
      <w:r w:rsidR="003D60C1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пізніше наступного робочого дня з дня підписання висновку 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підставі висновків формує в електронній формі реєстр Держмитслужби або митниці Держмитслужби належних до повернення коштів авансових платежів (передоплати) та направляє до Казначейства для повернення коштів. </w:t>
      </w:r>
    </w:p>
    <w:p w:rsidR="00B71D74" w:rsidRPr="002F0334" w:rsidRDefault="00B71D74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На реєстр накладаються кваліфіковані електронні підписи уповноважених осіб Держмитслужби або митниці Держмитслужби та кваліфікована електронна печатка Держмитслужби або митниці Держмитслужби із застосуванням захищених носіїв особистих ключів.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Документи разом з висновками залишаються у Підрозділі.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Держмитслужба забезпечує прийняття/передавання реєстрів між митницями Держмитслужби та Казначейством.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Періодичність прийняття/передавання, структура та формат реєстрів належних до повернення коштів авансових платежів (передоплати) визначаються Держмитслужбою та Казначейством </w:t>
      </w:r>
      <w:r w:rsidR="00D26CFF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протоколі обміну інформацією.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Операція з повернення </w:t>
      </w:r>
      <w:r w:rsidR="00CA5CC7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авансових платежів (передоплати)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відображається в обліковій картці платника, створен</w:t>
      </w:r>
      <w:r w:rsidR="00CA5CC7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ій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відповідно до Порядку обліку та перерахування до державного бюджету митних та інших платежів, які вносяться до/або під час митного оформлення</w:t>
      </w:r>
      <w:r w:rsidR="00D26CFF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затвердженого наказом Міністерства фінансів України від 01 листопада 2017 р</w:t>
      </w:r>
      <w:r w:rsidR="00CB16A7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оку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898, </w:t>
      </w:r>
      <w:r w:rsidR="00CB16A7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зареєстрованого у Міністерстві юстиції України 23 листопада 2017 року за № 1429/31297 (зі змінами), </w:t>
      </w:r>
      <w:r w:rsidR="00CA5CC7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допомогою 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засоб</w:t>
      </w:r>
      <w:r w:rsidR="00CA5CC7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АСМО або інших програмних засобів автоматизованого обліку.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5C05" w:rsidRPr="002F0334" w:rsidRDefault="00D25C05" w:rsidP="00C846E9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Порядок повернення помилково та/або надміру сплачених сум митних, інших платежів та пені </w:t>
      </w:r>
    </w:p>
    <w:p w:rsidR="008720B8" w:rsidRPr="002F0334" w:rsidRDefault="008720B8" w:rsidP="00C846E9">
      <w:pPr>
        <w:pStyle w:val="a3"/>
        <w:spacing w:line="360" w:lineRule="auto"/>
        <w:ind w:left="128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1. Повернення з державного бюджету помилково та/або надміру сплачен</w:t>
      </w:r>
      <w:r w:rsidR="00CB16A7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 митних, інших платежів та пені здійснюється за заявою платника податків протягом 1095 днів від дня ї</w:t>
      </w:r>
      <w:r w:rsidR="00CB16A7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виникнення.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Повернення сум відповідних митних платежів у випадках, передбачених частиною п'ятою статті 301 Митного кодексу</w:t>
      </w:r>
      <w:r w:rsidR="00D26CFF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України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, здійснюється за умови, що заява подається не пізніше одного року з дня, наступного за днем виникнення обставин, що тягнуть за собою повернення сплачених сум митних платежів.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Заява може бути подана платником до митниці Держмитслужби в </w:t>
      </w:r>
      <w:r w:rsidR="00CA5CC7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паперовому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вигляді або </w:t>
      </w:r>
      <w:r w:rsidR="00D26CFF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допомогою засобів 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електронного зв’язку в електронній формі з дотриманням вимог законодавства у сферах захисту інформації, електронних довірчих послуг та електронного документообігу, або в електронній формі за допомогою засобів ІТС Держмитслужби з дотриманням вимог законодавства у сферах захисту інформації, електронних довірчих послуг та електронного документообігу.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Граничні строки для подання заяви підлягають продовженню керівником митниці </w:t>
      </w:r>
      <w:r w:rsidR="00390209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Держмитслужби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(його заступником) за письмовим запитом платника податків у випадках, встановлених статтею 102 Податкового кодексу України.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3. У заяві зазначаються: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1) сума коштів до повернення за кожним видом митних, інших платежів та пені;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2) причини виникнення такої суми коштів;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найменування юридичної особи та код за ЄДРПОУ, або прізвище, ім'я та по батькові, реєстраційний номер облікової картки платника податків, або серія </w:t>
      </w:r>
      <w:r w:rsidR="00F73C07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наявності) 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номер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</w:t>
      </w:r>
      <w:r w:rsidR="00297A7A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паспорті);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4) напрям перерахування суми коштів: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а) на поточний рахунок платника податку в установі банку із зазначенням реквізитів;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б) для виплати готівкою (у разі якщо кошти авансових платежів (передоплати) вносилися готівкою);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в) для подальших розрахунків як авансові платежі (передоплата) або грошова застава: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на єдиний рахунок або на відповідний депозитний рахунок митниці Держмитслужби;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на банківський рахунок (у разі якщо кошти авансових платежів (передоплати) вносилися готівкою);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для погашення грошового зобов'язання (податкового боргу) з </w:t>
      </w:r>
      <w:r w:rsidR="00CA5CC7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інших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платежів незалежно від виду бюджету;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5) реквізити митної декларації (іншого документа, що її замінює) або уніфікованої митної квитанції, за якими помилково та/або надміру сплачені суми митних платежів.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До заяви додаються: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документи, що підтверджують суму помилково та/або надміру сплачених митних, інших платежів та пені;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виконавчий лист суду та/або рішення суду, що набрало законної сили (за наявності), щодо скасування рішення митниці Держмитслужби, яке призвело до виникнення помилково та/або надміру сплачених сум митних, інших платежів та пені;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документи, що підтверджують право на перенесення граничних строків для подання заяви щодо повернення надміру сплачених митних платежів (за наявності).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Після надходження до митниці Держмитслужби заява, подана </w:t>
      </w:r>
      <w:r w:rsidR="00297A7A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допомогою засобів 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ІТС Держмитслужби в електронній формі</w:t>
      </w:r>
      <w:r w:rsidR="00CA5CC7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автоматично після перевірки засобами антивірусного захисту інформації вноситься до Реєстру опрацювання заяв на повернення (далі </w:t>
      </w:r>
      <w:r w:rsidR="00297A7A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Реєстр), який ведеться </w:t>
      </w:r>
      <w:r w:rsidR="00297A7A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допомогою засобів 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АСМО.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Внесення до Реєстру інформації щодо заяви, поданої платником у паперовому вигляді</w:t>
      </w:r>
      <w:r w:rsidR="00CA5CC7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або </w:t>
      </w:r>
      <w:r w:rsidR="00297A7A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допомогою засобів </w:t>
      </w:r>
      <w:r w:rsidR="00CA5CC7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електронного зв’язку в електронній формі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, здійснює працівник Підрозділу.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Реєстр містить</w:t>
      </w:r>
      <w:r w:rsidR="00FC6FC0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дані, зазначені в заяві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C6FC0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дані, що вносяться Підрозділом.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="008810FD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платника, внесен</w:t>
      </w:r>
      <w:r w:rsidR="008810FD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Реєстру, розгляда</w:t>
      </w:r>
      <w:r w:rsidR="008810FD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ють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</w:t>
      </w:r>
      <w:r w:rsidR="008810FD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</w:t>
      </w:r>
      <w:r w:rsidR="008810FD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і підрозділ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митниці Держмитслужби, за визначенням керівника митниці. 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Підрозділ перевіряє факт перерахування суми коштів з відповідного рахунку до державного бюджету та відсутність у нього податкового боргу </w:t>
      </w:r>
      <w:r w:rsidR="00465D75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допомогою засобів 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АСМО. 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Співробітник Підрозділу до Реєстру вносить дат</w:t>
      </w:r>
      <w:r w:rsidR="00465D75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сплати і реквізити, за якими кошти перераховано до бюджету (код класифікації доходів бюджету, бюджетний рахунок, на який перераховано кошти, код </w:t>
      </w:r>
      <w:r w:rsidR="00465D75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ЄДРПОУ територіального органу Казначейства, на ім'я якого відкрито рахунок, та МФО Казначейства).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Якщо за результатами розгляду заяви митницею Держмитслужби встановлено правомірність повернення коштів, працівник Підрозділу вносить до 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Реєстру відмітку про правомірність повернення відповідної суми коштів та </w:t>
      </w:r>
      <w:r w:rsidR="00465D75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допомогою засобів 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АСМО формує електронний висновок про повернення з державного бюджету помилково та/або надміру сплачених сум митних, інших платежів та пені (далі – електронний висновок) за формою згідно з додатком 2 до цього Порядку.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На кожний сформований електронний висновок накладаються кваліфіковані електронні підписи керівника (заступника керівника) структурного підрозділу, що сформував висновок, керівника (заступника керівника або уповноваженої особи) митниці Держмитслужби та кваліфікована електронна печатка такого органу.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Сформовані електронні висновки з накладеними кваліфікованими електронними підписами та кваліфікованими електронними печатками митниці Держмитслужби у строк не пізніше 17:00 шостого робочого дня до закінчення </w:t>
      </w:r>
      <w:proofErr w:type="spellStart"/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двадцятиденного</w:t>
      </w:r>
      <w:proofErr w:type="spellEnd"/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строку з дня подання платником податків заяви до митниці Держмитслужби в автоматичному режимі надсилає до Казначейства для виконання.</w:t>
      </w:r>
    </w:p>
    <w:p w:rsidR="001234EE" w:rsidRPr="002F0334" w:rsidRDefault="001234EE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Електронні висновки про повернення платежів, належних місцевим бюджетам, та платежів, які підлягають розподілу між державним та місцевими бюджетами (крім акцизного податку з ввезеного на митну територію України пального), направляються до Казначейства для виконання за умови їх погодження з відповідними місцевими фінансовими органами.</w:t>
      </w:r>
    </w:p>
    <w:p w:rsidR="00FC6FC0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8. У разі якщо заявником не виконано вимог пунктів 1</w:t>
      </w:r>
      <w:r w:rsidR="00465D75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 – 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цього розділу, надано недостовірні дані та/або за наявності у нього податкового боргу (крім випадків визначення у заяві напряму перерахування коштів на погашення податкового боргу), готується та надсилається заявнику письмова </w:t>
      </w:r>
      <w:r w:rsidR="00FC6FC0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паперовому </w:t>
      </w:r>
    </w:p>
    <w:p w:rsidR="00D25C05" w:rsidRPr="002F0334" w:rsidRDefault="00FC6FC0" w:rsidP="00C846E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 електронному вигляді) </w:t>
      </w:r>
      <w:r w:rsidR="00D25C05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обґрунтована відмова</w:t>
      </w:r>
      <w:r w:rsidR="007C19C4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5C05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тому числі </w:t>
      </w:r>
      <w:r w:rsidR="007C19C4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за допомогою засобів</w:t>
      </w:r>
      <w:r w:rsidR="00D25C05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ІТС Держмитслужби.</w:t>
      </w:r>
    </w:p>
    <w:p w:rsidR="00D25C05" w:rsidRPr="002F0334" w:rsidRDefault="008720B8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25C05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Казначейство до 12:00 робочого дня, наступного за днем отримання електронних висновків забезпечує їх автоматичну обробку після перевірки таких висновків </w:t>
      </w:r>
      <w:r w:rsidR="00465D75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допомогою засобів </w:t>
      </w:r>
      <w:r w:rsidR="00D25C05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антивірусного захисту інформації.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Під час автоматичної обробки Казначейство здійснює перевірку кваліфікованих електронних підписів посадових (уповноважених) осіб, кваліфікованої електронної печатки відповідної митниці Держмитслужби</w:t>
      </w:r>
      <w:r w:rsidR="007C19C4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повноти </w:t>
      </w:r>
      <w:r w:rsidR="007C19C4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та/або правильності (в частині бюджетних рахунків) 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платіжних реквізитів електронних висновків.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На кожний отриманий електронний висновок у строк, визначений в абзаці першому цього пункту, Казначейство формує та надає Держмитслужбі електронне повідомлення про отримання та результати обробки такого електронного висновку з наклад</w:t>
      </w:r>
      <w:r w:rsidR="00E169EC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нням кваліфікованого електронного підпису посадової (уповноваженої) особи.</w:t>
      </w:r>
    </w:p>
    <w:p w:rsidR="00D25C05" w:rsidRPr="002F0334" w:rsidRDefault="008720B8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D25C05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. Електронні висновки, які не пройшли перевірк</w:t>
      </w:r>
      <w:r w:rsidR="00E169EC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25C05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кваліфікованих електронних підписів посадових (уповноважених) осіб, кваліфікованої електронної печатки відповідної митниці Держмитслужби</w:t>
      </w:r>
      <w:r w:rsidR="007C19C4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5C05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повноти</w:t>
      </w:r>
      <w:r w:rsidR="007C19C4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та/або правильності (в частині бюджетних рахунків) </w:t>
      </w:r>
      <w:r w:rsidR="00D25C05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платіжних реквізитів, до виконання Казначейством не приймаються. Казначейство інформує Держмитслужбу про відмову у прийнятті електронних висновків та про причини такої відмови шляхом надсилання відповідного електронного повідомлення.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Митниц</w:t>
      </w:r>
      <w:r w:rsidR="007C19C4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Держмитслужби за результатами опрацювання електронних висновків, які не пройшли здійснен</w:t>
      </w:r>
      <w:r w:rsidR="00E169EC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ої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Казначейством перевірк</w:t>
      </w:r>
      <w:r w:rsidR="00E169EC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кваліфікованих електронних підписів посадових (уповноважених) осіб та кваліфікованої електронної печатки відповідної митниці Держмитслужби, на наступний робочий день після отримання електронного повідомлення з відмовою накладає справжні та дійсні кваліфіковані електронні підписи, кваліфіковані електронні печатки та надсилає такі електронні висновки повторно.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Митниця Держмитслужби за результатами опрацювання електронних висновків, які не пройшли здійснен</w:t>
      </w:r>
      <w:r w:rsidR="00E169EC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ої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Казначейством перевірк</w:t>
      </w:r>
      <w:r w:rsidR="00E169EC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повноти</w:t>
      </w:r>
      <w:r w:rsidR="0065095B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та/або правильності (в частині бюджетних рахунків) 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платіжних реквізитів, на наступний робочий день після отримання електронн</w:t>
      </w:r>
      <w:r w:rsidR="0065095B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повідомлен</w:t>
      </w:r>
      <w:r w:rsidR="0065095B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відмовою формує електронн</w:t>
      </w:r>
      <w:r w:rsidR="0065095B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висновк</w:t>
      </w:r>
      <w:r w:rsidR="0065095B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повними </w:t>
      </w:r>
      <w:r w:rsidR="0065095B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правильними (в частині бюджетних </w:t>
      </w:r>
      <w:r w:rsidR="0065095B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рахунків)  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платіжними реквізитами, необхідними для перерахування помилково та/або надміру сплачених сум.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65095B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повторно сформован</w:t>
      </w:r>
      <w:r w:rsidR="0065095B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електронн</w:t>
      </w:r>
      <w:r w:rsidR="0065095B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висновк</w:t>
      </w:r>
      <w:r w:rsidR="0065095B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підлягають направленню до Казначейства з урахуванням вимог цього розділу.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У разі якщо за результатами опрацювання електронних висновків, які не пройшли здійснен</w:t>
      </w:r>
      <w:r w:rsidR="00E169EC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ої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Казначейством перевірк</w:t>
      </w:r>
      <w:r w:rsidR="00E169EC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повноти платіжних реквізитів, неможливо встановити відповідні платіжні реквізити, митниця Держмитслужби готує та направляє платнику</w:t>
      </w:r>
      <w:r w:rsidR="0065095B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податків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письмове повідомлення з відмовою у поверненні коштів із зазначенням причини такої відмови.</w:t>
      </w:r>
    </w:p>
    <w:p w:rsidR="00D25C05" w:rsidRPr="002F0334" w:rsidRDefault="008720B8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D25C05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. Електронні висновки, які пройшли перевірку кваліфікованих електронних підписів посадових (уповноважених) осіб, кваліфікованої електронної печатки відповідної митниці Держмитслужби</w:t>
      </w:r>
      <w:r w:rsidR="0065095B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5C05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повноти </w:t>
      </w:r>
      <w:r w:rsidR="0065095B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правильності (в частині бюджетних рахунків) </w:t>
      </w:r>
      <w:r w:rsidR="00D25C05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платіжних реквізитів, приймаються Казначейством до виконання.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Про прийняття електронного висновку до виконання Казначейство інформує Держмитслужбу шляхом надсилання відповідного електронного повідомлення.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Повернення помилково та/або надміру сплачених сум митних, інших платежів та пені здійсню</w:t>
      </w:r>
      <w:r w:rsidR="00E169EC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ють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територіальн</w:t>
      </w:r>
      <w:r w:rsidR="00E169EC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і орган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и Казначейства протягом п'яти робочих днів, наступних за днем прийняття електронного висновку митниці Держмитслужби.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Про повернення коштів платнику на підставі прийнятого до виконання електронного висновку Казначейство інформує Держмитслужбу шляхом надсилання відповідного електронного повідомлення не пізніше 11:00 робочого дня, наступного за днем виконання такого висновку.</w:t>
      </w:r>
    </w:p>
    <w:p w:rsidR="00D25C05" w:rsidRPr="002F0334" w:rsidRDefault="008720B8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D25C05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. У разі повернення банком або територіальним органом Казначейства перерахованої суми згідно з електронним висновком у зв'язку із зазначенням некоректних платіжних реквізитів Казначейство наступного операційного дня надсилає Держмитслужб</w:t>
      </w:r>
      <w:r w:rsidR="0065095B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D25C05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електронне повідомлення про їх некоректність для подальшого уточнення платіжних реквізитів.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 результатами опрацювання електронних повідомлень Казначейства про некоректні платіжні реквізити, зазначені в електронних висновках, митниця Держмитслужби готує та направляє платнику письмове повідомлення з відмовою </w:t>
      </w:r>
      <w:r w:rsidR="00E169EC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поверненні коштів із зазначенням причини такої відмови.</w:t>
      </w:r>
    </w:p>
    <w:p w:rsidR="0065095B" w:rsidRPr="002F0334" w:rsidRDefault="0065095B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13. У разі зміни бюджетних рахунків за надходженнями відповідно до законодавств</w:t>
      </w:r>
      <w:r w:rsidR="00E169EC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Казначейство </w:t>
      </w:r>
      <w:r w:rsidR="00E169EC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 такої зміни інформує Держмитслужбу про необхідність уточнення реквізитів рахунку в електронному висновку, що знаходиться на виконанні в Казначействі.</w:t>
      </w:r>
    </w:p>
    <w:p w:rsidR="0065095B" w:rsidRPr="002F0334" w:rsidRDefault="0065095B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Держмитслужба не пізніше наступного робочого дня після отримання такої інформації надсилає Казначейству уточнені реквізити рахунку до електронного висновку, що знаходиться на виконанні в Казначействі.</w:t>
      </w:r>
    </w:p>
    <w:p w:rsidR="00D25C05" w:rsidRPr="002F0334" w:rsidRDefault="00317C06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5095B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25C05"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Держмитслужба забезпечує прийняття/передавання електронних висновків та електронних повідомлень між Казначейством та  митницями Держмитслужби.</w:t>
      </w:r>
    </w:p>
    <w:p w:rsidR="00D25C05" w:rsidRPr="002F0334" w:rsidRDefault="00D25C05" w:rsidP="00C846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та формати даних, що передаються та приймаються у процесі повернення платникам помилково та/або надміру сплачених сум митних, інших платежів та пені, визначаються Держмитслужбою та Казначейством в протоколі обміну інформацією.</w:t>
      </w:r>
    </w:p>
    <w:p w:rsidR="00D25C05" w:rsidRPr="002F0334" w:rsidRDefault="00D25C05" w:rsidP="008720B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5C05" w:rsidRPr="002F0334" w:rsidRDefault="00D25C05" w:rsidP="008720B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2B06" w:rsidRPr="002F0334" w:rsidRDefault="00BC2B06" w:rsidP="00E169EC">
      <w:pPr>
        <w:pStyle w:val="a5"/>
        <w:spacing w:before="0" w:beforeAutospacing="0" w:after="120" w:afterAutospacing="0" w:line="276" w:lineRule="auto"/>
        <w:contextualSpacing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2F0334">
        <w:rPr>
          <w:b/>
          <w:bCs/>
          <w:color w:val="000000" w:themeColor="text1"/>
          <w:sz w:val="28"/>
          <w:szCs w:val="28"/>
          <w:lang w:val="uk-UA"/>
        </w:rPr>
        <w:t>Директор Департаменту</w:t>
      </w:r>
    </w:p>
    <w:p w:rsidR="00BC2B06" w:rsidRPr="002F0334" w:rsidRDefault="00BC2B06" w:rsidP="00E169EC">
      <w:pPr>
        <w:pStyle w:val="a5"/>
        <w:spacing w:before="0" w:beforeAutospacing="0" w:after="120" w:afterAutospacing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2F0334">
        <w:rPr>
          <w:b/>
          <w:bCs/>
          <w:color w:val="000000" w:themeColor="text1"/>
          <w:sz w:val="28"/>
          <w:szCs w:val="28"/>
          <w:lang w:val="uk-UA"/>
        </w:rPr>
        <w:t xml:space="preserve">митної політики                                                    </w:t>
      </w:r>
      <w:r w:rsidR="00E169EC" w:rsidRPr="002F0334">
        <w:rPr>
          <w:b/>
          <w:bCs/>
          <w:color w:val="000000" w:themeColor="text1"/>
          <w:sz w:val="28"/>
          <w:szCs w:val="28"/>
          <w:lang w:val="uk-UA"/>
        </w:rPr>
        <w:t xml:space="preserve">   </w:t>
      </w:r>
      <w:r w:rsidRPr="002F0334">
        <w:rPr>
          <w:b/>
          <w:bCs/>
          <w:color w:val="000000" w:themeColor="text1"/>
          <w:sz w:val="28"/>
          <w:szCs w:val="28"/>
          <w:lang w:val="uk-UA"/>
        </w:rPr>
        <w:t>Олександр МОСКАЛЕНКО</w:t>
      </w:r>
    </w:p>
    <w:p w:rsidR="00535452" w:rsidRPr="002F0334" w:rsidRDefault="00535452" w:rsidP="008720B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35452" w:rsidRPr="002F0334" w:rsidRDefault="00535452" w:rsidP="008720B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0DC6" w:rsidRPr="002F0334" w:rsidRDefault="00B10DC6" w:rsidP="008720B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68FC" w:rsidRPr="002F0334" w:rsidRDefault="004568FC" w:rsidP="008720B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68FC" w:rsidRPr="002F0334" w:rsidRDefault="004568FC" w:rsidP="008720B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68FC" w:rsidRPr="002F0334" w:rsidRDefault="004568FC" w:rsidP="008720B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68FC" w:rsidRPr="002F0334" w:rsidRDefault="004568FC" w:rsidP="008720B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64D7" w:rsidRPr="002F0334" w:rsidRDefault="007F64D7" w:rsidP="008720B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64D7" w:rsidRPr="002F0334" w:rsidRDefault="007F64D7" w:rsidP="008720B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0DC6" w:rsidRPr="002F0334" w:rsidRDefault="00B10DC6" w:rsidP="008720B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6A46" w:rsidRPr="002F0334" w:rsidRDefault="00CB6A46" w:rsidP="008720B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5F19" w:rsidRPr="002F0334" w:rsidRDefault="00435F19" w:rsidP="008720B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452" w:rsidRPr="002F0334" w:rsidRDefault="00535452" w:rsidP="00D43579">
      <w:pPr>
        <w:pStyle w:val="a3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33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Додаток 1</w:t>
      </w:r>
    </w:p>
    <w:p w:rsidR="00D43579" w:rsidRPr="002F0334" w:rsidRDefault="00C93749" w:rsidP="00D43579">
      <w:pPr>
        <w:pStyle w:val="a3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334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D43579" w:rsidRPr="002F0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2F033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D43579" w:rsidRPr="002F0334">
        <w:rPr>
          <w:rFonts w:ascii="Times New Roman" w:hAnsi="Times New Roman" w:cs="Times New Roman"/>
          <w:color w:val="000000" w:themeColor="text1"/>
          <w:sz w:val="24"/>
          <w:szCs w:val="24"/>
        </w:rPr>
        <w:t>орядку повернення авансових платежів (передоплати) та помилково та/або надміру сплачених сум митних платежів</w:t>
      </w:r>
    </w:p>
    <w:p w:rsidR="00D43579" w:rsidRPr="002F0334" w:rsidRDefault="00D43579" w:rsidP="00D43579">
      <w:pPr>
        <w:pStyle w:val="a3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334">
        <w:rPr>
          <w:rFonts w:ascii="Times New Roman" w:hAnsi="Times New Roman" w:cs="Times New Roman"/>
          <w:color w:val="000000" w:themeColor="text1"/>
          <w:sz w:val="24"/>
          <w:szCs w:val="24"/>
        </w:rPr>
        <w:t>(пункт 4 розділ ІІ)</w:t>
      </w:r>
    </w:p>
    <w:p w:rsidR="00D43579" w:rsidRPr="002F0334" w:rsidRDefault="00D43579" w:rsidP="00535452">
      <w:pPr>
        <w:pStyle w:val="a3"/>
        <w:ind w:firstLine="56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35452" w:rsidRPr="002F0334" w:rsidRDefault="00535452" w:rsidP="00535452">
      <w:pPr>
        <w:pStyle w:val="a3"/>
        <w:ind w:firstLine="56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35452" w:rsidRPr="002F0334" w:rsidRDefault="00535452" w:rsidP="00535452">
      <w:pPr>
        <w:pStyle w:val="a3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висновку про повернення коштів авансових платежів (передоплати) з депозитн</w:t>
      </w:r>
      <w:r w:rsidR="00467143" w:rsidRPr="002F0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их</w:t>
      </w:r>
      <w:r w:rsidRPr="002F0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рахунк</w:t>
      </w:r>
      <w:r w:rsidR="00467143" w:rsidRPr="002F0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ів Держмитслужби та митниць Держмитслужби</w:t>
      </w:r>
    </w:p>
    <w:p w:rsidR="00535452" w:rsidRPr="002F0334" w:rsidRDefault="00535452" w:rsidP="00535452">
      <w:pPr>
        <w:pStyle w:val="a3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60"/>
        <w:gridCol w:w="8411"/>
      </w:tblGrid>
      <w:tr w:rsidR="00936032" w:rsidRPr="002F0334" w:rsidTr="004568F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52" w:rsidRPr="002F0334" w:rsidRDefault="00535452" w:rsidP="004568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 w:rsidRPr="002F0334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8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52" w:rsidRPr="002F0334" w:rsidRDefault="00535452" w:rsidP="004568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 w:rsidRPr="002F0334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Реквізит</w:t>
            </w:r>
          </w:p>
        </w:tc>
      </w:tr>
      <w:tr w:rsidR="00936032" w:rsidRPr="002F0334" w:rsidTr="004568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52" w:rsidRPr="002F0334" w:rsidRDefault="00535452" w:rsidP="0045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8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52" w:rsidRPr="002F0334" w:rsidRDefault="00535452" w:rsidP="004568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Номер висновку</w:t>
            </w:r>
          </w:p>
        </w:tc>
      </w:tr>
      <w:tr w:rsidR="00936032" w:rsidRPr="002F0334" w:rsidTr="004568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52" w:rsidRPr="002F0334" w:rsidRDefault="00535452" w:rsidP="0045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8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52" w:rsidRPr="002F0334" w:rsidRDefault="00535452" w:rsidP="004568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Дата висновку</w:t>
            </w:r>
          </w:p>
        </w:tc>
      </w:tr>
      <w:tr w:rsidR="00936032" w:rsidRPr="002F0334" w:rsidTr="004568F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52" w:rsidRPr="002F0334" w:rsidRDefault="00535452" w:rsidP="0045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8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52" w:rsidRPr="002F0334" w:rsidRDefault="00535452" w:rsidP="00435F1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Код </w:t>
            </w:r>
            <w:r w:rsidR="00E169EC"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за </w:t>
            </w:r>
            <w:r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ЄДРПОУ підприємства </w:t>
            </w:r>
            <w:r w:rsidR="00E169EC"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–</w:t>
            </w:r>
            <w:r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 для юридичних осіб; </w:t>
            </w:r>
            <w:r w:rsidR="00435F19"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реєстраційний номер облікової картки платника податків</w:t>
            </w:r>
            <w:r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 або серія </w:t>
            </w:r>
            <w:r w:rsidR="00F73C07" w:rsidRPr="002F0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(за наявності) </w:t>
            </w:r>
            <w:r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та номер паспорта </w:t>
            </w:r>
            <w:r w:rsidR="00E169EC"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–</w:t>
            </w:r>
            <w:r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 для фізичних осіб</w:t>
            </w:r>
          </w:p>
        </w:tc>
      </w:tr>
      <w:tr w:rsidR="00936032" w:rsidRPr="002F0334" w:rsidTr="004568F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52" w:rsidRPr="002F0334" w:rsidRDefault="00535452" w:rsidP="0045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8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52" w:rsidRPr="002F0334" w:rsidRDefault="00535452" w:rsidP="00E169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Найменування підприємства </w:t>
            </w:r>
            <w:r w:rsidR="00E169EC"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–</w:t>
            </w:r>
            <w:r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 для юридичних осіб; прізвище, ім'я, по батькові </w:t>
            </w:r>
            <w:r w:rsidR="00E169EC"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–</w:t>
            </w:r>
            <w:r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 для фізичних осіб</w:t>
            </w:r>
          </w:p>
        </w:tc>
      </w:tr>
      <w:tr w:rsidR="00936032" w:rsidRPr="002F0334" w:rsidTr="004568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452" w:rsidRPr="002F0334" w:rsidRDefault="00535452" w:rsidP="0045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8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452" w:rsidRPr="002F0334" w:rsidRDefault="00535452" w:rsidP="004568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Дата подання заяви на повернення авансових платежів (перед</w:t>
            </w:r>
            <w:r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uk-UA"/>
              </w:rPr>
              <w:t>о</w:t>
            </w:r>
            <w:r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плати)</w:t>
            </w:r>
          </w:p>
        </w:tc>
      </w:tr>
      <w:tr w:rsidR="00936032" w:rsidRPr="002F0334" w:rsidTr="004568F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452" w:rsidRPr="002F0334" w:rsidRDefault="00535452" w:rsidP="0045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8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52" w:rsidRPr="002F0334" w:rsidRDefault="00535452" w:rsidP="004568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Сума коштів на повернення авансових платежів (перед</w:t>
            </w:r>
            <w:r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uk-UA"/>
              </w:rPr>
              <w:t>о</w:t>
            </w:r>
            <w:r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плати)</w:t>
            </w:r>
          </w:p>
        </w:tc>
      </w:tr>
      <w:tr w:rsidR="00936032" w:rsidRPr="002F0334" w:rsidTr="004568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452" w:rsidRPr="002F0334" w:rsidRDefault="00535452" w:rsidP="0045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8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52" w:rsidRPr="002F0334" w:rsidRDefault="00535452" w:rsidP="00CB6A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Сума передоплати, яка обліковується у платника податків (</w:t>
            </w:r>
            <w:r w:rsidR="00CB6A46"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зазначається за допомогою засобів</w:t>
            </w:r>
            <w:r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 АСМО)</w:t>
            </w:r>
          </w:p>
        </w:tc>
      </w:tr>
      <w:tr w:rsidR="00936032" w:rsidRPr="002F0334" w:rsidTr="004568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52" w:rsidRPr="002F0334" w:rsidRDefault="00535452" w:rsidP="0045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8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52" w:rsidRPr="002F0334" w:rsidRDefault="00535452" w:rsidP="004568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Дата, станом на яку обліковується залишок авансових платежів (перед</w:t>
            </w:r>
            <w:r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uk-UA"/>
              </w:rPr>
              <w:t>о</w:t>
            </w:r>
            <w:r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плати) </w:t>
            </w:r>
            <w:r w:rsidR="00CB6A46"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(зазначається за допомогою засобів АСМО)</w:t>
            </w:r>
          </w:p>
        </w:tc>
      </w:tr>
      <w:tr w:rsidR="00936032" w:rsidRPr="002F0334" w:rsidTr="004568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52" w:rsidRPr="002F0334" w:rsidRDefault="00535452" w:rsidP="0045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8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52" w:rsidRPr="002F0334" w:rsidRDefault="00535452" w:rsidP="004568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Рахунок, на який повертаються кошти</w:t>
            </w:r>
            <w:r w:rsidR="00E169EC"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,</w:t>
            </w:r>
            <w:r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 – для юридичних осіб; картковий рахунок банку та номер картки – для фізичних осіб</w:t>
            </w:r>
            <w:r w:rsidR="00467143"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;</w:t>
            </w:r>
          </w:p>
          <w:p w:rsidR="00467143" w:rsidRPr="002F0334" w:rsidRDefault="00415252" w:rsidP="004568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В</w:t>
            </w:r>
            <w:r w:rsidR="00E02061"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ідповідний</w:t>
            </w:r>
            <w:r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 банківський </w:t>
            </w:r>
            <w:r w:rsidR="00E02061"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 рахунок митниці Держмитслужби – у разі, якщо кошти вносилися готівкою;</w:t>
            </w:r>
          </w:p>
          <w:p w:rsidR="00E02061" w:rsidRPr="002F0334" w:rsidRDefault="00E02061" w:rsidP="004568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депозитний рахунок іншої митниці Держмитслужби.</w:t>
            </w:r>
          </w:p>
        </w:tc>
      </w:tr>
      <w:tr w:rsidR="00936032" w:rsidRPr="002F0334" w:rsidTr="004568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52" w:rsidRPr="002F0334" w:rsidRDefault="00535452" w:rsidP="0045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8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52" w:rsidRPr="002F0334" w:rsidRDefault="00535452" w:rsidP="00C9374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МФО банку, в якому відкрит</w:t>
            </w:r>
            <w:r w:rsidR="00C93749"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о</w:t>
            </w:r>
            <w:r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 рахунок для повернення</w:t>
            </w:r>
          </w:p>
        </w:tc>
      </w:tr>
      <w:tr w:rsidR="00936032" w:rsidRPr="002F0334" w:rsidTr="004568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52" w:rsidRPr="002F0334" w:rsidRDefault="00535452" w:rsidP="0045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8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52" w:rsidRPr="002F0334" w:rsidRDefault="00535452" w:rsidP="00C9374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Найменування банку, в якому відкрит</w:t>
            </w:r>
            <w:r w:rsidR="00C93749"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о</w:t>
            </w:r>
            <w:r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 рахунок для повернення</w:t>
            </w:r>
          </w:p>
        </w:tc>
      </w:tr>
      <w:tr w:rsidR="00936032" w:rsidRPr="002F0334" w:rsidTr="004568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52" w:rsidRPr="002F0334" w:rsidRDefault="00535452" w:rsidP="0045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8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52" w:rsidRPr="002F0334" w:rsidRDefault="00435F19" w:rsidP="00435F1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Прізвище, ім’я, по батькові</w:t>
            </w:r>
            <w:r w:rsidR="00535452"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 та </w:t>
            </w:r>
            <w:r w:rsidR="00467143" w:rsidRPr="002F03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посада уповноважених осіб Держмитслужби та митниць Держмитслужби на підписання висновків</w:t>
            </w:r>
          </w:p>
        </w:tc>
      </w:tr>
      <w:tr w:rsidR="00535452" w:rsidRPr="002F0334" w:rsidTr="00E02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960" w:type="dxa"/>
            <w:vAlign w:val="center"/>
          </w:tcPr>
          <w:p w:rsidR="00535452" w:rsidRPr="002F0334" w:rsidRDefault="00535452" w:rsidP="004568F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8411" w:type="dxa"/>
          </w:tcPr>
          <w:p w:rsidR="00535452" w:rsidRPr="002F0334" w:rsidRDefault="00535452" w:rsidP="004568F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Виконавець</w:t>
            </w:r>
          </w:p>
        </w:tc>
      </w:tr>
    </w:tbl>
    <w:p w:rsidR="00535452" w:rsidRPr="002F0334" w:rsidRDefault="00535452" w:rsidP="008720B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5C05" w:rsidRPr="002F0334" w:rsidRDefault="00C93749" w:rsidP="00C93749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D25C05" w:rsidRPr="002F0334" w:rsidRDefault="00D25C05" w:rsidP="008720B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5C05" w:rsidRPr="002F0334" w:rsidRDefault="00D25C05" w:rsidP="008720B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5C05" w:rsidRPr="002F0334" w:rsidRDefault="00D25C05" w:rsidP="008720B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4D2F" w:rsidRPr="002F0334" w:rsidRDefault="00504D2F" w:rsidP="008720B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5F19" w:rsidRPr="002F0334" w:rsidRDefault="00435F19" w:rsidP="00D43579">
      <w:pPr>
        <w:pStyle w:val="a3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34EE" w:rsidRPr="002F0334" w:rsidRDefault="001234EE" w:rsidP="00D43579">
      <w:pPr>
        <w:pStyle w:val="a3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579" w:rsidRPr="002F0334" w:rsidRDefault="00D43579" w:rsidP="00D43579">
      <w:pPr>
        <w:pStyle w:val="a3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33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Додаток 2</w:t>
      </w:r>
    </w:p>
    <w:p w:rsidR="00D43579" w:rsidRPr="002F0334" w:rsidRDefault="00C93749" w:rsidP="00D43579">
      <w:pPr>
        <w:pStyle w:val="a3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334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D43579" w:rsidRPr="002F0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2F033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D43579" w:rsidRPr="002F0334">
        <w:rPr>
          <w:rFonts w:ascii="Times New Roman" w:hAnsi="Times New Roman" w:cs="Times New Roman"/>
          <w:color w:val="000000" w:themeColor="text1"/>
          <w:sz w:val="24"/>
          <w:szCs w:val="24"/>
        </w:rPr>
        <w:t>орядку повернення авансових платежів (передоплати) та помилково та/або надміру сплачених сум митних платежів</w:t>
      </w:r>
    </w:p>
    <w:p w:rsidR="00D43579" w:rsidRPr="002F0334" w:rsidRDefault="00D43579" w:rsidP="00D43579">
      <w:pPr>
        <w:pStyle w:val="a3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334">
        <w:rPr>
          <w:rFonts w:ascii="Times New Roman" w:hAnsi="Times New Roman" w:cs="Times New Roman"/>
          <w:color w:val="000000" w:themeColor="text1"/>
          <w:sz w:val="24"/>
          <w:szCs w:val="24"/>
        </w:rPr>
        <w:t>(пункт 6 розділ ІІІ)</w:t>
      </w:r>
    </w:p>
    <w:p w:rsidR="00535452" w:rsidRPr="002F0334" w:rsidRDefault="00535452" w:rsidP="00535452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35452" w:rsidRPr="002F0334" w:rsidRDefault="00535452" w:rsidP="00C93749">
      <w:pPr>
        <w:pStyle w:val="a3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електронного висновку про повернення з державного бюджету помилково та/або надміру сплачених сум митних, інших платежів та пені</w:t>
      </w:r>
    </w:p>
    <w:p w:rsidR="00BE2684" w:rsidRPr="002F0334" w:rsidRDefault="00BE2684" w:rsidP="008720B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60"/>
        <w:gridCol w:w="8411"/>
      </w:tblGrid>
      <w:tr w:rsidR="00936032" w:rsidRPr="002F0334" w:rsidTr="004568F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A3B" w:rsidRPr="002F0334" w:rsidRDefault="003F3A3B" w:rsidP="004568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 w:rsidRPr="002F0334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8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A3B" w:rsidRPr="002F0334" w:rsidRDefault="003F3A3B" w:rsidP="004568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 w:rsidRPr="002F0334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Реквізит</w:t>
            </w:r>
          </w:p>
        </w:tc>
      </w:tr>
      <w:tr w:rsidR="00936032" w:rsidRPr="002F0334" w:rsidTr="003F3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B" w:rsidRPr="002F0334" w:rsidRDefault="003F3A3B" w:rsidP="003F3A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3B" w:rsidRPr="002F0334" w:rsidRDefault="003F3A3B" w:rsidP="003F3A3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регіону</w:t>
            </w:r>
          </w:p>
        </w:tc>
      </w:tr>
      <w:tr w:rsidR="00936032" w:rsidRPr="002F0334" w:rsidTr="003F3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B" w:rsidRPr="002F0334" w:rsidRDefault="003F3A3B" w:rsidP="003F3A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3B" w:rsidRPr="002F0334" w:rsidRDefault="003F3A3B" w:rsidP="00C9374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Податковий номер платника або серія (за наявності) та номер паспорта фізичної особи </w:t>
            </w:r>
            <w:r w:rsidR="00C93749" w:rsidRPr="002F0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2F0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платника податків, що подав заяву</w:t>
            </w:r>
          </w:p>
        </w:tc>
      </w:tr>
      <w:tr w:rsidR="00936032" w:rsidRPr="002F0334" w:rsidTr="003F3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B" w:rsidRPr="002F0334" w:rsidRDefault="003F3A3B" w:rsidP="003F3A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3B" w:rsidRPr="002F0334" w:rsidRDefault="003F3A3B" w:rsidP="003F3A3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Найменування або прізвище, ім'я, по батькові (для фізичних осіб) платника податків, що подав заяву</w:t>
            </w:r>
          </w:p>
        </w:tc>
      </w:tr>
      <w:tr w:rsidR="00936032" w:rsidRPr="002F0334" w:rsidTr="003F3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B" w:rsidRPr="002F0334" w:rsidRDefault="003F3A3B" w:rsidP="003F3A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3B" w:rsidRPr="002F0334" w:rsidRDefault="003F3A3B" w:rsidP="003F3A3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висновку</w:t>
            </w:r>
          </w:p>
        </w:tc>
      </w:tr>
      <w:tr w:rsidR="00936032" w:rsidRPr="002F0334" w:rsidTr="003F3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B" w:rsidRPr="002F0334" w:rsidRDefault="003F3A3B" w:rsidP="003F3A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3B" w:rsidRPr="002F0334" w:rsidRDefault="003F3A3B" w:rsidP="003F3A3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висновку</w:t>
            </w:r>
          </w:p>
        </w:tc>
      </w:tr>
      <w:tr w:rsidR="00936032" w:rsidRPr="002F0334" w:rsidTr="003F3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B" w:rsidRPr="002F0334" w:rsidRDefault="003F3A3B" w:rsidP="003F3A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3B" w:rsidRPr="002F0334" w:rsidRDefault="003F3A3B" w:rsidP="003F3A3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класифікації доходів бюджету,  з якого повертаються кошти</w:t>
            </w:r>
          </w:p>
        </w:tc>
      </w:tr>
      <w:tr w:rsidR="00936032" w:rsidRPr="002F0334" w:rsidTr="003F3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B" w:rsidRPr="002F0334" w:rsidRDefault="003F3A3B" w:rsidP="003F3A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3B" w:rsidRPr="002F0334" w:rsidRDefault="003F3A3B" w:rsidP="003F3A3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 коду бюджетної класифікації,  з якого повертаються кошти</w:t>
            </w:r>
          </w:p>
        </w:tc>
      </w:tr>
      <w:tr w:rsidR="00936032" w:rsidRPr="002F0334" w:rsidTr="003F3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B" w:rsidRPr="002F0334" w:rsidRDefault="003F3A3B" w:rsidP="003F3A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3B" w:rsidRPr="002F0334" w:rsidRDefault="003F3A3B" w:rsidP="003F3A3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Рахунок,  з якого повертаються кошти</w:t>
            </w:r>
          </w:p>
        </w:tc>
      </w:tr>
      <w:tr w:rsidR="00750780" w:rsidRPr="002F0334" w:rsidTr="003F3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80" w:rsidRPr="002F0334" w:rsidRDefault="00750780" w:rsidP="00750780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80" w:rsidRPr="002F0334" w:rsidRDefault="00750780" w:rsidP="0075078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Найменування територіального органу Казначейства, на ім'я якого відкрито рахунок, з якого повертаються кошти</w:t>
            </w:r>
          </w:p>
        </w:tc>
      </w:tr>
      <w:tr w:rsidR="00750780" w:rsidRPr="002F0334" w:rsidTr="003F3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80" w:rsidRPr="002F0334" w:rsidRDefault="00750780" w:rsidP="00750780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80" w:rsidRPr="002F0334" w:rsidRDefault="00750780" w:rsidP="0075078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за ЄДРПОУ територіального органу Казначейства, на ім'я якого відкрито рахунок, з якого повертаються кошти</w:t>
            </w:r>
          </w:p>
        </w:tc>
      </w:tr>
      <w:tr w:rsidR="00750780" w:rsidRPr="002F0334" w:rsidTr="003F3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80" w:rsidRPr="002F0334" w:rsidRDefault="00750780" w:rsidP="00750780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80" w:rsidRPr="002F0334" w:rsidRDefault="00750780" w:rsidP="0075078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виду сплати для рахунку, з якого повертаються кошти</w:t>
            </w:r>
          </w:p>
        </w:tc>
      </w:tr>
      <w:tr w:rsidR="00750780" w:rsidRPr="002F0334" w:rsidTr="003F3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80" w:rsidRPr="002F0334" w:rsidRDefault="00750780" w:rsidP="00750780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80" w:rsidRPr="002F0334" w:rsidRDefault="00750780" w:rsidP="0075078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Сума, що повертається (грн, коп.)</w:t>
            </w:r>
          </w:p>
        </w:tc>
      </w:tr>
      <w:tr w:rsidR="00750780" w:rsidRPr="002F0334" w:rsidTr="003F3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80" w:rsidRPr="002F0334" w:rsidRDefault="00750780" w:rsidP="00750780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80" w:rsidRPr="002F0334" w:rsidRDefault="00750780" w:rsidP="0075078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Рахунок, зазначений платником у заяві, на який повертаються кошти</w:t>
            </w:r>
          </w:p>
        </w:tc>
      </w:tr>
      <w:tr w:rsidR="00750780" w:rsidRPr="002F0334" w:rsidTr="003F3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80" w:rsidRPr="002F0334" w:rsidRDefault="00750780" w:rsidP="00750780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80" w:rsidRPr="002F0334" w:rsidRDefault="00750780" w:rsidP="0075078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митної декларації</w:t>
            </w:r>
          </w:p>
        </w:tc>
      </w:tr>
      <w:tr w:rsidR="00750780" w:rsidRPr="002F0334" w:rsidTr="003F3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80" w:rsidRPr="002F0334" w:rsidRDefault="00750780" w:rsidP="00750780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80" w:rsidRPr="002F0334" w:rsidRDefault="00750780" w:rsidP="0075078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Дата митної декларації </w:t>
            </w:r>
          </w:p>
        </w:tc>
      </w:tr>
      <w:bookmarkEnd w:id="0"/>
    </w:tbl>
    <w:p w:rsidR="003F3A3B" w:rsidRPr="002F0334" w:rsidRDefault="003F3A3B" w:rsidP="008720B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3749" w:rsidRPr="00936032" w:rsidRDefault="00C93749" w:rsidP="00C93749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3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sectPr w:rsidR="00C93749" w:rsidRPr="00936032" w:rsidSect="002D25FF">
      <w:headerReference w:type="default" r:id="rId7"/>
      <w:pgSz w:w="11906" w:h="16838"/>
      <w:pgMar w:top="850" w:right="566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C07" w:rsidRDefault="00F25C07" w:rsidP="00C846E9">
      <w:pPr>
        <w:spacing w:after="0" w:line="240" w:lineRule="auto"/>
      </w:pPr>
      <w:r>
        <w:separator/>
      </w:r>
    </w:p>
  </w:endnote>
  <w:endnote w:type="continuationSeparator" w:id="0">
    <w:p w:rsidR="00F25C07" w:rsidRDefault="00F25C07" w:rsidP="00C84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C07" w:rsidRDefault="00F25C07" w:rsidP="00C846E9">
      <w:pPr>
        <w:spacing w:after="0" w:line="240" w:lineRule="auto"/>
      </w:pPr>
      <w:r>
        <w:separator/>
      </w:r>
    </w:p>
  </w:footnote>
  <w:footnote w:type="continuationSeparator" w:id="0">
    <w:p w:rsidR="00F25C07" w:rsidRDefault="00F25C07" w:rsidP="00C84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1603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25C07" w:rsidRPr="001C4276" w:rsidRDefault="00F25C0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C42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C427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C42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0334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1C42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5C07" w:rsidRDefault="00F25C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512"/>
    <w:multiLevelType w:val="hybridMultilevel"/>
    <w:tmpl w:val="950A445A"/>
    <w:lvl w:ilvl="0" w:tplc="EE6C26A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64"/>
    <w:rsid w:val="000130FB"/>
    <w:rsid w:val="00041649"/>
    <w:rsid w:val="001234EE"/>
    <w:rsid w:val="001C4276"/>
    <w:rsid w:val="00297A7A"/>
    <w:rsid w:val="002D25FF"/>
    <w:rsid w:val="002F0334"/>
    <w:rsid w:val="00317C06"/>
    <w:rsid w:val="00390209"/>
    <w:rsid w:val="003D60C1"/>
    <w:rsid w:val="003F3A3B"/>
    <w:rsid w:val="00415252"/>
    <w:rsid w:val="00435F19"/>
    <w:rsid w:val="004568FC"/>
    <w:rsid w:val="00465D75"/>
    <w:rsid w:val="00467143"/>
    <w:rsid w:val="00504D2F"/>
    <w:rsid w:val="00535452"/>
    <w:rsid w:val="005C49D1"/>
    <w:rsid w:val="006370F6"/>
    <w:rsid w:val="0065095B"/>
    <w:rsid w:val="00653812"/>
    <w:rsid w:val="00655041"/>
    <w:rsid w:val="006C4951"/>
    <w:rsid w:val="00750780"/>
    <w:rsid w:val="00771000"/>
    <w:rsid w:val="007C19C4"/>
    <w:rsid w:val="007C78AB"/>
    <w:rsid w:val="007F64D7"/>
    <w:rsid w:val="008720B8"/>
    <w:rsid w:val="008810FD"/>
    <w:rsid w:val="0090049C"/>
    <w:rsid w:val="00936032"/>
    <w:rsid w:val="00B10DC6"/>
    <w:rsid w:val="00B35C09"/>
    <w:rsid w:val="00B71D74"/>
    <w:rsid w:val="00BC2B06"/>
    <w:rsid w:val="00BE2684"/>
    <w:rsid w:val="00BE53BB"/>
    <w:rsid w:val="00C846E9"/>
    <w:rsid w:val="00C93749"/>
    <w:rsid w:val="00C95CF9"/>
    <w:rsid w:val="00CA439D"/>
    <w:rsid w:val="00CA5CC7"/>
    <w:rsid w:val="00CB16A7"/>
    <w:rsid w:val="00CB6A46"/>
    <w:rsid w:val="00D00585"/>
    <w:rsid w:val="00D01F04"/>
    <w:rsid w:val="00D25C05"/>
    <w:rsid w:val="00D26CFF"/>
    <w:rsid w:val="00D43579"/>
    <w:rsid w:val="00D908C0"/>
    <w:rsid w:val="00DA7116"/>
    <w:rsid w:val="00E02061"/>
    <w:rsid w:val="00E134F1"/>
    <w:rsid w:val="00E169EC"/>
    <w:rsid w:val="00E45894"/>
    <w:rsid w:val="00E60AA9"/>
    <w:rsid w:val="00E61E17"/>
    <w:rsid w:val="00EA31D2"/>
    <w:rsid w:val="00F25C07"/>
    <w:rsid w:val="00F35882"/>
    <w:rsid w:val="00F55564"/>
    <w:rsid w:val="00F73C07"/>
    <w:rsid w:val="00FC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EA2FF-FEE3-4C70-A0E0-65B084C2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116"/>
    <w:pPr>
      <w:spacing w:after="0" w:line="240" w:lineRule="auto"/>
    </w:pPr>
  </w:style>
  <w:style w:type="character" w:customStyle="1" w:styleId="rvts9">
    <w:name w:val="rvts9"/>
    <w:basedOn w:val="a0"/>
    <w:rsid w:val="00D25C05"/>
  </w:style>
  <w:style w:type="table" w:styleId="a4">
    <w:name w:val="Table Grid"/>
    <w:basedOn w:val="a1"/>
    <w:uiPriority w:val="39"/>
    <w:rsid w:val="00D25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BC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60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60AA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46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C846E9"/>
  </w:style>
  <w:style w:type="paragraph" w:styleId="aa">
    <w:name w:val="footer"/>
    <w:basedOn w:val="a"/>
    <w:link w:val="ab"/>
    <w:uiPriority w:val="99"/>
    <w:unhideWhenUsed/>
    <w:rsid w:val="00C846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84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2507950.dotm</Template>
  <TotalTime>191</TotalTime>
  <Pages>13</Pages>
  <Words>2703</Words>
  <Characters>18819</Characters>
  <Application>Microsoft Office Word</Application>
  <DocSecurity>0</DocSecurity>
  <Lines>418</Lines>
  <Paragraphs>151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КРИСОВАТИЙ ІГОР АНДРІЙОВИЧ</dc:creator>
  <cp:lastModifiedBy>Сімонова Олена Вікторівна</cp:lastModifiedBy>
  <cp:revision>14</cp:revision>
  <cp:lastPrinted>2019-10-07T07:42:00Z</cp:lastPrinted>
  <dcterms:created xsi:type="dcterms:W3CDTF">2019-10-04T08:03:00Z</dcterms:created>
  <dcterms:modified xsi:type="dcterms:W3CDTF">2019-10-07T14:04:00Z</dcterms:modified>
</cp:coreProperties>
</file>