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EBB5" w14:textId="60D7CF5D" w:rsidR="00504D64" w:rsidRDefault="00504D64" w:rsidP="00504D64">
      <w:pPr>
        <w:jc w:val="center"/>
        <w:rPr>
          <w:b/>
          <w:lang w:val="uk-UA"/>
        </w:rPr>
      </w:pPr>
    </w:p>
    <w:p w14:paraId="523B17AC" w14:textId="77777777" w:rsidR="00304CF7" w:rsidRPr="003B17E3" w:rsidRDefault="00304CF7" w:rsidP="00504D64">
      <w:pPr>
        <w:jc w:val="center"/>
        <w:rPr>
          <w:b/>
          <w:lang w:val="uk-UA"/>
        </w:rPr>
      </w:pPr>
    </w:p>
    <w:p w14:paraId="7F9D871F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5955A094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44FE3265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66E0245B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3FDFA4D4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01C336D4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391B2660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619C1607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3C0603A1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4DC5FF58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3FE1B43A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50CBE611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39460194" w14:textId="77777777" w:rsidR="00504D64" w:rsidRPr="003B17E3" w:rsidRDefault="00504D64" w:rsidP="00504D64">
      <w:pPr>
        <w:jc w:val="center"/>
        <w:rPr>
          <w:b/>
          <w:lang w:val="uk-UA"/>
        </w:rPr>
      </w:pPr>
    </w:p>
    <w:p w14:paraId="4DB757B7" w14:textId="6BD682E5" w:rsidR="00504D64" w:rsidRPr="003B17E3" w:rsidRDefault="00504D64" w:rsidP="00504D64">
      <w:pPr>
        <w:jc w:val="center"/>
        <w:rPr>
          <w:sz w:val="36"/>
          <w:szCs w:val="36"/>
          <w:lang w:val="uk-UA"/>
        </w:rPr>
      </w:pPr>
      <w:r w:rsidRPr="003B17E3">
        <w:rPr>
          <w:b/>
          <w:bCs/>
          <w:sz w:val="36"/>
          <w:szCs w:val="36"/>
          <w:lang w:val="uk-UA"/>
        </w:rPr>
        <w:t xml:space="preserve">Непоточні </w:t>
      </w:r>
      <w:proofErr w:type="spellStart"/>
      <w:r w:rsidRPr="003B17E3">
        <w:rPr>
          <w:b/>
          <w:bCs/>
          <w:sz w:val="36"/>
          <w:szCs w:val="36"/>
          <w:lang w:val="uk-UA"/>
        </w:rPr>
        <w:t>зобовʼязання</w:t>
      </w:r>
      <w:proofErr w:type="spellEnd"/>
      <w:r w:rsidRPr="003B17E3">
        <w:rPr>
          <w:b/>
          <w:bCs/>
          <w:sz w:val="36"/>
          <w:szCs w:val="36"/>
          <w:lang w:val="uk-UA"/>
        </w:rPr>
        <w:t xml:space="preserve"> </w:t>
      </w:r>
      <w:r w:rsidR="008300A1">
        <w:rPr>
          <w:b/>
          <w:bCs/>
          <w:sz w:val="36"/>
          <w:szCs w:val="36"/>
          <w:lang w:val="uk-UA"/>
        </w:rPr>
        <w:t>і</w:t>
      </w:r>
      <w:r w:rsidRPr="003B17E3">
        <w:rPr>
          <w:b/>
          <w:bCs/>
          <w:sz w:val="36"/>
          <w:szCs w:val="36"/>
          <w:lang w:val="uk-UA"/>
        </w:rPr>
        <w:t>з</w:t>
      </w:r>
      <w:r w:rsidR="008300A1">
        <w:rPr>
          <w:b/>
          <w:bCs/>
          <w:sz w:val="36"/>
          <w:szCs w:val="36"/>
          <w:lang w:val="uk-UA"/>
        </w:rPr>
        <w:t xml:space="preserve"> спеціальними</w:t>
      </w:r>
      <w:r w:rsidRPr="003B17E3">
        <w:rPr>
          <w:b/>
          <w:bCs/>
          <w:sz w:val="36"/>
          <w:szCs w:val="36"/>
          <w:lang w:val="uk-UA"/>
        </w:rPr>
        <w:t xml:space="preserve"> умовами</w:t>
      </w:r>
      <w:r w:rsidRPr="003B17E3">
        <w:rPr>
          <w:sz w:val="36"/>
          <w:szCs w:val="36"/>
          <w:lang w:val="uk-UA"/>
        </w:rPr>
        <w:br/>
      </w:r>
      <w:r w:rsidRPr="003B17E3">
        <w:rPr>
          <w:sz w:val="36"/>
          <w:szCs w:val="36"/>
          <w:lang w:val="uk-UA"/>
        </w:rPr>
        <w:br/>
        <w:t xml:space="preserve">Зміни, що вносяться </w:t>
      </w:r>
      <w:r w:rsidR="00553525">
        <w:rPr>
          <w:sz w:val="36"/>
          <w:szCs w:val="36"/>
          <w:lang w:val="uk-UA"/>
        </w:rPr>
        <w:t>до</w:t>
      </w:r>
      <w:r w:rsidRPr="003B17E3">
        <w:rPr>
          <w:sz w:val="36"/>
          <w:szCs w:val="36"/>
          <w:lang w:val="uk-UA"/>
        </w:rPr>
        <w:t xml:space="preserve"> МСБО 1</w:t>
      </w:r>
    </w:p>
    <w:p w14:paraId="0DACF63A" w14:textId="77777777" w:rsidR="00504D64" w:rsidRPr="003B17E3" w:rsidRDefault="00504D64" w:rsidP="00504D64">
      <w:pPr>
        <w:rPr>
          <w:lang w:val="uk-UA"/>
        </w:rPr>
      </w:pPr>
    </w:p>
    <w:p w14:paraId="3F6ED461" w14:textId="77777777" w:rsidR="00504D64" w:rsidRPr="003B17E3" w:rsidRDefault="00504D64" w:rsidP="00504D64">
      <w:pPr>
        <w:rPr>
          <w:lang w:val="uk-UA"/>
        </w:rPr>
        <w:sectPr w:rsidR="00504D64" w:rsidRPr="003B17E3" w:rsidSect="00504D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80" w:h="16820"/>
          <w:pgMar w:top="1440" w:right="1440" w:bottom="1440" w:left="1440" w:header="720" w:footer="720" w:gutter="0"/>
          <w:cols w:space="720"/>
        </w:sectPr>
      </w:pPr>
    </w:p>
    <w:p w14:paraId="19D667C1" w14:textId="78389BF1" w:rsidR="00504D64" w:rsidRPr="00164C13" w:rsidRDefault="00504D64" w:rsidP="00504D64">
      <w:pPr>
        <w:pStyle w:val="IASBSectionTitle1NonInd"/>
        <w:rPr>
          <w:lang w:val="ru-RU"/>
        </w:rPr>
      </w:pPr>
      <w:r w:rsidRPr="003B17E3">
        <w:rPr>
          <w:bCs/>
          <w:lang w:val="uk-UA"/>
        </w:rPr>
        <w:lastRenderedPageBreak/>
        <w:t xml:space="preserve">Зміни, що вносяться </w:t>
      </w:r>
      <w:r w:rsidR="00553525">
        <w:rPr>
          <w:bCs/>
          <w:lang w:val="uk-UA"/>
        </w:rPr>
        <w:t>до</w:t>
      </w:r>
      <w:r w:rsidRPr="003B17E3">
        <w:rPr>
          <w:bCs/>
          <w:lang w:val="uk-UA"/>
        </w:rPr>
        <w:t xml:space="preserve"> МСБО 1 </w:t>
      </w:r>
      <w:r w:rsidR="00164C13" w:rsidRPr="00164C13">
        <w:rPr>
          <w:lang w:val="ru-RU"/>
        </w:rPr>
        <w:t>“</w:t>
      </w:r>
      <w:r w:rsidRPr="003B17E3">
        <w:rPr>
          <w:bCs/>
          <w:lang w:val="uk-UA"/>
        </w:rPr>
        <w:t>Подання фінансов</w:t>
      </w:r>
      <w:r w:rsidR="00FC6D3E">
        <w:rPr>
          <w:bCs/>
          <w:lang w:val="uk-UA"/>
        </w:rPr>
        <w:t>ої</w:t>
      </w:r>
      <w:r w:rsidRPr="003B17E3">
        <w:rPr>
          <w:bCs/>
          <w:lang w:val="uk-UA"/>
        </w:rPr>
        <w:t xml:space="preserve"> звіт</w:t>
      </w:r>
      <w:r w:rsidR="00FC6D3E">
        <w:rPr>
          <w:bCs/>
          <w:lang w:val="uk-UA"/>
        </w:rPr>
        <w:t>ності</w:t>
      </w:r>
      <w:r w:rsidR="00164C13" w:rsidRPr="00164C13">
        <w:rPr>
          <w:lang w:val="ru-RU"/>
        </w:rPr>
        <w:t>“</w:t>
      </w:r>
    </w:p>
    <w:p w14:paraId="51571AC6" w14:textId="77777777" w:rsidR="00504D64" w:rsidRPr="003B17E3" w:rsidRDefault="00504D64" w:rsidP="00504D64">
      <w:pPr>
        <w:pStyle w:val="IASBNormalnpara"/>
        <w:rPr>
          <w:lang w:val="uk-UA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04D64" w:rsidRPr="00553525" w14:paraId="5B0FB0D0" w14:textId="77777777" w:rsidTr="00403DA3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15AAF899" w14:textId="1E99A5DC" w:rsidR="00504D64" w:rsidRPr="003B17E3" w:rsidRDefault="00911B77" w:rsidP="00911B77">
            <w:pPr>
              <w:pStyle w:val="IASBTableArial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04D64" w:rsidRPr="003B17E3">
              <w:rPr>
                <w:lang w:val="uk-UA"/>
              </w:rPr>
              <w:t>ункт</w:t>
            </w:r>
            <w:r>
              <w:rPr>
                <w:lang w:val="uk-UA"/>
              </w:rPr>
              <w:t>и</w:t>
            </w:r>
            <w:r w:rsidR="00504D64" w:rsidRPr="003B17E3">
              <w:rPr>
                <w:lang w:val="uk-UA"/>
              </w:rPr>
              <w:t> 60, 71, 72А, 74 та 139Р змін</w:t>
            </w:r>
            <w:r>
              <w:rPr>
                <w:lang w:val="uk-UA"/>
              </w:rPr>
              <w:t>ено</w:t>
            </w:r>
            <w:r w:rsidR="00504D64" w:rsidRPr="003B17E3">
              <w:rPr>
                <w:lang w:val="uk-UA"/>
              </w:rPr>
              <w:t xml:space="preserve">. Додано пункти 72Б та 139Т. Одразу після пункту 76 додано пункт 76ХА. Новий текст підкреслено, а вилучений текст закреслено. </w:t>
            </w:r>
            <w:r>
              <w:rPr>
                <w:lang w:val="uk-UA"/>
              </w:rPr>
              <w:t>П</w:t>
            </w:r>
            <w:r w:rsidR="00504D64" w:rsidRPr="003B17E3">
              <w:rPr>
                <w:lang w:val="uk-UA"/>
              </w:rPr>
              <w:t>ункт</w:t>
            </w:r>
            <w:r>
              <w:rPr>
                <w:lang w:val="uk-UA"/>
              </w:rPr>
              <w:t>и</w:t>
            </w:r>
            <w:r w:rsidR="00504D64" w:rsidRPr="003B17E3">
              <w:rPr>
                <w:lang w:val="uk-UA"/>
              </w:rPr>
              <w:t xml:space="preserve"> 69 і 75 не </w:t>
            </w:r>
            <w:r>
              <w:rPr>
                <w:lang w:val="uk-UA"/>
              </w:rPr>
              <w:t>змінювались</w:t>
            </w:r>
            <w:r w:rsidR="00504D64" w:rsidRPr="003B17E3">
              <w:rPr>
                <w:lang w:val="uk-UA"/>
              </w:rPr>
              <w:t>, але їх включено для спрощення посилань.</w:t>
            </w:r>
          </w:p>
        </w:tc>
      </w:tr>
    </w:tbl>
    <w:p w14:paraId="03FF145A" w14:textId="77777777" w:rsidR="00504D64" w:rsidRPr="003B17E3" w:rsidRDefault="00504D64" w:rsidP="00504D64">
      <w:pPr>
        <w:pStyle w:val="IASBNormalnpara"/>
        <w:rPr>
          <w:lang w:val="uk-UA"/>
        </w:rPr>
      </w:pPr>
    </w:p>
    <w:p w14:paraId="6BBC6CAD" w14:textId="77777777" w:rsidR="00504D64" w:rsidRPr="003B17E3" w:rsidRDefault="00504D64" w:rsidP="00504D64">
      <w:pPr>
        <w:pStyle w:val="IASBSectionTitle1NonInd"/>
        <w:rPr>
          <w:lang w:val="uk-UA"/>
        </w:rPr>
      </w:pPr>
      <w:r w:rsidRPr="003B17E3">
        <w:rPr>
          <w:bCs/>
          <w:lang w:val="uk-UA"/>
        </w:rPr>
        <w:t>Структура та зміст</w:t>
      </w:r>
    </w:p>
    <w:p w14:paraId="36A21A97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03E2E282" w14:textId="77777777" w:rsidR="00504D64" w:rsidRPr="003B17E3" w:rsidRDefault="00504D64" w:rsidP="00504D64">
      <w:pPr>
        <w:pStyle w:val="IASBSectionTitle2Ind"/>
        <w:rPr>
          <w:lang w:val="uk-UA"/>
        </w:rPr>
      </w:pPr>
      <w:r w:rsidRPr="003B17E3">
        <w:rPr>
          <w:bCs/>
          <w:lang w:val="uk-UA"/>
        </w:rPr>
        <w:t>Звіт про фінансовий стан</w:t>
      </w:r>
    </w:p>
    <w:p w14:paraId="32184BED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69258D80" w14:textId="631024C5" w:rsidR="00504D64" w:rsidRPr="003B17E3" w:rsidRDefault="003C02BD" w:rsidP="00504D64">
      <w:pPr>
        <w:pStyle w:val="IASBSectionTitle3Ind"/>
        <w:rPr>
          <w:lang w:val="uk-UA"/>
        </w:rPr>
      </w:pPr>
      <w:r>
        <w:rPr>
          <w:lang w:val="uk-UA"/>
        </w:rPr>
        <w:t>Розмежування на поточні та непоточні</w:t>
      </w:r>
    </w:p>
    <w:p w14:paraId="60B24F80" w14:textId="1E92B053" w:rsidR="00504D64" w:rsidRPr="003B17E3" w:rsidRDefault="00504D64" w:rsidP="00504D64">
      <w:pPr>
        <w:pStyle w:val="IASBNormalnpara"/>
        <w:rPr>
          <w:b/>
          <w:lang w:val="uk-UA"/>
        </w:rPr>
      </w:pPr>
      <w:r w:rsidRPr="003B17E3">
        <w:rPr>
          <w:b/>
          <w:bCs/>
          <w:lang w:val="uk-UA"/>
        </w:rPr>
        <w:t xml:space="preserve">60 </w:t>
      </w:r>
      <w:r w:rsidRPr="003B17E3">
        <w:rPr>
          <w:b/>
          <w:bCs/>
          <w:lang w:val="uk-UA"/>
        </w:rPr>
        <w:tab/>
      </w:r>
      <w:proofErr w:type="spellStart"/>
      <w:r w:rsidRPr="003B17E3">
        <w:rPr>
          <w:b/>
          <w:bCs/>
          <w:lang w:val="uk-UA"/>
        </w:rPr>
        <w:t>Субʼєкт</w:t>
      </w:r>
      <w:proofErr w:type="spellEnd"/>
      <w:r w:rsidRPr="003B17E3">
        <w:rPr>
          <w:b/>
          <w:bCs/>
          <w:lang w:val="uk-UA"/>
        </w:rPr>
        <w:t xml:space="preserve"> господарювання подає поточні та непоточні активи й поточні та непоточні </w:t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як окремі класифікації у своєму звіті про фінансовий стан відповідно до пунктів 66–76</w:t>
      </w:r>
      <w:r w:rsidRPr="003B17E3">
        <w:rPr>
          <w:b/>
          <w:bCs/>
          <w:u w:val="single"/>
          <w:lang w:val="uk-UA"/>
        </w:rPr>
        <w:t>Б</w:t>
      </w:r>
      <w:r w:rsidRPr="003B17E3">
        <w:rPr>
          <w:b/>
          <w:bCs/>
          <w:lang w:val="uk-UA"/>
        </w:rPr>
        <w:t xml:space="preserve">, за винятком випадків, коли подання, що базується на ліквідності, надає інформацію, що є </w:t>
      </w:r>
      <w:r w:rsidR="00231CB3">
        <w:rPr>
          <w:b/>
          <w:bCs/>
          <w:lang w:val="uk-UA"/>
        </w:rPr>
        <w:t>достовірною</w:t>
      </w:r>
      <w:r w:rsidR="00231CB3" w:rsidRPr="003B17E3">
        <w:rPr>
          <w:b/>
          <w:bCs/>
          <w:lang w:val="uk-UA"/>
        </w:rPr>
        <w:t xml:space="preserve"> </w:t>
      </w:r>
      <w:r w:rsidRPr="003B17E3">
        <w:rPr>
          <w:b/>
          <w:bCs/>
          <w:lang w:val="uk-UA"/>
        </w:rPr>
        <w:t xml:space="preserve">та більш доречною. У разі </w:t>
      </w:r>
      <w:r w:rsidR="00231CB3">
        <w:rPr>
          <w:b/>
          <w:bCs/>
          <w:lang w:val="uk-UA"/>
        </w:rPr>
        <w:t>заст</w:t>
      </w:r>
      <w:r w:rsidR="00DE5A79">
        <w:rPr>
          <w:b/>
          <w:bCs/>
          <w:lang w:val="uk-UA"/>
        </w:rPr>
        <w:t>о</w:t>
      </w:r>
      <w:r w:rsidR="00231CB3">
        <w:rPr>
          <w:b/>
          <w:bCs/>
          <w:lang w:val="uk-UA"/>
        </w:rPr>
        <w:t xml:space="preserve">сування </w:t>
      </w:r>
      <w:r w:rsidRPr="003B17E3">
        <w:rPr>
          <w:b/>
          <w:bCs/>
          <w:lang w:val="uk-UA"/>
        </w:rPr>
        <w:t xml:space="preserve">такого винятку </w:t>
      </w:r>
      <w:proofErr w:type="spellStart"/>
      <w:r w:rsidRPr="003B17E3">
        <w:rPr>
          <w:b/>
          <w:bCs/>
          <w:lang w:val="uk-UA"/>
        </w:rPr>
        <w:t>субʼєкт</w:t>
      </w:r>
      <w:proofErr w:type="spellEnd"/>
      <w:r w:rsidRPr="003B17E3">
        <w:rPr>
          <w:b/>
          <w:bCs/>
          <w:lang w:val="uk-UA"/>
        </w:rPr>
        <w:t xml:space="preserve"> господарювання подає всі активи та зобов’язання у порядку їхньої ліквідності.</w:t>
      </w:r>
    </w:p>
    <w:p w14:paraId="33A0BFD6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38EC4285" w14:textId="77777777" w:rsidR="00504D64" w:rsidRPr="003B17E3" w:rsidRDefault="00504D64" w:rsidP="00504D64">
      <w:pPr>
        <w:pStyle w:val="IASBSectionTitle3Ind"/>
        <w:rPr>
          <w:lang w:val="uk-UA"/>
        </w:rPr>
      </w:pPr>
      <w:r w:rsidRPr="003B17E3">
        <w:rPr>
          <w:bCs/>
          <w:lang w:val="uk-UA"/>
        </w:rPr>
        <w:t xml:space="preserve">Поточні </w:t>
      </w:r>
      <w:proofErr w:type="spellStart"/>
      <w:r w:rsidRPr="003B17E3">
        <w:rPr>
          <w:bCs/>
          <w:lang w:val="uk-UA"/>
        </w:rPr>
        <w:t>зобовʼязання</w:t>
      </w:r>
      <w:proofErr w:type="spellEnd"/>
    </w:p>
    <w:p w14:paraId="5AC0B09F" w14:textId="77777777" w:rsidR="00504D64" w:rsidRPr="003B17E3" w:rsidRDefault="00504D64" w:rsidP="00504D64">
      <w:pPr>
        <w:pStyle w:val="IASBNormalnpara"/>
        <w:rPr>
          <w:b/>
          <w:lang w:val="uk-UA"/>
        </w:rPr>
      </w:pPr>
      <w:r w:rsidRPr="003B17E3">
        <w:rPr>
          <w:b/>
          <w:bCs/>
          <w:lang w:val="uk-UA"/>
        </w:rPr>
        <w:t xml:space="preserve">69 </w:t>
      </w:r>
      <w:r w:rsidRPr="003B17E3">
        <w:rPr>
          <w:b/>
          <w:bCs/>
          <w:lang w:val="uk-UA"/>
        </w:rPr>
        <w:tab/>
      </w:r>
      <w:proofErr w:type="spellStart"/>
      <w:r w:rsidRPr="003B17E3">
        <w:rPr>
          <w:b/>
          <w:bCs/>
          <w:lang w:val="uk-UA"/>
        </w:rPr>
        <w:t>Субʼєкт</w:t>
      </w:r>
      <w:proofErr w:type="spellEnd"/>
      <w:r w:rsidRPr="003B17E3">
        <w:rPr>
          <w:b/>
          <w:bCs/>
          <w:lang w:val="uk-UA"/>
        </w:rPr>
        <w:t xml:space="preserve"> господарювання класифікує </w:t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як поточне, якщо:</w:t>
      </w:r>
    </w:p>
    <w:p w14:paraId="2D44A878" w14:textId="10AD7965" w:rsidR="00504D64" w:rsidRPr="003B17E3" w:rsidRDefault="00504D64" w:rsidP="00504D64">
      <w:pPr>
        <w:pStyle w:val="IASBNormalnparaL1"/>
        <w:rPr>
          <w:b/>
          <w:lang w:val="uk-UA"/>
        </w:rPr>
      </w:pPr>
      <w:r w:rsidRPr="003B17E3">
        <w:rPr>
          <w:b/>
          <w:bCs/>
          <w:lang w:val="uk-UA"/>
        </w:rPr>
        <w:t xml:space="preserve">а) </w:t>
      </w:r>
      <w:r w:rsidRPr="003B17E3">
        <w:rPr>
          <w:b/>
          <w:bCs/>
          <w:lang w:val="uk-UA"/>
        </w:rPr>
        <w:tab/>
        <w:t xml:space="preserve">він сподівається погасити це </w:t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в ході свого звичайного операційного циклу;</w:t>
      </w:r>
    </w:p>
    <w:p w14:paraId="3DFFBBDE" w14:textId="77777777" w:rsidR="00504D64" w:rsidRPr="003B17E3" w:rsidRDefault="00504D64" w:rsidP="00504D64">
      <w:pPr>
        <w:pStyle w:val="IASBNormalnparaL1"/>
        <w:rPr>
          <w:b/>
          <w:lang w:val="uk-UA"/>
        </w:rPr>
      </w:pPr>
      <w:r w:rsidRPr="003B17E3">
        <w:rPr>
          <w:b/>
          <w:bCs/>
          <w:lang w:val="uk-UA"/>
        </w:rPr>
        <w:t xml:space="preserve">б) </w:t>
      </w:r>
      <w:r w:rsidRPr="003B17E3">
        <w:rPr>
          <w:b/>
          <w:bCs/>
          <w:lang w:val="uk-UA"/>
        </w:rPr>
        <w:tab/>
        <w:t xml:space="preserve">він утримує це </w:t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в основному з метою продажу;</w:t>
      </w:r>
    </w:p>
    <w:p w14:paraId="16D6F6F0" w14:textId="77777777" w:rsidR="00504D64" w:rsidRPr="003B17E3" w:rsidRDefault="00504D64" w:rsidP="00504D64">
      <w:pPr>
        <w:pStyle w:val="IASBNormalnparaL1"/>
        <w:rPr>
          <w:b/>
          <w:lang w:val="uk-UA"/>
        </w:rPr>
      </w:pPr>
      <w:r w:rsidRPr="003B17E3">
        <w:rPr>
          <w:b/>
          <w:bCs/>
          <w:lang w:val="uk-UA"/>
        </w:rPr>
        <w:t xml:space="preserve">в) </w:t>
      </w:r>
      <w:r w:rsidRPr="003B17E3">
        <w:rPr>
          <w:b/>
          <w:bCs/>
          <w:lang w:val="uk-UA"/>
        </w:rPr>
        <w:tab/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підлягає погашенню протягом дванадцяти місяців після звітного періоду; або</w:t>
      </w:r>
    </w:p>
    <w:p w14:paraId="4FCC0D02" w14:textId="77777777" w:rsidR="00504D64" w:rsidRPr="003B17E3" w:rsidRDefault="00504D64" w:rsidP="00504D64">
      <w:pPr>
        <w:pStyle w:val="IASBNormalnparaL1"/>
        <w:rPr>
          <w:b/>
          <w:lang w:val="uk-UA"/>
        </w:rPr>
      </w:pPr>
      <w:r w:rsidRPr="003B17E3">
        <w:rPr>
          <w:b/>
          <w:bCs/>
          <w:lang w:val="uk-UA"/>
        </w:rPr>
        <w:t xml:space="preserve">г) </w:t>
      </w:r>
      <w:r w:rsidRPr="003B17E3">
        <w:rPr>
          <w:b/>
          <w:bCs/>
          <w:lang w:val="uk-UA"/>
        </w:rPr>
        <w:tab/>
        <w:t xml:space="preserve">він не має права відстрочити погашення </w:t>
      </w:r>
      <w:proofErr w:type="spellStart"/>
      <w:r w:rsidRPr="003B17E3">
        <w:rPr>
          <w:b/>
          <w:bCs/>
          <w:lang w:val="uk-UA"/>
        </w:rPr>
        <w:t>зобовʼязання</w:t>
      </w:r>
      <w:proofErr w:type="spellEnd"/>
      <w:r w:rsidRPr="003B17E3">
        <w:rPr>
          <w:b/>
          <w:bCs/>
          <w:lang w:val="uk-UA"/>
        </w:rPr>
        <w:t xml:space="preserve"> наприкінці звітного періоду щонайменше на дванадцять місяців після звітного періоду.</w:t>
      </w:r>
    </w:p>
    <w:p w14:paraId="621BEBED" w14:textId="53F326C1" w:rsidR="00504D64" w:rsidRPr="003B17E3" w:rsidRDefault="00AB0126" w:rsidP="00504D64">
      <w:pPr>
        <w:pStyle w:val="IASBNormalnparaP"/>
        <w:rPr>
          <w:b/>
          <w:lang w:val="uk-UA"/>
        </w:rPr>
      </w:pPr>
      <w:r w:rsidRPr="00AB0126">
        <w:rPr>
          <w:b/>
          <w:bCs/>
          <w:lang w:val="uk-UA"/>
        </w:rPr>
        <w:t>Усі інші зобов’язання суб’єкту господарювання слід класифікувати як непоточні</w:t>
      </w:r>
      <w:r w:rsidR="00504D64" w:rsidRPr="003B17E3">
        <w:rPr>
          <w:b/>
          <w:bCs/>
          <w:lang w:val="uk-UA"/>
        </w:rPr>
        <w:t>.</w:t>
      </w:r>
    </w:p>
    <w:p w14:paraId="6436DA02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275662AF" w14:textId="0363CC37" w:rsidR="00504D64" w:rsidRPr="003B17E3" w:rsidRDefault="00504D64" w:rsidP="00504D64">
      <w:pPr>
        <w:pStyle w:val="IASBSectionTitle4Ind"/>
        <w:rPr>
          <w:lang w:val="uk-UA"/>
        </w:rPr>
      </w:pPr>
      <w:r w:rsidRPr="003B17E3">
        <w:rPr>
          <w:iCs/>
          <w:lang w:val="uk-UA"/>
        </w:rPr>
        <w:t>Утриму</w:t>
      </w:r>
      <w:r w:rsidR="00784D25">
        <w:rPr>
          <w:iCs/>
          <w:lang w:val="uk-UA"/>
        </w:rPr>
        <w:t>вані</w:t>
      </w:r>
      <w:r w:rsidRPr="003B17E3">
        <w:rPr>
          <w:iCs/>
          <w:lang w:val="uk-UA"/>
        </w:rPr>
        <w:t xml:space="preserve"> в основному з метою </w:t>
      </w:r>
      <w:r w:rsidR="00366CE2">
        <w:rPr>
          <w:iCs/>
          <w:lang w:val="uk-UA"/>
        </w:rPr>
        <w:t>продажу</w:t>
      </w:r>
      <w:r w:rsidR="00366CE2" w:rsidRPr="003B17E3">
        <w:rPr>
          <w:iCs/>
          <w:lang w:val="uk-UA"/>
        </w:rPr>
        <w:t xml:space="preserve"> </w:t>
      </w:r>
      <w:r w:rsidRPr="003B17E3">
        <w:rPr>
          <w:iCs/>
          <w:lang w:val="uk-UA"/>
        </w:rPr>
        <w:t>(пункт 69(б)</w:t>
      </w:r>
      <w:r w:rsidR="000347CB">
        <w:rPr>
          <w:iCs/>
          <w:lang w:val="uk-UA"/>
        </w:rPr>
        <w:t>)</w:t>
      </w:r>
      <w:r w:rsidRPr="003B17E3">
        <w:rPr>
          <w:iCs/>
          <w:lang w:val="uk-UA"/>
        </w:rPr>
        <w:t xml:space="preserve"> або </w:t>
      </w:r>
      <w:r w:rsidR="00784D25">
        <w:rPr>
          <w:iCs/>
          <w:lang w:val="uk-UA"/>
        </w:rPr>
        <w:t xml:space="preserve">такі, що </w:t>
      </w:r>
      <w:r w:rsidRPr="003B17E3">
        <w:rPr>
          <w:iCs/>
          <w:lang w:val="uk-UA"/>
        </w:rPr>
        <w:t>підляга</w:t>
      </w:r>
      <w:r w:rsidR="00784D25">
        <w:rPr>
          <w:iCs/>
          <w:lang w:val="uk-UA"/>
        </w:rPr>
        <w:t>ють</w:t>
      </w:r>
      <w:r w:rsidRPr="003B17E3">
        <w:rPr>
          <w:iCs/>
          <w:lang w:val="uk-UA"/>
        </w:rPr>
        <w:t xml:space="preserve"> погашенню </w:t>
      </w:r>
      <w:r w:rsidR="00784D25">
        <w:rPr>
          <w:iCs/>
          <w:lang w:val="uk-UA"/>
        </w:rPr>
        <w:t>протягом</w:t>
      </w:r>
      <w:r w:rsidR="00784D25" w:rsidRPr="003B17E3">
        <w:rPr>
          <w:iCs/>
          <w:lang w:val="uk-UA"/>
        </w:rPr>
        <w:t xml:space="preserve"> </w:t>
      </w:r>
      <w:r w:rsidRPr="003B17E3">
        <w:rPr>
          <w:iCs/>
          <w:lang w:val="uk-UA"/>
        </w:rPr>
        <w:t>дванадцяти місяців (пункт 69(в))</w:t>
      </w:r>
    </w:p>
    <w:p w14:paraId="381492E4" w14:textId="4EB029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 xml:space="preserve">71 </w:t>
      </w:r>
      <w:r w:rsidRPr="003B17E3">
        <w:rPr>
          <w:lang w:val="uk-UA"/>
        </w:rPr>
        <w:tab/>
        <w:t xml:space="preserve">Інші поточні зобов’язання не погашаються як частина звичайного операційного циклу, а підлягають погашенню протягом дванадцяти місяців після звітного періоду або утримуються в основному з метою продажу. Це, наприклад, деякі фінансові зобов’язання, що відповідають визначенню утримуваних для продажу, наведеному в МСФЗ 9, банківські овердрафти та поточна частина непоточних фінансових </w:t>
      </w:r>
      <w:proofErr w:type="spellStart"/>
      <w:r w:rsidRPr="003B17E3">
        <w:rPr>
          <w:lang w:val="uk-UA"/>
        </w:rPr>
        <w:t>зобовʼязань</w:t>
      </w:r>
      <w:proofErr w:type="spellEnd"/>
      <w:r w:rsidRPr="003B17E3">
        <w:rPr>
          <w:lang w:val="uk-UA"/>
        </w:rPr>
        <w:t xml:space="preserve">, дивіденди до сплати, податки на прибуток та інша неторговельна кредиторська заборгованість. Фінансові зобов’язання, що забезпечують фінансування на довгостроковій основі (тобто вони не є частиною робочого капіталу, що використовується у звичайному операційному циклі </w:t>
      </w:r>
      <w:proofErr w:type="spellStart"/>
      <w:r w:rsidRPr="003B17E3">
        <w:rPr>
          <w:lang w:val="uk-UA"/>
        </w:rPr>
        <w:t>субʼєкта</w:t>
      </w:r>
      <w:proofErr w:type="spellEnd"/>
      <w:r w:rsidRPr="003B17E3">
        <w:rPr>
          <w:lang w:val="uk-UA"/>
        </w:rPr>
        <w:t xml:space="preserve"> господарювання) і не підлягають погашенню протягом дванадцяти місяців після </w:t>
      </w:r>
      <w:r w:rsidR="00784D25">
        <w:rPr>
          <w:lang w:val="uk-UA"/>
        </w:rPr>
        <w:t>завершення</w:t>
      </w:r>
      <w:r w:rsidRPr="003B17E3">
        <w:rPr>
          <w:lang w:val="uk-UA"/>
        </w:rPr>
        <w:t xml:space="preserve"> звітного періоду, є непоточними </w:t>
      </w:r>
      <w:proofErr w:type="spellStart"/>
      <w:r w:rsidRPr="003B17E3">
        <w:rPr>
          <w:lang w:val="uk-UA"/>
        </w:rPr>
        <w:t>зобовʼязаннями</w:t>
      </w:r>
      <w:proofErr w:type="spellEnd"/>
      <w:r w:rsidRPr="003B17E3">
        <w:rPr>
          <w:lang w:val="uk-UA"/>
        </w:rPr>
        <w:t xml:space="preserve">, на які поширюються вимоги пунктів </w:t>
      </w:r>
      <w:r w:rsidRPr="003B17E3">
        <w:rPr>
          <w:u w:val="single"/>
          <w:lang w:val="uk-UA"/>
        </w:rPr>
        <w:t>72А–75</w:t>
      </w:r>
      <w:r w:rsidRPr="003B17E3">
        <w:rPr>
          <w:lang w:val="uk-UA"/>
        </w:rPr>
        <w:t xml:space="preserve"> </w:t>
      </w:r>
      <w:r w:rsidRPr="003B17E3">
        <w:rPr>
          <w:strike/>
          <w:lang w:val="uk-UA"/>
        </w:rPr>
        <w:t>74 і 75</w:t>
      </w:r>
      <w:r w:rsidRPr="003B17E3">
        <w:rPr>
          <w:lang w:val="uk-UA"/>
        </w:rPr>
        <w:t>.</w:t>
      </w:r>
    </w:p>
    <w:p w14:paraId="0853FAF7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18CF89CF" w14:textId="77777777" w:rsidR="00504D64" w:rsidRPr="003B17E3" w:rsidRDefault="00504D64" w:rsidP="00200116">
      <w:pPr>
        <w:pStyle w:val="IASBSectionTitle4Ind"/>
        <w:jc w:val="both"/>
        <w:rPr>
          <w:lang w:val="uk-UA"/>
        </w:rPr>
      </w:pPr>
      <w:r w:rsidRPr="003B17E3">
        <w:rPr>
          <w:iCs/>
          <w:lang w:val="uk-UA"/>
        </w:rPr>
        <w:lastRenderedPageBreak/>
        <w:t>Право відстрочити погашення щонайменше на дванадцять місяців (пункт 69(г))</w:t>
      </w:r>
    </w:p>
    <w:p w14:paraId="6CE686E4" w14:textId="0ECE42A9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 xml:space="preserve">72А </w:t>
      </w:r>
      <w:r w:rsidRPr="003B17E3">
        <w:rPr>
          <w:lang w:val="uk-UA"/>
        </w:rPr>
        <w:tab/>
        <w:t xml:space="preserve">Право </w:t>
      </w:r>
      <w:proofErr w:type="spellStart"/>
      <w:r w:rsidRPr="003B17E3">
        <w:rPr>
          <w:lang w:val="uk-UA"/>
        </w:rPr>
        <w:t>субʼєкта</w:t>
      </w:r>
      <w:proofErr w:type="spellEnd"/>
      <w:r w:rsidRPr="003B17E3">
        <w:rPr>
          <w:lang w:val="uk-UA"/>
        </w:rPr>
        <w:t xml:space="preserve"> господарювання відстрочити погашення </w:t>
      </w:r>
      <w:proofErr w:type="spellStart"/>
      <w:r w:rsidRPr="003B17E3">
        <w:rPr>
          <w:lang w:val="uk-UA"/>
        </w:rPr>
        <w:t>зобовʼязання</w:t>
      </w:r>
      <w:proofErr w:type="spellEnd"/>
      <w:r w:rsidRPr="003B17E3">
        <w:rPr>
          <w:lang w:val="uk-UA"/>
        </w:rPr>
        <w:t xml:space="preserve"> щонайменше на дванадцять місяців після звітного періоду повинне мати суть </w:t>
      </w:r>
      <w:r w:rsidR="00200116">
        <w:rPr>
          <w:lang w:val="uk-UA"/>
        </w:rPr>
        <w:t>та</w:t>
      </w:r>
      <w:r w:rsidRPr="003B17E3">
        <w:rPr>
          <w:lang w:val="uk-UA"/>
        </w:rPr>
        <w:t xml:space="preserve">, як показано </w:t>
      </w:r>
      <w:r w:rsidR="004E371C">
        <w:rPr>
          <w:lang w:val="uk-UA"/>
        </w:rPr>
        <w:t>у</w:t>
      </w:r>
      <w:r w:rsidRPr="003B17E3">
        <w:rPr>
          <w:lang w:val="uk-UA"/>
        </w:rPr>
        <w:t xml:space="preserve"> пунктах </w:t>
      </w:r>
      <w:r w:rsidRPr="003B17E3">
        <w:rPr>
          <w:u w:val="single"/>
          <w:lang w:val="uk-UA"/>
        </w:rPr>
        <w:t>72Б</w:t>
      </w:r>
      <w:r w:rsidR="00842E7D">
        <w:rPr>
          <w:u w:val="single"/>
          <w:lang w:val="uk-UA"/>
        </w:rPr>
        <w:t>-</w:t>
      </w:r>
      <w:r w:rsidRPr="003B17E3">
        <w:rPr>
          <w:u w:val="single"/>
          <w:lang w:val="uk-UA"/>
        </w:rPr>
        <w:t>75</w:t>
      </w:r>
      <w:r w:rsidRPr="003B17E3">
        <w:rPr>
          <w:lang w:val="uk-UA"/>
        </w:rPr>
        <w:t xml:space="preserve"> </w:t>
      </w:r>
      <w:r w:rsidRPr="003B17E3">
        <w:rPr>
          <w:strike/>
          <w:lang w:val="uk-UA"/>
        </w:rPr>
        <w:t>73–75</w:t>
      </w:r>
      <w:r w:rsidRPr="003B17E3">
        <w:rPr>
          <w:lang w:val="uk-UA"/>
        </w:rPr>
        <w:t xml:space="preserve">, </w:t>
      </w:r>
      <w:r w:rsidR="004E371C">
        <w:rPr>
          <w:lang w:val="uk-UA"/>
        </w:rPr>
        <w:t>повинно</w:t>
      </w:r>
      <w:r w:rsidRPr="003B17E3">
        <w:rPr>
          <w:lang w:val="uk-UA"/>
        </w:rPr>
        <w:t xml:space="preserve"> існувати на</w:t>
      </w:r>
      <w:r w:rsidR="004E371C">
        <w:rPr>
          <w:lang w:val="uk-UA"/>
        </w:rPr>
        <w:t xml:space="preserve"> </w:t>
      </w:r>
      <w:r w:rsidRPr="003B17E3">
        <w:rPr>
          <w:lang w:val="uk-UA"/>
        </w:rPr>
        <w:t>кін</w:t>
      </w:r>
      <w:r w:rsidR="004E371C">
        <w:rPr>
          <w:lang w:val="uk-UA"/>
        </w:rPr>
        <w:t>е</w:t>
      </w:r>
      <w:r w:rsidRPr="003B17E3">
        <w:rPr>
          <w:lang w:val="uk-UA"/>
        </w:rPr>
        <w:t>ц</w:t>
      </w:r>
      <w:r w:rsidR="004E371C">
        <w:rPr>
          <w:lang w:val="uk-UA"/>
        </w:rPr>
        <w:t>ь</w:t>
      </w:r>
      <w:r w:rsidRPr="003B17E3">
        <w:rPr>
          <w:lang w:val="uk-UA"/>
        </w:rPr>
        <w:t xml:space="preserve"> звітного періоду.</w:t>
      </w:r>
      <w:r w:rsidRPr="003B17E3">
        <w:rPr>
          <w:strike/>
          <w:lang w:val="uk-UA"/>
        </w:rPr>
        <w:t xml:space="preserve"> Якщо право відстрочити погашення обумовлене виконанням певних умов </w:t>
      </w:r>
      <w:proofErr w:type="spellStart"/>
      <w:r w:rsidRPr="003B17E3">
        <w:rPr>
          <w:strike/>
          <w:lang w:val="uk-UA"/>
        </w:rPr>
        <w:t>субʼєктом</w:t>
      </w:r>
      <w:proofErr w:type="spellEnd"/>
      <w:r w:rsidRPr="003B17E3">
        <w:rPr>
          <w:strike/>
          <w:lang w:val="uk-UA"/>
        </w:rPr>
        <w:t xml:space="preserve"> господарювання, то це право існує наприкінці звітного періоду лише в тому разі, якщо </w:t>
      </w:r>
      <w:proofErr w:type="spellStart"/>
      <w:r w:rsidRPr="003B17E3">
        <w:rPr>
          <w:strike/>
          <w:lang w:val="uk-UA"/>
        </w:rPr>
        <w:t>субʼєкт</w:t>
      </w:r>
      <w:proofErr w:type="spellEnd"/>
      <w:r w:rsidRPr="003B17E3">
        <w:rPr>
          <w:strike/>
          <w:lang w:val="uk-UA"/>
        </w:rPr>
        <w:t xml:space="preserve"> господарювання виконує ці умови наприкінці звітного періоду. </w:t>
      </w:r>
      <w:proofErr w:type="spellStart"/>
      <w:r w:rsidRPr="003B17E3">
        <w:rPr>
          <w:strike/>
          <w:lang w:val="uk-UA"/>
        </w:rPr>
        <w:t>Субʼєкт</w:t>
      </w:r>
      <w:proofErr w:type="spellEnd"/>
      <w:r w:rsidRPr="003B17E3">
        <w:rPr>
          <w:strike/>
          <w:lang w:val="uk-UA"/>
        </w:rPr>
        <w:t xml:space="preserve"> господарювання повинен виконувати ці умови наприкінці звітного періоду, навіть якщо позикодавець не перевіряє їх дотримання до настання пізнішої дати.</w:t>
      </w:r>
    </w:p>
    <w:p w14:paraId="62D1B79C" w14:textId="0F96ED16" w:rsidR="00504D64" w:rsidRPr="003B17E3" w:rsidRDefault="00504D64" w:rsidP="00504D64">
      <w:pPr>
        <w:pStyle w:val="IASBNormalnpara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72Б </w:t>
      </w:r>
      <w:r w:rsidRPr="003B17E3">
        <w:rPr>
          <w:u w:val="single"/>
          <w:lang w:val="uk-UA"/>
        </w:rPr>
        <w:tab/>
        <w:t xml:space="preserve">Право </w:t>
      </w:r>
      <w:proofErr w:type="spellStart"/>
      <w:r w:rsidRPr="003B17E3">
        <w:rPr>
          <w:u w:val="single"/>
          <w:lang w:val="uk-UA"/>
        </w:rPr>
        <w:t>субʼєкта</w:t>
      </w:r>
      <w:proofErr w:type="spellEnd"/>
      <w:r w:rsidRPr="003B17E3">
        <w:rPr>
          <w:u w:val="single"/>
          <w:lang w:val="uk-UA"/>
        </w:rPr>
        <w:t xml:space="preserve"> господарювання відстрочити погашення </w:t>
      </w:r>
      <w:proofErr w:type="spellStart"/>
      <w:r w:rsidRPr="003B17E3">
        <w:rPr>
          <w:u w:val="single"/>
          <w:lang w:val="uk-UA"/>
        </w:rPr>
        <w:t>зобовʼязання</w:t>
      </w:r>
      <w:proofErr w:type="spellEnd"/>
      <w:r w:rsidRPr="003B17E3">
        <w:rPr>
          <w:u w:val="single"/>
          <w:lang w:val="uk-UA"/>
        </w:rPr>
        <w:t xml:space="preserve">, що виникає за кредитною угодою, щонайменше на дванадцять місяців після </w:t>
      </w:r>
      <w:r w:rsidR="00842E7D">
        <w:rPr>
          <w:u w:val="single"/>
          <w:lang w:val="uk-UA"/>
        </w:rPr>
        <w:t>завершення</w:t>
      </w:r>
      <w:r w:rsidR="00842E7D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 xml:space="preserve">звітного періоду може бути обумовлене виконанням </w:t>
      </w:r>
      <w:proofErr w:type="spellStart"/>
      <w:r w:rsidRPr="003B17E3">
        <w:rPr>
          <w:u w:val="single"/>
          <w:lang w:val="uk-UA"/>
        </w:rPr>
        <w:t>субʼєктом</w:t>
      </w:r>
      <w:proofErr w:type="spellEnd"/>
      <w:r w:rsidRPr="003B17E3">
        <w:rPr>
          <w:u w:val="single"/>
          <w:lang w:val="uk-UA"/>
        </w:rPr>
        <w:t xml:space="preserve"> господарювання умов, </w:t>
      </w:r>
      <w:r w:rsidR="00842E7D">
        <w:rPr>
          <w:u w:val="single"/>
          <w:lang w:val="uk-UA"/>
        </w:rPr>
        <w:t>визначених</w:t>
      </w:r>
      <w:r w:rsidRPr="003B17E3">
        <w:rPr>
          <w:u w:val="single"/>
          <w:lang w:val="uk-UA"/>
        </w:rPr>
        <w:t xml:space="preserve"> такою кредитною угодою (далі</w:t>
      </w:r>
      <w:r w:rsidR="00F16C0D">
        <w:rPr>
          <w:u w:val="single"/>
        </w:rPr>
        <w:t> </w:t>
      </w:r>
      <w:r w:rsidR="00842E7D">
        <w:rPr>
          <w:u w:val="single"/>
          <w:lang w:val="uk-UA"/>
        </w:rPr>
        <w:t>–</w:t>
      </w:r>
      <w:r w:rsidRPr="003B17E3">
        <w:rPr>
          <w:u w:val="single"/>
          <w:lang w:val="uk-UA"/>
        </w:rPr>
        <w:t xml:space="preserve"> </w:t>
      </w:r>
      <w:r w:rsidR="00E54699" w:rsidRPr="00164C13">
        <w:rPr>
          <w:lang w:val="uk-UA"/>
        </w:rPr>
        <w:t>“</w:t>
      </w:r>
      <w:r w:rsidR="008300A1">
        <w:rPr>
          <w:lang w:val="uk-UA"/>
        </w:rPr>
        <w:t xml:space="preserve">спеціальні </w:t>
      </w:r>
      <w:r w:rsidRPr="003B17E3">
        <w:rPr>
          <w:u w:val="single"/>
          <w:lang w:val="uk-UA"/>
        </w:rPr>
        <w:t>умови</w:t>
      </w:r>
      <w:r w:rsidR="00E54699" w:rsidRPr="00164C13">
        <w:rPr>
          <w:lang w:val="uk-UA"/>
        </w:rPr>
        <w:t>“</w:t>
      </w:r>
      <w:r w:rsidRPr="003B17E3">
        <w:rPr>
          <w:u w:val="single"/>
          <w:lang w:val="uk-UA"/>
        </w:rPr>
        <w:t xml:space="preserve">). </w:t>
      </w:r>
      <w:r w:rsidR="00842E7D">
        <w:rPr>
          <w:u w:val="single"/>
          <w:lang w:val="uk-UA"/>
        </w:rPr>
        <w:t>З метою</w:t>
      </w:r>
      <w:r w:rsidRPr="003B17E3">
        <w:rPr>
          <w:u w:val="single"/>
          <w:lang w:val="uk-UA"/>
        </w:rPr>
        <w:t xml:space="preserve"> застосування пункту 69(г) такі </w:t>
      </w:r>
      <w:r w:rsidR="008300A1">
        <w:rPr>
          <w:u w:val="single"/>
          <w:lang w:val="uk-UA"/>
        </w:rPr>
        <w:t xml:space="preserve">спеціальні </w:t>
      </w:r>
      <w:r w:rsidRPr="003B17E3">
        <w:rPr>
          <w:u w:val="single"/>
          <w:lang w:val="uk-UA"/>
        </w:rPr>
        <w:t xml:space="preserve">умови: </w:t>
      </w:r>
    </w:p>
    <w:p w14:paraId="227DD356" w14:textId="45519851" w:rsidR="00504D64" w:rsidRPr="003B17E3" w:rsidRDefault="00504D64" w:rsidP="00504D64">
      <w:pPr>
        <w:pStyle w:val="IASBNormalnparaL1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а) </w:t>
      </w:r>
      <w:r w:rsidRPr="003B17E3">
        <w:rPr>
          <w:u w:val="single"/>
          <w:lang w:val="uk-UA"/>
        </w:rPr>
        <w:tab/>
        <w:t>впливають на те, чи існує таке право на</w:t>
      </w:r>
      <w:r w:rsidR="00842E7D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>кін</w:t>
      </w:r>
      <w:r w:rsidR="00842E7D">
        <w:rPr>
          <w:u w:val="single"/>
          <w:lang w:val="uk-UA"/>
        </w:rPr>
        <w:t>ець</w:t>
      </w:r>
      <w:r w:rsidRPr="003B17E3">
        <w:rPr>
          <w:u w:val="single"/>
          <w:lang w:val="uk-UA"/>
        </w:rPr>
        <w:t xml:space="preserve"> звітного періоду </w:t>
      </w:r>
      <w:r w:rsidR="00842E7D">
        <w:rPr>
          <w:u w:val="single"/>
          <w:lang w:val="uk-UA"/>
        </w:rPr>
        <w:t>–</w:t>
      </w:r>
      <w:r w:rsidRPr="003B17E3">
        <w:rPr>
          <w:u w:val="single"/>
          <w:lang w:val="uk-UA"/>
        </w:rPr>
        <w:t xml:space="preserve"> як проілюстровано в пунктах 74</w:t>
      </w:r>
      <w:r w:rsidR="00842E7D">
        <w:rPr>
          <w:u w:val="single"/>
          <w:lang w:val="uk-UA"/>
        </w:rPr>
        <w:t>-</w:t>
      </w:r>
      <w:r w:rsidRPr="003B17E3">
        <w:rPr>
          <w:u w:val="single"/>
          <w:lang w:val="uk-UA"/>
        </w:rPr>
        <w:t xml:space="preserve">75 </w:t>
      </w:r>
      <w:r w:rsidR="00842E7D">
        <w:rPr>
          <w:u w:val="single"/>
          <w:lang w:val="uk-UA"/>
        </w:rPr>
        <w:t>–</w:t>
      </w:r>
      <w:r w:rsidRPr="003B17E3">
        <w:rPr>
          <w:u w:val="single"/>
          <w:lang w:val="uk-UA"/>
        </w:rPr>
        <w:t xml:space="preserve"> якщо </w:t>
      </w:r>
      <w:r w:rsidR="00842E7D">
        <w:rPr>
          <w:u w:val="single"/>
          <w:lang w:val="uk-UA"/>
        </w:rPr>
        <w:t xml:space="preserve">від </w:t>
      </w:r>
      <w:proofErr w:type="spellStart"/>
      <w:r w:rsidRPr="003B17E3">
        <w:rPr>
          <w:u w:val="single"/>
          <w:lang w:val="uk-UA"/>
        </w:rPr>
        <w:t>субʼєкт</w:t>
      </w:r>
      <w:r w:rsidR="00842E7D">
        <w:rPr>
          <w:u w:val="single"/>
          <w:lang w:val="uk-UA"/>
        </w:rPr>
        <w:t>а</w:t>
      </w:r>
      <w:proofErr w:type="spellEnd"/>
      <w:r w:rsidRPr="003B17E3">
        <w:rPr>
          <w:u w:val="single"/>
          <w:lang w:val="uk-UA"/>
        </w:rPr>
        <w:t xml:space="preserve"> господарювання </w:t>
      </w:r>
      <w:r w:rsidR="00842E7D">
        <w:rPr>
          <w:u w:val="single"/>
          <w:lang w:val="uk-UA"/>
        </w:rPr>
        <w:t xml:space="preserve">вимагається </w:t>
      </w:r>
      <w:r w:rsidRPr="003B17E3">
        <w:rPr>
          <w:u w:val="single"/>
          <w:lang w:val="uk-UA"/>
        </w:rPr>
        <w:t xml:space="preserve">виконувати </w:t>
      </w:r>
      <w:r w:rsidR="008300A1">
        <w:rPr>
          <w:u w:val="single"/>
          <w:lang w:val="uk-UA"/>
        </w:rPr>
        <w:t xml:space="preserve">спеціальну </w:t>
      </w:r>
      <w:r w:rsidRPr="003B17E3">
        <w:rPr>
          <w:u w:val="single"/>
          <w:lang w:val="uk-UA"/>
        </w:rPr>
        <w:t xml:space="preserve">умову на </w:t>
      </w:r>
      <w:r w:rsidR="00F14CF0">
        <w:rPr>
          <w:u w:val="single"/>
          <w:lang w:val="uk-UA"/>
        </w:rPr>
        <w:t>кінець</w:t>
      </w:r>
      <w:r w:rsidR="00F14CF0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 xml:space="preserve">звітного періоду або раніше. Така </w:t>
      </w:r>
      <w:r w:rsidR="008300A1">
        <w:rPr>
          <w:u w:val="single"/>
          <w:lang w:val="uk-UA"/>
        </w:rPr>
        <w:t xml:space="preserve">спеціальна </w:t>
      </w:r>
      <w:r w:rsidRPr="003B17E3">
        <w:rPr>
          <w:u w:val="single"/>
          <w:lang w:val="uk-UA"/>
        </w:rPr>
        <w:t>умова впливає на те, чи існує відповідне право на</w:t>
      </w:r>
      <w:r w:rsidR="00F14CF0">
        <w:rPr>
          <w:u w:val="single"/>
          <w:lang w:val="uk-UA"/>
        </w:rPr>
        <w:t xml:space="preserve"> кінець</w:t>
      </w:r>
      <w:r w:rsidRPr="003B17E3">
        <w:rPr>
          <w:u w:val="single"/>
          <w:lang w:val="uk-UA"/>
        </w:rPr>
        <w:t xml:space="preserve"> звітного періоду, навіть якщо виконання </w:t>
      </w:r>
      <w:r w:rsidR="00A13C6E">
        <w:rPr>
          <w:u w:val="single"/>
          <w:lang w:val="uk-UA"/>
        </w:rPr>
        <w:t xml:space="preserve">цієї </w:t>
      </w:r>
      <w:r w:rsidR="008300A1">
        <w:rPr>
          <w:u w:val="single"/>
          <w:lang w:val="uk-UA"/>
        </w:rPr>
        <w:t xml:space="preserve">спеціальної </w:t>
      </w:r>
      <w:r w:rsidRPr="003B17E3">
        <w:rPr>
          <w:u w:val="single"/>
          <w:lang w:val="uk-UA"/>
        </w:rPr>
        <w:t xml:space="preserve">умови оцінюється лише після </w:t>
      </w:r>
      <w:r w:rsidR="00F14CF0">
        <w:rPr>
          <w:u w:val="single"/>
          <w:lang w:val="uk-UA"/>
        </w:rPr>
        <w:t xml:space="preserve">завершення </w:t>
      </w:r>
      <w:r w:rsidRPr="003B17E3">
        <w:rPr>
          <w:u w:val="single"/>
          <w:lang w:val="uk-UA"/>
        </w:rPr>
        <w:t xml:space="preserve">звітного періоду (наприклад, </w:t>
      </w:r>
      <w:r w:rsidR="008300A1">
        <w:rPr>
          <w:u w:val="single"/>
          <w:lang w:val="uk-UA"/>
        </w:rPr>
        <w:t xml:space="preserve">спеціальна </w:t>
      </w:r>
      <w:r w:rsidRPr="003B17E3">
        <w:rPr>
          <w:u w:val="single"/>
          <w:lang w:val="uk-UA"/>
        </w:rPr>
        <w:t xml:space="preserve">умова ґрунтується на фінансовому стані </w:t>
      </w:r>
      <w:proofErr w:type="spellStart"/>
      <w:r w:rsidRPr="003B17E3">
        <w:rPr>
          <w:u w:val="single"/>
          <w:lang w:val="uk-UA"/>
        </w:rPr>
        <w:t>субʼєкта</w:t>
      </w:r>
      <w:proofErr w:type="spellEnd"/>
      <w:r w:rsidRPr="003B17E3">
        <w:rPr>
          <w:u w:val="single"/>
          <w:lang w:val="uk-UA"/>
        </w:rPr>
        <w:t xml:space="preserve"> господарювання на</w:t>
      </w:r>
      <w:r w:rsidR="00F14CF0">
        <w:rPr>
          <w:u w:val="single"/>
          <w:lang w:val="uk-UA"/>
        </w:rPr>
        <w:t xml:space="preserve"> кінець</w:t>
      </w:r>
      <w:r w:rsidRPr="003B17E3">
        <w:rPr>
          <w:u w:val="single"/>
          <w:lang w:val="uk-UA"/>
        </w:rPr>
        <w:t xml:space="preserve"> звітного періоду, але оцінюється на предмет її виконання лише після </w:t>
      </w:r>
      <w:r w:rsidR="00F14CF0">
        <w:rPr>
          <w:u w:val="single"/>
          <w:lang w:val="uk-UA"/>
        </w:rPr>
        <w:t>завершення</w:t>
      </w:r>
      <w:r w:rsidR="00F14CF0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>звітного періоду);</w:t>
      </w:r>
    </w:p>
    <w:p w14:paraId="502140CA" w14:textId="1300A64E" w:rsidR="00504D64" w:rsidRPr="003B17E3" w:rsidRDefault="00504D64" w:rsidP="00504D64">
      <w:pPr>
        <w:pStyle w:val="IASBNormalnparaL1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б) </w:t>
      </w:r>
      <w:r w:rsidRPr="003B17E3">
        <w:rPr>
          <w:u w:val="single"/>
          <w:lang w:val="uk-UA"/>
        </w:rPr>
        <w:tab/>
        <w:t>не впливають на те, чи існує відповідне право на</w:t>
      </w:r>
      <w:r w:rsidR="00F14CF0">
        <w:rPr>
          <w:u w:val="single"/>
          <w:lang w:val="uk-UA"/>
        </w:rPr>
        <w:t xml:space="preserve"> кінець</w:t>
      </w:r>
      <w:r w:rsidRPr="003B17E3">
        <w:rPr>
          <w:u w:val="single"/>
          <w:lang w:val="uk-UA"/>
        </w:rPr>
        <w:t xml:space="preserve"> звітного періоду, якщо </w:t>
      </w:r>
      <w:r w:rsidR="00F14CF0">
        <w:rPr>
          <w:u w:val="single"/>
          <w:lang w:val="uk-UA"/>
        </w:rPr>
        <w:t xml:space="preserve">від </w:t>
      </w:r>
      <w:proofErr w:type="spellStart"/>
      <w:r w:rsidRPr="003B17E3">
        <w:rPr>
          <w:u w:val="single"/>
          <w:lang w:val="uk-UA"/>
        </w:rPr>
        <w:t>субʼєкт</w:t>
      </w:r>
      <w:r w:rsidR="00F14CF0">
        <w:rPr>
          <w:u w:val="single"/>
          <w:lang w:val="uk-UA"/>
        </w:rPr>
        <w:t>а</w:t>
      </w:r>
      <w:proofErr w:type="spellEnd"/>
      <w:r w:rsidRPr="003B17E3">
        <w:rPr>
          <w:u w:val="single"/>
          <w:lang w:val="uk-UA"/>
        </w:rPr>
        <w:t xml:space="preserve"> господарювання </w:t>
      </w:r>
      <w:r w:rsidR="00F14CF0">
        <w:rPr>
          <w:u w:val="single"/>
          <w:lang w:val="uk-UA"/>
        </w:rPr>
        <w:t xml:space="preserve">вимагається </w:t>
      </w:r>
      <w:r w:rsidRPr="003B17E3">
        <w:rPr>
          <w:u w:val="single"/>
          <w:lang w:val="uk-UA"/>
        </w:rPr>
        <w:t>викон</w:t>
      </w:r>
      <w:r w:rsidR="00F14CF0">
        <w:rPr>
          <w:u w:val="single"/>
          <w:lang w:val="uk-UA"/>
        </w:rPr>
        <w:t>увати</w:t>
      </w:r>
      <w:r w:rsidRPr="003B17E3">
        <w:rPr>
          <w:u w:val="single"/>
          <w:lang w:val="uk-UA"/>
        </w:rPr>
        <w:t xml:space="preserve"> </w:t>
      </w:r>
      <w:r w:rsidR="00A13C6E">
        <w:rPr>
          <w:u w:val="single"/>
          <w:lang w:val="uk-UA"/>
        </w:rPr>
        <w:t xml:space="preserve">спеціальну </w:t>
      </w:r>
      <w:r w:rsidRPr="003B17E3">
        <w:rPr>
          <w:u w:val="single"/>
          <w:lang w:val="uk-UA"/>
        </w:rPr>
        <w:t xml:space="preserve">умову лише після </w:t>
      </w:r>
      <w:r w:rsidR="00F14CF0">
        <w:rPr>
          <w:u w:val="single"/>
          <w:lang w:val="uk-UA"/>
        </w:rPr>
        <w:t>завершення</w:t>
      </w:r>
      <w:r w:rsidR="00F14CF0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 xml:space="preserve">звітного періоду (наприклад, </w:t>
      </w:r>
      <w:r w:rsidR="00A13C6E">
        <w:rPr>
          <w:u w:val="single"/>
          <w:lang w:val="uk-UA"/>
        </w:rPr>
        <w:t xml:space="preserve">спеціальна </w:t>
      </w:r>
      <w:r w:rsidRPr="003B17E3">
        <w:rPr>
          <w:u w:val="single"/>
          <w:lang w:val="uk-UA"/>
        </w:rPr>
        <w:t xml:space="preserve">умова ґрунтується на фінансовому стані </w:t>
      </w:r>
      <w:proofErr w:type="spellStart"/>
      <w:r w:rsidRPr="003B17E3">
        <w:rPr>
          <w:u w:val="single"/>
          <w:lang w:val="uk-UA"/>
        </w:rPr>
        <w:t>субʼєкта</w:t>
      </w:r>
      <w:proofErr w:type="spellEnd"/>
      <w:r w:rsidRPr="003B17E3">
        <w:rPr>
          <w:u w:val="single"/>
          <w:lang w:val="uk-UA"/>
        </w:rPr>
        <w:t xml:space="preserve"> господарювання шість місяців після </w:t>
      </w:r>
      <w:r w:rsidR="00F14CF0">
        <w:rPr>
          <w:u w:val="single"/>
          <w:lang w:val="uk-UA"/>
        </w:rPr>
        <w:t>завершення</w:t>
      </w:r>
      <w:r w:rsidR="00F14CF0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 xml:space="preserve">звітного періоду). </w:t>
      </w:r>
    </w:p>
    <w:p w14:paraId="26BF6837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180DCFDD" w14:textId="43412DEA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 xml:space="preserve">74 </w:t>
      </w:r>
      <w:r w:rsidRPr="003B17E3">
        <w:rPr>
          <w:lang w:val="uk-UA"/>
        </w:rPr>
        <w:tab/>
        <w:t xml:space="preserve">Якщо </w:t>
      </w:r>
      <w:proofErr w:type="spellStart"/>
      <w:r w:rsidRPr="003B17E3">
        <w:rPr>
          <w:lang w:val="uk-UA"/>
        </w:rPr>
        <w:t>субʼєкт</w:t>
      </w:r>
      <w:proofErr w:type="spellEnd"/>
      <w:r w:rsidRPr="003B17E3">
        <w:rPr>
          <w:lang w:val="uk-UA"/>
        </w:rPr>
        <w:t xml:space="preserve"> господарювання порушує </w:t>
      </w:r>
      <w:r w:rsidR="00A13C6E">
        <w:rPr>
          <w:lang w:val="uk-UA"/>
        </w:rPr>
        <w:t xml:space="preserve">спеціальну </w:t>
      </w:r>
      <w:r w:rsidRPr="007F2414">
        <w:rPr>
          <w:lang w:val="uk-UA"/>
        </w:rPr>
        <w:t>умову</w:t>
      </w:r>
      <w:r w:rsidRPr="003B17E3">
        <w:rPr>
          <w:lang w:val="uk-UA"/>
        </w:rPr>
        <w:t xml:space="preserve"> довгострокової кредитної угоди на кінець звітного періоду або раніше, внаслідок чого зобов’язання підлягає сплаті за вимогою, </w:t>
      </w:r>
      <w:proofErr w:type="spellStart"/>
      <w:r w:rsidRPr="003B17E3">
        <w:rPr>
          <w:lang w:val="uk-UA"/>
        </w:rPr>
        <w:t>зобовʼязання</w:t>
      </w:r>
      <w:proofErr w:type="spellEnd"/>
      <w:r w:rsidRPr="003B17E3">
        <w:rPr>
          <w:lang w:val="uk-UA"/>
        </w:rPr>
        <w:t xml:space="preserve"> класифікується як поточне, навіть якщо кредитор погодився (після звітного періоду і до затвердження фінансової звітності до випуску) не вимагати платежу внаслідок порушення</w:t>
      </w:r>
      <w:r w:rsidR="001D7D34">
        <w:rPr>
          <w:lang w:val="uk-UA"/>
        </w:rPr>
        <w:t>.</w:t>
      </w:r>
      <w:r w:rsidRPr="003B17E3">
        <w:rPr>
          <w:lang w:val="uk-UA"/>
        </w:rPr>
        <w:t xml:space="preserve"> </w:t>
      </w:r>
      <w:proofErr w:type="spellStart"/>
      <w:r w:rsidRPr="003B17E3">
        <w:rPr>
          <w:lang w:val="uk-UA"/>
        </w:rPr>
        <w:t>Субʼєкт</w:t>
      </w:r>
      <w:proofErr w:type="spellEnd"/>
      <w:r w:rsidRPr="003B17E3">
        <w:rPr>
          <w:lang w:val="uk-UA"/>
        </w:rPr>
        <w:t xml:space="preserve"> господарювання класифікує </w:t>
      </w:r>
      <w:proofErr w:type="spellStart"/>
      <w:r w:rsidRPr="003B17E3">
        <w:rPr>
          <w:lang w:val="uk-UA"/>
        </w:rPr>
        <w:t>зобовʼязання</w:t>
      </w:r>
      <w:proofErr w:type="spellEnd"/>
      <w:r w:rsidRPr="003B17E3">
        <w:rPr>
          <w:lang w:val="uk-UA"/>
        </w:rPr>
        <w:t xml:space="preserve"> як поточне, тому що на кінець звітного періоду він не має права відстрочити погашення </w:t>
      </w:r>
      <w:proofErr w:type="spellStart"/>
      <w:r w:rsidRPr="003B17E3">
        <w:rPr>
          <w:lang w:val="uk-UA"/>
        </w:rPr>
        <w:t>зобовʼязання</w:t>
      </w:r>
      <w:proofErr w:type="spellEnd"/>
      <w:r w:rsidRPr="003B17E3">
        <w:rPr>
          <w:lang w:val="uk-UA"/>
        </w:rPr>
        <w:t xml:space="preserve"> щонайменше на дванадцять місяців після цієї дати.</w:t>
      </w:r>
    </w:p>
    <w:p w14:paraId="64EC0881" w14:textId="573391E5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 xml:space="preserve">75 </w:t>
      </w:r>
      <w:r w:rsidRPr="003B17E3">
        <w:rPr>
          <w:lang w:val="uk-UA"/>
        </w:rPr>
        <w:tab/>
        <w:t xml:space="preserve">Проте </w:t>
      </w:r>
      <w:proofErr w:type="spellStart"/>
      <w:r w:rsidRPr="003B17E3">
        <w:rPr>
          <w:lang w:val="uk-UA"/>
        </w:rPr>
        <w:t>зобовʼязання</w:t>
      </w:r>
      <w:proofErr w:type="spellEnd"/>
      <w:r w:rsidRPr="003B17E3">
        <w:rPr>
          <w:lang w:val="uk-UA"/>
        </w:rPr>
        <w:t xml:space="preserve"> класифікується як непоточне, якщо кредитор до настання кінця звітного періоду погодився надати пільговий період, що закінчується </w:t>
      </w:r>
      <w:r w:rsidR="00842E7D">
        <w:rPr>
          <w:lang w:val="uk-UA"/>
        </w:rPr>
        <w:t>щонайменше</w:t>
      </w:r>
      <w:r w:rsidR="00842E7D" w:rsidRPr="003B17E3">
        <w:rPr>
          <w:lang w:val="uk-UA"/>
        </w:rPr>
        <w:t xml:space="preserve"> </w:t>
      </w:r>
      <w:r w:rsidRPr="003B17E3">
        <w:rPr>
          <w:lang w:val="uk-UA"/>
        </w:rPr>
        <w:t xml:space="preserve">через дванадцять місяців після звітного періоду, протягом якого </w:t>
      </w:r>
      <w:proofErr w:type="spellStart"/>
      <w:r w:rsidRPr="003B17E3">
        <w:rPr>
          <w:lang w:val="uk-UA"/>
        </w:rPr>
        <w:t>субʼєкт</w:t>
      </w:r>
      <w:proofErr w:type="spellEnd"/>
      <w:r w:rsidRPr="003B17E3">
        <w:rPr>
          <w:lang w:val="uk-UA"/>
        </w:rPr>
        <w:t xml:space="preserve"> господарювання може виправити порушення та протягом якого кредитор не може вимагати негайного повернення.</w:t>
      </w:r>
    </w:p>
    <w:p w14:paraId="4E0F380B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38E5EF83" w14:textId="45223D91" w:rsidR="00504D64" w:rsidRPr="003B17E3" w:rsidRDefault="00504D64" w:rsidP="00504D64">
      <w:pPr>
        <w:pStyle w:val="IASBNormalnpara"/>
        <w:rPr>
          <w:b/>
          <w:u w:val="single"/>
          <w:lang w:val="uk-UA"/>
        </w:rPr>
      </w:pPr>
      <w:r w:rsidRPr="003B17E3">
        <w:rPr>
          <w:b/>
          <w:bCs/>
          <w:u w:val="single"/>
          <w:lang w:val="uk-UA"/>
        </w:rPr>
        <w:t xml:space="preserve">76ХА </w:t>
      </w:r>
      <w:r w:rsidRPr="003B17E3">
        <w:rPr>
          <w:b/>
          <w:bCs/>
          <w:u w:val="single"/>
          <w:lang w:val="uk-UA"/>
        </w:rPr>
        <w:tab/>
        <w:t xml:space="preserve">Застосовуючи пункти 69–75, </w:t>
      </w:r>
      <w:proofErr w:type="spellStart"/>
      <w:r w:rsidRPr="003B17E3">
        <w:rPr>
          <w:b/>
          <w:bCs/>
          <w:u w:val="single"/>
          <w:lang w:val="uk-UA"/>
        </w:rPr>
        <w:t>субʼєкт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може класифікувати </w:t>
      </w:r>
      <w:proofErr w:type="spellStart"/>
      <w:r w:rsidRPr="003B17E3">
        <w:rPr>
          <w:b/>
          <w:bCs/>
          <w:u w:val="single"/>
          <w:lang w:val="uk-UA"/>
        </w:rPr>
        <w:t>зобовʼязання</w:t>
      </w:r>
      <w:proofErr w:type="spellEnd"/>
      <w:r w:rsidRPr="003B17E3">
        <w:rPr>
          <w:b/>
          <w:bCs/>
          <w:u w:val="single"/>
          <w:lang w:val="uk-UA"/>
        </w:rPr>
        <w:t xml:space="preserve">, що виникають за кредитною угодою, як непоточні, якщо право </w:t>
      </w:r>
      <w:proofErr w:type="spellStart"/>
      <w:r w:rsidRPr="003B17E3">
        <w:rPr>
          <w:b/>
          <w:bCs/>
          <w:u w:val="single"/>
          <w:lang w:val="uk-UA"/>
        </w:rPr>
        <w:t>субʼєкта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відстрочити погашення цих </w:t>
      </w:r>
      <w:proofErr w:type="spellStart"/>
      <w:r w:rsidRPr="003B17E3">
        <w:rPr>
          <w:b/>
          <w:bCs/>
          <w:u w:val="single"/>
          <w:lang w:val="uk-UA"/>
        </w:rPr>
        <w:t>зобовʼязань</w:t>
      </w:r>
      <w:proofErr w:type="spellEnd"/>
      <w:r w:rsidRPr="003B17E3">
        <w:rPr>
          <w:b/>
          <w:bCs/>
          <w:u w:val="single"/>
          <w:lang w:val="uk-UA"/>
        </w:rPr>
        <w:t xml:space="preserve"> обумовлене виконанням </w:t>
      </w:r>
      <w:proofErr w:type="spellStart"/>
      <w:r w:rsidRPr="003B17E3">
        <w:rPr>
          <w:b/>
          <w:bCs/>
          <w:u w:val="single"/>
          <w:lang w:val="uk-UA"/>
        </w:rPr>
        <w:t>субʼєктом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</w:t>
      </w:r>
      <w:r w:rsidR="00A13C6E">
        <w:rPr>
          <w:b/>
          <w:bCs/>
          <w:u w:val="single"/>
          <w:lang w:val="uk-UA"/>
        </w:rPr>
        <w:t xml:space="preserve">спеціальних </w:t>
      </w:r>
      <w:r w:rsidRPr="003B17E3">
        <w:rPr>
          <w:b/>
          <w:bCs/>
          <w:u w:val="single"/>
          <w:lang w:val="uk-UA"/>
        </w:rPr>
        <w:t xml:space="preserve">умов протягом дванадцяти місяців після </w:t>
      </w:r>
      <w:r w:rsidR="00367E5A">
        <w:rPr>
          <w:b/>
          <w:bCs/>
          <w:u w:val="single"/>
          <w:lang w:val="uk-UA"/>
        </w:rPr>
        <w:t>завершення</w:t>
      </w:r>
      <w:r w:rsidR="00367E5A" w:rsidRPr="003B17E3">
        <w:rPr>
          <w:b/>
          <w:bCs/>
          <w:u w:val="single"/>
          <w:lang w:val="uk-UA"/>
        </w:rPr>
        <w:t xml:space="preserve"> </w:t>
      </w:r>
      <w:r w:rsidRPr="003B17E3">
        <w:rPr>
          <w:b/>
          <w:bCs/>
          <w:u w:val="single"/>
          <w:lang w:val="uk-UA"/>
        </w:rPr>
        <w:t xml:space="preserve">звітного періоду (див. пункт 72Б(б)). У таких ситуаціях </w:t>
      </w:r>
      <w:proofErr w:type="spellStart"/>
      <w:r w:rsidRPr="003B17E3">
        <w:rPr>
          <w:b/>
          <w:bCs/>
          <w:u w:val="single"/>
          <w:lang w:val="uk-UA"/>
        </w:rPr>
        <w:t>субʼєкт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розкриває в примітках інформацію, що дає змогу користувачам фінансової звітності зрозуміти ризик того, що </w:t>
      </w:r>
      <w:proofErr w:type="spellStart"/>
      <w:r w:rsidRPr="003B17E3">
        <w:rPr>
          <w:b/>
          <w:bCs/>
          <w:u w:val="single"/>
          <w:lang w:val="uk-UA"/>
        </w:rPr>
        <w:t>зобовʼязання</w:t>
      </w:r>
      <w:proofErr w:type="spellEnd"/>
      <w:r w:rsidRPr="003B17E3">
        <w:rPr>
          <w:b/>
          <w:bCs/>
          <w:u w:val="single"/>
          <w:lang w:val="uk-UA"/>
        </w:rPr>
        <w:t xml:space="preserve"> можуть стати такими, що підлягають поверненню протягом дванадцяти місяців після </w:t>
      </w:r>
      <w:r w:rsidR="00367E5A">
        <w:rPr>
          <w:b/>
          <w:bCs/>
          <w:u w:val="single"/>
          <w:lang w:val="uk-UA"/>
        </w:rPr>
        <w:t>завершення</w:t>
      </w:r>
      <w:r w:rsidRPr="003B17E3">
        <w:rPr>
          <w:b/>
          <w:bCs/>
          <w:u w:val="single"/>
          <w:lang w:val="uk-UA"/>
        </w:rPr>
        <w:t xml:space="preserve"> звітного періоду, в тому числі:</w:t>
      </w:r>
    </w:p>
    <w:p w14:paraId="6822558C" w14:textId="7070EBF5" w:rsidR="00504D64" w:rsidRPr="003B17E3" w:rsidRDefault="00504D64" w:rsidP="00504D64">
      <w:pPr>
        <w:pStyle w:val="IASBNormalnparaL1"/>
        <w:rPr>
          <w:b/>
          <w:u w:val="single"/>
          <w:lang w:val="uk-UA"/>
        </w:rPr>
      </w:pPr>
      <w:r w:rsidRPr="003B17E3">
        <w:rPr>
          <w:b/>
          <w:bCs/>
          <w:u w:val="single"/>
          <w:lang w:val="uk-UA"/>
        </w:rPr>
        <w:t xml:space="preserve">а) </w:t>
      </w:r>
      <w:r w:rsidRPr="003B17E3">
        <w:rPr>
          <w:b/>
          <w:bCs/>
          <w:u w:val="single"/>
          <w:lang w:val="uk-UA"/>
        </w:rPr>
        <w:tab/>
        <w:t xml:space="preserve">інформацію про </w:t>
      </w:r>
      <w:r w:rsidR="00A13C6E">
        <w:rPr>
          <w:b/>
          <w:bCs/>
          <w:u w:val="single"/>
          <w:lang w:val="uk-UA"/>
        </w:rPr>
        <w:t xml:space="preserve">спеціальні </w:t>
      </w:r>
      <w:r w:rsidRPr="003B17E3">
        <w:rPr>
          <w:b/>
          <w:bCs/>
          <w:u w:val="single"/>
          <w:lang w:val="uk-UA"/>
        </w:rPr>
        <w:t xml:space="preserve">умови (включно з характером </w:t>
      </w:r>
      <w:r w:rsidR="00A13C6E">
        <w:rPr>
          <w:b/>
          <w:bCs/>
          <w:u w:val="single"/>
          <w:lang w:val="uk-UA"/>
        </w:rPr>
        <w:t xml:space="preserve">спеціальних </w:t>
      </w:r>
      <w:r w:rsidRPr="003B17E3">
        <w:rPr>
          <w:b/>
          <w:bCs/>
          <w:u w:val="single"/>
          <w:lang w:val="uk-UA"/>
        </w:rPr>
        <w:t xml:space="preserve">умов і тим, коли </w:t>
      </w:r>
      <w:r w:rsidR="00367E5A">
        <w:rPr>
          <w:b/>
          <w:bCs/>
          <w:u w:val="single"/>
          <w:lang w:val="uk-UA"/>
        </w:rPr>
        <w:t xml:space="preserve">від </w:t>
      </w:r>
      <w:proofErr w:type="spellStart"/>
      <w:r w:rsidRPr="003B17E3">
        <w:rPr>
          <w:b/>
          <w:bCs/>
          <w:u w:val="single"/>
          <w:lang w:val="uk-UA"/>
        </w:rPr>
        <w:t>субʼєкт</w:t>
      </w:r>
      <w:r w:rsidR="00367E5A">
        <w:rPr>
          <w:b/>
          <w:bCs/>
          <w:u w:val="single"/>
          <w:lang w:val="uk-UA"/>
        </w:rPr>
        <w:t>а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</w:t>
      </w:r>
      <w:r w:rsidR="00367E5A">
        <w:rPr>
          <w:b/>
          <w:bCs/>
          <w:u w:val="single"/>
          <w:lang w:val="uk-UA"/>
        </w:rPr>
        <w:t>вимагається</w:t>
      </w:r>
      <w:r w:rsidR="00367E5A" w:rsidRPr="003B17E3">
        <w:rPr>
          <w:b/>
          <w:bCs/>
          <w:u w:val="single"/>
          <w:lang w:val="uk-UA"/>
        </w:rPr>
        <w:t xml:space="preserve"> </w:t>
      </w:r>
      <w:r w:rsidRPr="003B17E3">
        <w:rPr>
          <w:b/>
          <w:bCs/>
          <w:u w:val="single"/>
          <w:lang w:val="uk-UA"/>
        </w:rPr>
        <w:t xml:space="preserve">їх виконувати) та балансову вартість </w:t>
      </w:r>
      <w:r w:rsidR="00367E5A">
        <w:rPr>
          <w:b/>
          <w:bCs/>
          <w:u w:val="single"/>
          <w:lang w:val="uk-UA"/>
        </w:rPr>
        <w:t>пов’яза</w:t>
      </w:r>
      <w:r w:rsidR="00367E5A" w:rsidRPr="003B17E3">
        <w:rPr>
          <w:b/>
          <w:bCs/>
          <w:u w:val="single"/>
          <w:lang w:val="uk-UA"/>
        </w:rPr>
        <w:t xml:space="preserve">них </w:t>
      </w:r>
      <w:proofErr w:type="spellStart"/>
      <w:r w:rsidRPr="003B17E3">
        <w:rPr>
          <w:b/>
          <w:bCs/>
          <w:u w:val="single"/>
          <w:lang w:val="uk-UA"/>
        </w:rPr>
        <w:t>зобовʼязань</w:t>
      </w:r>
      <w:proofErr w:type="spellEnd"/>
      <w:r w:rsidRPr="003B17E3">
        <w:rPr>
          <w:b/>
          <w:bCs/>
          <w:u w:val="single"/>
          <w:lang w:val="uk-UA"/>
        </w:rPr>
        <w:t>;</w:t>
      </w:r>
    </w:p>
    <w:p w14:paraId="0838B75A" w14:textId="64C9B9B8" w:rsidR="00504D64" w:rsidRPr="003B17E3" w:rsidRDefault="00504D64" w:rsidP="00504D64">
      <w:pPr>
        <w:pStyle w:val="IASBNormalnparaL1"/>
        <w:rPr>
          <w:b/>
          <w:u w:val="single"/>
          <w:lang w:val="uk-UA"/>
        </w:rPr>
      </w:pPr>
      <w:r w:rsidRPr="003B17E3">
        <w:rPr>
          <w:b/>
          <w:bCs/>
          <w:u w:val="single"/>
          <w:lang w:val="uk-UA"/>
        </w:rPr>
        <w:t xml:space="preserve">б) </w:t>
      </w:r>
      <w:r w:rsidRPr="003B17E3">
        <w:rPr>
          <w:b/>
          <w:bCs/>
          <w:u w:val="single"/>
          <w:lang w:val="uk-UA"/>
        </w:rPr>
        <w:tab/>
        <w:t xml:space="preserve">факти та обставини, якщо такі існують, які вказують на те, що </w:t>
      </w:r>
      <w:proofErr w:type="spellStart"/>
      <w:r w:rsidRPr="003B17E3">
        <w:rPr>
          <w:b/>
          <w:bCs/>
          <w:u w:val="single"/>
          <w:lang w:val="uk-UA"/>
        </w:rPr>
        <w:t>субʼєктові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може бути складно виконувати </w:t>
      </w:r>
      <w:r w:rsidR="00A13C6E">
        <w:rPr>
          <w:b/>
          <w:bCs/>
          <w:u w:val="single"/>
          <w:lang w:val="uk-UA"/>
        </w:rPr>
        <w:t xml:space="preserve">спеціальні </w:t>
      </w:r>
      <w:r w:rsidRPr="003B17E3">
        <w:rPr>
          <w:b/>
          <w:bCs/>
          <w:u w:val="single"/>
          <w:lang w:val="uk-UA"/>
        </w:rPr>
        <w:t xml:space="preserve">умови: наприклад, про те, що </w:t>
      </w:r>
      <w:proofErr w:type="spellStart"/>
      <w:r w:rsidRPr="003B17E3">
        <w:rPr>
          <w:b/>
          <w:bCs/>
          <w:u w:val="single"/>
          <w:lang w:val="uk-UA"/>
        </w:rPr>
        <w:t>субʼєкт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протягом звітного періоду чи після його </w:t>
      </w:r>
      <w:r w:rsidR="00367E5A">
        <w:rPr>
          <w:b/>
          <w:bCs/>
          <w:u w:val="single"/>
          <w:lang w:val="uk-UA"/>
        </w:rPr>
        <w:t>завершення</w:t>
      </w:r>
      <w:r w:rsidR="00367E5A" w:rsidRPr="003B17E3">
        <w:rPr>
          <w:b/>
          <w:bCs/>
          <w:u w:val="single"/>
          <w:lang w:val="uk-UA"/>
        </w:rPr>
        <w:t xml:space="preserve"> </w:t>
      </w:r>
      <w:r w:rsidRPr="003B17E3">
        <w:rPr>
          <w:b/>
          <w:bCs/>
          <w:u w:val="single"/>
          <w:lang w:val="uk-UA"/>
        </w:rPr>
        <w:t xml:space="preserve">вчинив дії, спрямовані на уникнення чи обмеження наслідків потенційного порушення. До таких фактів і обставин може також належати той факт, що </w:t>
      </w:r>
      <w:proofErr w:type="spellStart"/>
      <w:r w:rsidRPr="003B17E3">
        <w:rPr>
          <w:b/>
          <w:bCs/>
          <w:u w:val="single"/>
          <w:lang w:val="uk-UA"/>
        </w:rPr>
        <w:t>субʼєкт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не виконав би </w:t>
      </w:r>
      <w:r w:rsidR="00A13C6E">
        <w:rPr>
          <w:b/>
          <w:bCs/>
          <w:u w:val="single"/>
          <w:lang w:val="uk-UA"/>
        </w:rPr>
        <w:t xml:space="preserve">спеціальні </w:t>
      </w:r>
      <w:r w:rsidRPr="003B17E3">
        <w:rPr>
          <w:b/>
          <w:bCs/>
          <w:u w:val="single"/>
          <w:lang w:val="uk-UA"/>
        </w:rPr>
        <w:t xml:space="preserve">умови, якби їх виконання оцінювалось на підставі обставин </w:t>
      </w:r>
      <w:proofErr w:type="spellStart"/>
      <w:r w:rsidRPr="003B17E3">
        <w:rPr>
          <w:b/>
          <w:bCs/>
          <w:u w:val="single"/>
          <w:lang w:val="uk-UA"/>
        </w:rPr>
        <w:t>субʼєкта</w:t>
      </w:r>
      <w:proofErr w:type="spellEnd"/>
      <w:r w:rsidRPr="003B17E3">
        <w:rPr>
          <w:b/>
          <w:bCs/>
          <w:u w:val="single"/>
          <w:lang w:val="uk-UA"/>
        </w:rPr>
        <w:t xml:space="preserve"> господарювання на кінець звітного періоду.</w:t>
      </w:r>
    </w:p>
    <w:p w14:paraId="02DEA2DC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321A7703" w14:textId="77777777" w:rsidR="00504D64" w:rsidRPr="003B17E3" w:rsidRDefault="00504D64" w:rsidP="00504D64">
      <w:pPr>
        <w:pStyle w:val="IASBSectionTitle1NonInd"/>
        <w:rPr>
          <w:lang w:val="uk-UA"/>
        </w:rPr>
      </w:pPr>
      <w:r w:rsidRPr="003B17E3">
        <w:rPr>
          <w:bCs/>
          <w:lang w:val="uk-UA"/>
        </w:rPr>
        <w:lastRenderedPageBreak/>
        <w:t>Перехід та дата набрання чинності</w:t>
      </w:r>
    </w:p>
    <w:p w14:paraId="3C54848F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116E43F5" w14:textId="4ADA31A5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 xml:space="preserve">139Р </w:t>
      </w:r>
      <w:r w:rsidRPr="003B17E3">
        <w:rPr>
          <w:lang w:val="uk-UA"/>
        </w:rPr>
        <w:tab/>
        <w:t xml:space="preserve">Документ </w:t>
      </w:r>
      <w:r w:rsidR="00D85BEA" w:rsidRPr="00676B44">
        <w:rPr>
          <w:i/>
          <w:lang w:val="ru-RU"/>
        </w:rPr>
        <w:t>“</w:t>
      </w:r>
      <w:r w:rsidRPr="00676B44">
        <w:rPr>
          <w:i/>
          <w:lang w:val="uk-UA"/>
        </w:rPr>
        <w:t xml:space="preserve">Класифікація </w:t>
      </w:r>
      <w:proofErr w:type="spellStart"/>
      <w:r w:rsidRPr="00676B44">
        <w:rPr>
          <w:i/>
          <w:lang w:val="uk-UA"/>
        </w:rPr>
        <w:t>зобовʼязань</w:t>
      </w:r>
      <w:proofErr w:type="spellEnd"/>
      <w:r w:rsidRPr="00676B44">
        <w:rPr>
          <w:i/>
          <w:lang w:val="uk-UA"/>
        </w:rPr>
        <w:t xml:space="preserve"> як поточн</w:t>
      </w:r>
      <w:r w:rsidR="00D85BEA" w:rsidRPr="00D85BEA">
        <w:rPr>
          <w:i/>
          <w:lang w:val="uk-UA"/>
        </w:rPr>
        <w:t>і</w:t>
      </w:r>
      <w:r w:rsidRPr="00676B44">
        <w:rPr>
          <w:i/>
          <w:lang w:val="uk-UA"/>
        </w:rPr>
        <w:t xml:space="preserve"> або непоточн</w:t>
      </w:r>
      <w:r w:rsidR="00D85BEA" w:rsidRPr="00D85BEA">
        <w:rPr>
          <w:i/>
          <w:lang w:val="uk-UA"/>
        </w:rPr>
        <w:t>і</w:t>
      </w:r>
      <w:r w:rsidR="00D85BEA" w:rsidRPr="00676B44">
        <w:rPr>
          <w:i/>
          <w:lang w:val="ru-RU"/>
        </w:rPr>
        <w:t>“</w:t>
      </w:r>
      <w:r w:rsidRPr="003B17E3">
        <w:rPr>
          <w:lang w:val="uk-UA"/>
        </w:rPr>
        <w:t xml:space="preserve">, </w:t>
      </w:r>
      <w:r w:rsidR="00D85BEA">
        <w:rPr>
          <w:lang w:val="uk-UA"/>
        </w:rPr>
        <w:t>випуще</w:t>
      </w:r>
      <w:r w:rsidR="00D85BEA" w:rsidRPr="003B17E3">
        <w:rPr>
          <w:lang w:val="uk-UA"/>
        </w:rPr>
        <w:t xml:space="preserve">ний </w:t>
      </w:r>
      <w:r w:rsidRPr="003B17E3">
        <w:rPr>
          <w:lang w:val="uk-UA"/>
        </w:rPr>
        <w:t xml:space="preserve">у січні 2020 року, </w:t>
      </w:r>
      <w:r w:rsidR="00D85BEA">
        <w:rPr>
          <w:lang w:val="uk-UA"/>
        </w:rPr>
        <w:t>змінив</w:t>
      </w:r>
      <w:r w:rsidRPr="003B17E3">
        <w:rPr>
          <w:lang w:val="uk-UA"/>
        </w:rPr>
        <w:t xml:space="preserve"> пункт</w:t>
      </w:r>
      <w:r w:rsidR="00D85BEA">
        <w:rPr>
          <w:lang w:val="uk-UA"/>
        </w:rPr>
        <w:t>и</w:t>
      </w:r>
      <w:r w:rsidRPr="003B17E3">
        <w:rPr>
          <w:lang w:val="uk-UA"/>
        </w:rPr>
        <w:t xml:space="preserve"> 69, 73, 74 </w:t>
      </w:r>
      <w:r w:rsidR="00D85BEA">
        <w:rPr>
          <w:lang w:val="uk-UA"/>
        </w:rPr>
        <w:t>і</w:t>
      </w:r>
      <w:r w:rsidRPr="003B17E3">
        <w:rPr>
          <w:lang w:val="uk-UA"/>
        </w:rPr>
        <w:t xml:space="preserve"> 76 </w:t>
      </w:r>
      <w:r w:rsidR="00D85BEA">
        <w:rPr>
          <w:lang w:val="uk-UA"/>
        </w:rPr>
        <w:t>та</w:t>
      </w:r>
      <w:r w:rsidRPr="003B17E3">
        <w:rPr>
          <w:lang w:val="uk-UA"/>
        </w:rPr>
        <w:t xml:space="preserve"> додав пункти 72А, 75А, 76А </w:t>
      </w:r>
      <w:r w:rsidR="00D85BEA">
        <w:rPr>
          <w:lang w:val="uk-UA"/>
        </w:rPr>
        <w:t>і</w:t>
      </w:r>
      <w:r w:rsidRPr="003B17E3">
        <w:rPr>
          <w:lang w:val="uk-UA"/>
        </w:rPr>
        <w:t xml:space="preserve"> 76Б. </w:t>
      </w:r>
      <w:proofErr w:type="spellStart"/>
      <w:r w:rsidRPr="003B17E3">
        <w:rPr>
          <w:lang w:val="uk-UA"/>
        </w:rPr>
        <w:t>Субʼєкт</w:t>
      </w:r>
      <w:proofErr w:type="spellEnd"/>
      <w:r w:rsidRPr="003B17E3">
        <w:rPr>
          <w:lang w:val="uk-UA"/>
        </w:rPr>
        <w:t xml:space="preserve"> господарювання застосовує ці зміни для річних звітних періодів, що починаються </w:t>
      </w:r>
      <w:r w:rsidRPr="003B17E3">
        <w:rPr>
          <w:u w:val="single"/>
          <w:lang w:val="uk-UA"/>
        </w:rPr>
        <w:t>1 січня 2024 року</w:t>
      </w:r>
      <w:r w:rsidRPr="003B17E3">
        <w:rPr>
          <w:lang w:val="uk-UA"/>
        </w:rPr>
        <w:t xml:space="preserve"> </w:t>
      </w:r>
      <w:r w:rsidRPr="003B17E3">
        <w:rPr>
          <w:strike/>
          <w:lang w:val="uk-UA"/>
        </w:rPr>
        <w:t xml:space="preserve">1 січня 2023 року </w:t>
      </w:r>
      <w:r w:rsidRPr="003B17E3">
        <w:rPr>
          <w:lang w:val="uk-UA"/>
        </w:rPr>
        <w:t xml:space="preserve"> або пізніше, ретроспективно </w:t>
      </w:r>
      <w:r w:rsidR="00D85BEA">
        <w:rPr>
          <w:lang w:val="uk-UA"/>
        </w:rPr>
        <w:t>відповідно до</w:t>
      </w:r>
      <w:r w:rsidRPr="003B17E3">
        <w:rPr>
          <w:lang w:val="uk-UA"/>
        </w:rPr>
        <w:t xml:space="preserve"> МСБО 8. </w:t>
      </w:r>
      <w:r w:rsidR="00D85BEA">
        <w:rPr>
          <w:lang w:val="uk-UA"/>
        </w:rPr>
        <w:t>Більш раннє</w:t>
      </w:r>
      <w:r w:rsidRPr="003B17E3">
        <w:rPr>
          <w:lang w:val="uk-UA"/>
        </w:rPr>
        <w:t xml:space="preserve"> застосування</w:t>
      </w:r>
      <w:r w:rsidR="00D85BEA">
        <w:rPr>
          <w:lang w:val="uk-UA"/>
        </w:rPr>
        <w:t xml:space="preserve"> дозволяється</w:t>
      </w:r>
      <w:r w:rsidRPr="003B17E3">
        <w:rPr>
          <w:lang w:val="uk-UA"/>
        </w:rPr>
        <w:t>.</w:t>
      </w:r>
      <w:r w:rsidRPr="003B17E3">
        <w:rPr>
          <w:u w:val="single"/>
          <w:lang w:val="uk-UA"/>
        </w:rPr>
        <w:t xml:space="preserve"> Якщо суб'єкт господарювання застосовує ці зміни до більш раннього періоду після випуску документа </w:t>
      </w:r>
      <w:r w:rsidR="00D85BEA" w:rsidRPr="00676B44">
        <w:rPr>
          <w:i/>
          <w:lang w:val="uk-UA"/>
        </w:rPr>
        <w:t>“</w:t>
      </w:r>
      <w:r w:rsidRPr="00676B44">
        <w:rPr>
          <w:i/>
          <w:u w:val="single"/>
          <w:lang w:val="uk-UA"/>
        </w:rPr>
        <w:t xml:space="preserve">Непоточні </w:t>
      </w:r>
      <w:proofErr w:type="spellStart"/>
      <w:r w:rsidRPr="00676B44">
        <w:rPr>
          <w:i/>
          <w:u w:val="single"/>
          <w:lang w:val="uk-UA"/>
        </w:rPr>
        <w:t>зобовʼязання</w:t>
      </w:r>
      <w:proofErr w:type="spellEnd"/>
      <w:r w:rsidRPr="00676B44">
        <w:rPr>
          <w:i/>
          <w:u w:val="single"/>
          <w:lang w:val="uk-UA"/>
        </w:rPr>
        <w:t xml:space="preserve"> </w:t>
      </w:r>
      <w:r w:rsidR="00A13C6E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>з</w:t>
      </w:r>
      <w:r w:rsidR="00A13C6E">
        <w:rPr>
          <w:i/>
          <w:u w:val="single"/>
          <w:lang w:val="uk-UA"/>
        </w:rPr>
        <w:t xml:space="preserve"> спеціальними</w:t>
      </w:r>
      <w:r w:rsidRPr="00676B44">
        <w:rPr>
          <w:i/>
          <w:u w:val="single"/>
          <w:lang w:val="uk-UA"/>
        </w:rPr>
        <w:t xml:space="preserve"> умовами</w:t>
      </w:r>
      <w:r w:rsidR="00D85BEA" w:rsidRPr="00676B44">
        <w:rPr>
          <w:i/>
          <w:lang w:val="uk-UA"/>
        </w:rPr>
        <w:t>“</w:t>
      </w:r>
      <w:r w:rsidRPr="003B17E3">
        <w:rPr>
          <w:u w:val="single"/>
          <w:lang w:val="uk-UA"/>
        </w:rPr>
        <w:t xml:space="preserve"> (див. пункт 139Т), він також застосовує </w:t>
      </w:r>
      <w:r w:rsidR="00D85BEA" w:rsidRPr="00676B44">
        <w:rPr>
          <w:i/>
          <w:lang w:val="uk-UA"/>
        </w:rPr>
        <w:t>“</w:t>
      </w:r>
      <w:r w:rsidRPr="00676B44">
        <w:rPr>
          <w:i/>
          <w:u w:val="single"/>
          <w:lang w:val="uk-UA"/>
        </w:rPr>
        <w:t xml:space="preserve">Непоточні </w:t>
      </w:r>
      <w:proofErr w:type="spellStart"/>
      <w:r w:rsidRPr="00676B44">
        <w:rPr>
          <w:i/>
          <w:u w:val="single"/>
          <w:lang w:val="uk-UA"/>
        </w:rPr>
        <w:t>зобовʼязання</w:t>
      </w:r>
      <w:proofErr w:type="spellEnd"/>
      <w:r w:rsidRPr="00676B44">
        <w:rPr>
          <w:i/>
          <w:u w:val="single"/>
          <w:lang w:val="uk-UA"/>
        </w:rPr>
        <w:t xml:space="preserve"> </w:t>
      </w:r>
      <w:r w:rsidR="00A13C6E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 xml:space="preserve">з </w:t>
      </w:r>
      <w:r w:rsidR="00A13C6E">
        <w:rPr>
          <w:i/>
          <w:u w:val="single"/>
          <w:lang w:val="uk-UA"/>
        </w:rPr>
        <w:t xml:space="preserve">спеціальними </w:t>
      </w:r>
      <w:r w:rsidRPr="00676B44">
        <w:rPr>
          <w:i/>
          <w:u w:val="single"/>
          <w:lang w:val="uk-UA"/>
        </w:rPr>
        <w:t>умовами</w:t>
      </w:r>
      <w:r w:rsidR="00D85BEA" w:rsidRPr="00676B44">
        <w:rPr>
          <w:i/>
          <w:lang w:val="uk-UA"/>
        </w:rPr>
        <w:t>“</w:t>
      </w:r>
      <w:r w:rsidRPr="003B17E3">
        <w:rPr>
          <w:lang w:val="uk-UA"/>
        </w:rPr>
        <w:t xml:space="preserve"> </w:t>
      </w:r>
      <w:r w:rsidR="003F5390">
        <w:rPr>
          <w:lang w:val="uk-UA"/>
        </w:rPr>
        <w:t>для</w:t>
      </w:r>
      <w:r w:rsidR="00D85BEA" w:rsidRPr="003B17E3">
        <w:rPr>
          <w:u w:val="single"/>
          <w:lang w:val="uk-UA"/>
        </w:rPr>
        <w:t xml:space="preserve"> так</w:t>
      </w:r>
      <w:r w:rsidR="003F5390">
        <w:rPr>
          <w:u w:val="single"/>
          <w:lang w:val="uk-UA"/>
        </w:rPr>
        <w:t>ого</w:t>
      </w:r>
      <w:r w:rsidR="00D85BEA" w:rsidRPr="003B17E3">
        <w:rPr>
          <w:u w:val="single"/>
          <w:lang w:val="uk-UA"/>
        </w:rPr>
        <w:t xml:space="preserve"> період</w:t>
      </w:r>
      <w:r w:rsidR="003F5390">
        <w:rPr>
          <w:u w:val="single"/>
          <w:lang w:val="uk-UA"/>
        </w:rPr>
        <w:t>у</w:t>
      </w:r>
      <w:r w:rsidR="00D85BEA">
        <w:rPr>
          <w:u w:val="single"/>
          <w:lang w:val="uk-UA"/>
        </w:rPr>
        <w:t>.</w:t>
      </w:r>
      <w:r w:rsidR="00D85BEA" w:rsidRPr="003B17E3">
        <w:rPr>
          <w:u w:val="single"/>
          <w:lang w:val="uk-UA"/>
        </w:rPr>
        <w:t xml:space="preserve"> </w:t>
      </w:r>
      <w:r w:rsidRPr="003B17E3">
        <w:rPr>
          <w:lang w:val="uk-UA"/>
        </w:rPr>
        <w:t xml:space="preserve">Якщо </w:t>
      </w:r>
      <w:proofErr w:type="spellStart"/>
      <w:r w:rsidRPr="003B17E3">
        <w:rPr>
          <w:lang w:val="uk-UA"/>
        </w:rPr>
        <w:t>субʼєкт</w:t>
      </w:r>
      <w:proofErr w:type="spellEnd"/>
      <w:r w:rsidRPr="003B17E3">
        <w:rPr>
          <w:lang w:val="uk-UA"/>
        </w:rPr>
        <w:t xml:space="preserve"> господарювання застосовує </w:t>
      </w:r>
      <w:r w:rsidRPr="003B17E3">
        <w:rPr>
          <w:u w:val="single"/>
          <w:lang w:val="uk-UA"/>
        </w:rPr>
        <w:t xml:space="preserve">документ </w:t>
      </w:r>
      <w:r w:rsidR="003F5390" w:rsidRPr="00676B44">
        <w:rPr>
          <w:i/>
          <w:lang w:val="uk-UA"/>
        </w:rPr>
        <w:t>“</w:t>
      </w:r>
      <w:r w:rsidRPr="00676B44">
        <w:rPr>
          <w:i/>
          <w:u w:val="single"/>
          <w:lang w:val="uk-UA"/>
        </w:rPr>
        <w:t xml:space="preserve">Класифікація </w:t>
      </w:r>
      <w:proofErr w:type="spellStart"/>
      <w:r w:rsidRPr="00676B44">
        <w:rPr>
          <w:i/>
          <w:u w:val="single"/>
          <w:lang w:val="uk-UA"/>
        </w:rPr>
        <w:t>зобовʼязань</w:t>
      </w:r>
      <w:proofErr w:type="spellEnd"/>
      <w:r w:rsidRPr="00676B44">
        <w:rPr>
          <w:i/>
          <w:u w:val="single"/>
          <w:lang w:val="uk-UA"/>
        </w:rPr>
        <w:t xml:space="preserve"> як поточн</w:t>
      </w:r>
      <w:r w:rsidR="003F5390" w:rsidRPr="003F5390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 xml:space="preserve"> або непоточн</w:t>
      </w:r>
      <w:r w:rsidR="003F5390" w:rsidRPr="003F5390">
        <w:rPr>
          <w:i/>
          <w:u w:val="single"/>
          <w:lang w:val="uk-UA"/>
        </w:rPr>
        <w:t>і</w:t>
      </w:r>
      <w:r w:rsidR="003F5390" w:rsidRPr="00676B44">
        <w:rPr>
          <w:i/>
          <w:lang w:val="uk-UA"/>
        </w:rPr>
        <w:t>“</w:t>
      </w:r>
      <w:r w:rsidRPr="003B17E3">
        <w:rPr>
          <w:lang w:val="uk-UA"/>
        </w:rPr>
        <w:t xml:space="preserve"> </w:t>
      </w:r>
      <w:r w:rsidRPr="003B17E3">
        <w:rPr>
          <w:strike/>
          <w:lang w:val="uk-UA"/>
        </w:rPr>
        <w:t>зазначені зміни</w:t>
      </w:r>
      <w:r w:rsidRPr="003B17E3">
        <w:rPr>
          <w:lang w:val="uk-UA"/>
        </w:rPr>
        <w:t xml:space="preserve"> </w:t>
      </w:r>
      <w:r w:rsidR="003F5390">
        <w:rPr>
          <w:lang w:val="uk-UA"/>
        </w:rPr>
        <w:t>для</w:t>
      </w:r>
      <w:r w:rsidRPr="003B17E3">
        <w:rPr>
          <w:lang w:val="uk-UA"/>
        </w:rPr>
        <w:t xml:space="preserve"> більш раннього періоду, він </w:t>
      </w:r>
      <w:r w:rsidR="003F5390">
        <w:rPr>
          <w:lang w:val="uk-UA"/>
        </w:rPr>
        <w:t xml:space="preserve">повинен </w:t>
      </w:r>
      <w:r w:rsidRPr="003B17E3">
        <w:rPr>
          <w:lang w:val="uk-UA"/>
        </w:rPr>
        <w:t>розкри</w:t>
      </w:r>
      <w:r w:rsidR="003F5390">
        <w:rPr>
          <w:lang w:val="uk-UA"/>
        </w:rPr>
        <w:t>ти</w:t>
      </w:r>
      <w:r w:rsidRPr="003B17E3">
        <w:rPr>
          <w:lang w:val="uk-UA"/>
        </w:rPr>
        <w:t xml:space="preserve"> цей факт.</w:t>
      </w:r>
    </w:p>
    <w:p w14:paraId="4E31D7F5" w14:textId="77777777" w:rsidR="00504D64" w:rsidRPr="003B17E3" w:rsidRDefault="00504D64" w:rsidP="00504D64">
      <w:pPr>
        <w:pStyle w:val="IASBNormalnpara"/>
        <w:rPr>
          <w:lang w:val="uk-UA"/>
        </w:rPr>
      </w:pPr>
      <w:r w:rsidRPr="003B17E3">
        <w:rPr>
          <w:lang w:val="uk-UA"/>
        </w:rPr>
        <w:tab/>
        <w:t>...</w:t>
      </w:r>
    </w:p>
    <w:p w14:paraId="6936B68E" w14:textId="37191A2E" w:rsidR="00504D64" w:rsidRPr="003B17E3" w:rsidRDefault="00504D64" w:rsidP="00504D64">
      <w:pPr>
        <w:pStyle w:val="IASBNormalnpara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139Т </w:t>
      </w:r>
      <w:r w:rsidRPr="003B17E3">
        <w:rPr>
          <w:u w:val="single"/>
          <w:lang w:val="uk-UA"/>
        </w:rPr>
        <w:tab/>
        <w:t xml:space="preserve">Документ </w:t>
      </w:r>
      <w:r w:rsidR="00690C43" w:rsidRPr="00676B44">
        <w:rPr>
          <w:i/>
          <w:lang w:val="ru-RU"/>
        </w:rPr>
        <w:t>“</w:t>
      </w:r>
      <w:r w:rsidRPr="00676B44">
        <w:rPr>
          <w:i/>
          <w:u w:val="single"/>
          <w:lang w:val="uk-UA"/>
        </w:rPr>
        <w:t xml:space="preserve">Непоточні </w:t>
      </w:r>
      <w:proofErr w:type="spellStart"/>
      <w:r w:rsidRPr="00676B44">
        <w:rPr>
          <w:i/>
          <w:u w:val="single"/>
          <w:lang w:val="uk-UA"/>
        </w:rPr>
        <w:t>зобовʼязання</w:t>
      </w:r>
      <w:proofErr w:type="spellEnd"/>
      <w:r w:rsidRPr="00676B44">
        <w:rPr>
          <w:i/>
          <w:u w:val="single"/>
          <w:lang w:val="uk-UA"/>
        </w:rPr>
        <w:t xml:space="preserve"> </w:t>
      </w:r>
      <w:r w:rsidR="00A13C6E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>з</w:t>
      </w:r>
      <w:r w:rsidR="00A13C6E">
        <w:rPr>
          <w:i/>
          <w:u w:val="single"/>
          <w:lang w:val="uk-UA"/>
        </w:rPr>
        <w:t xml:space="preserve"> спеціальними </w:t>
      </w:r>
      <w:r w:rsidRPr="00676B44">
        <w:rPr>
          <w:i/>
          <w:u w:val="single"/>
          <w:lang w:val="uk-UA"/>
        </w:rPr>
        <w:t>умовами</w:t>
      </w:r>
      <w:r w:rsidR="00690C43" w:rsidRPr="00676B44">
        <w:rPr>
          <w:i/>
          <w:lang w:val="ru-RU"/>
        </w:rPr>
        <w:t>“</w:t>
      </w:r>
      <w:r w:rsidRPr="003B17E3">
        <w:rPr>
          <w:u w:val="single"/>
          <w:lang w:val="uk-UA"/>
        </w:rPr>
        <w:t>, ви</w:t>
      </w:r>
      <w:r w:rsidR="00690C43">
        <w:rPr>
          <w:u w:val="single"/>
          <w:lang w:val="uk-UA"/>
        </w:rPr>
        <w:t>пуще</w:t>
      </w:r>
      <w:r w:rsidRPr="003B17E3">
        <w:rPr>
          <w:u w:val="single"/>
          <w:lang w:val="uk-UA"/>
        </w:rPr>
        <w:t>ний у жовтні 2022 року, зміни</w:t>
      </w:r>
      <w:r w:rsidR="00690C43">
        <w:rPr>
          <w:u w:val="single"/>
          <w:lang w:val="uk-UA"/>
        </w:rPr>
        <w:t>в</w:t>
      </w:r>
      <w:r w:rsidRPr="003B17E3">
        <w:rPr>
          <w:u w:val="single"/>
          <w:lang w:val="uk-UA"/>
        </w:rPr>
        <w:t xml:space="preserve"> пункт</w:t>
      </w:r>
      <w:r w:rsidR="00690C43">
        <w:rPr>
          <w:u w:val="single"/>
          <w:lang w:val="uk-UA"/>
        </w:rPr>
        <w:t>и</w:t>
      </w:r>
      <w:r w:rsidRPr="003B17E3">
        <w:rPr>
          <w:u w:val="single"/>
          <w:lang w:val="uk-UA"/>
        </w:rPr>
        <w:t xml:space="preserve"> 60, 71, 72А, 74 </w:t>
      </w:r>
      <w:r w:rsidR="00690C43">
        <w:rPr>
          <w:u w:val="single"/>
          <w:lang w:val="uk-UA"/>
        </w:rPr>
        <w:t>і</w:t>
      </w:r>
      <w:r w:rsidRPr="003B17E3">
        <w:rPr>
          <w:u w:val="single"/>
          <w:lang w:val="uk-UA"/>
        </w:rPr>
        <w:t xml:space="preserve"> 139Р </w:t>
      </w:r>
      <w:r w:rsidR="00690C43">
        <w:rPr>
          <w:u w:val="single"/>
          <w:lang w:val="uk-UA"/>
        </w:rPr>
        <w:t>та</w:t>
      </w:r>
      <w:r w:rsidRPr="003B17E3">
        <w:rPr>
          <w:u w:val="single"/>
          <w:lang w:val="uk-UA"/>
        </w:rPr>
        <w:t xml:space="preserve"> додав пункти 72Б </w:t>
      </w:r>
      <w:r w:rsidR="00690C43">
        <w:rPr>
          <w:u w:val="single"/>
          <w:lang w:val="uk-UA"/>
        </w:rPr>
        <w:t>і</w:t>
      </w:r>
      <w:r w:rsidRPr="003B17E3">
        <w:rPr>
          <w:u w:val="single"/>
          <w:lang w:val="uk-UA"/>
        </w:rPr>
        <w:t xml:space="preserve"> 76ХА. </w:t>
      </w:r>
      <w:proofErr w:type="spellStart"/>
      <w:r w:rsidRPr="003B17E3">
        <w:rPr>
          <w:u w:val="single"/>
          <w:lang w:val="uk-UA"/>
        </w:rPr>
        <w:t>Субʼєкт</w:t>
      </w:r>
      <w:proofErr w:type="spellEnd"/>
      <w:r w:rsidRPr="003B17E3">
        <w:rPr>
          <w:u w:val="single"/>
          <w:lang w:val="uk-UA"/>
        </w:rPr>
        <w:t xml:space="preserve"> господарювання застосовує: </w:t>
      </w:r>
    </w:p>
    <w:p w14:paraId="73065CA5" w14:textId="173D8DD8" w:rsidR="00504D64" w:rsidRPr="003B17E3" w:rsidRDefault="00504D64" w:rsidP="00504D64">
      <w:pPr>
        <w:pStyle w:val="IASBNormalnparaL1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а) </w:t>
      </w:r>
      <w:r w:rsidRPr="003B17E3">
        <w:rPr>
          <w:u w:val="single"/>
          <w:lang w:val="uk-UA"/>
        </w:rPr>
        <w:tab/>
        <w:t xml:space="preserve">зміну пункту 139Р </w:t>
      </w:r>
      <w:r w:rsidR="00690C43">
        <w:rPr>
          <w:u w:val="single"/>
          <w:lang w:val="uk-UA"/>
        </w:rPr>
        <w:t xml:space="preserve">– </w:t>
      </w:r>
      <w:r w:rsidRPr="003B17E3">
        <w:rPr>
          <w:u w:val="single"/>
          <w:lang w:val="uk-UA"/>
        </w:rPr>
        <w:t xml:space="preserve">негайно після випуску документа </w:t>
      </w:r>
      <w:r w:rsidR="00690C43" w:rsidRPr="00676B44">
        <w:rPr>
          <w:i/>
          <w:lang w:val="ru-RU"/>
        </w:rPr>
        <w:t>“</w:t>
      </w:r>
      <w:r w:rsidRPr="00676B44">
        <w:rPr>
          <w:i/>
          <w:u w:val="single"/>
          <w:lang w:val="uk-UA"/>
        </w:rPr>
        <w:t xml:space="preserve">Непоточні </w:t>
      </w:r>
      <w:proofErr w:type="spellStart"/>
      <w:r w:rsidRPr="00676B44">
        <w:rPr>
          <w:i/>
          <w:u w:val="single"/>
          <w:lang w:val="uk-UA"/>
        </w:rPr>
        <w:t>зобовʼязання</w:t>
      </w:r>
      <w:proofErr w:type="spellEnd"/>
      <w:r w:rsidRPr="00676B44">
        <w:rPr>
          <w:i/>
          <w:u w:val="single"/>
          <w:lang w:val="uk-UA"/>
        </w:rPr>
        <w:t xml:space="preserve"> </w:t>
      </w:r>
      <w:r w:rsidR="00A13C6E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>з</w:t>
      </w:r>
      <w:r w:rsidR="00A13C6E">
        <w:rPr>
          <w:i/>
          <w:u w:val="single"/>
          <w:lang w:val="uk-UA"/>
        </w:rPr>
        <w:t xml:space="preserve"> спеціальними</w:t>
      </w:r>
      <w:r w:rsidRPr="00676B44">
        <w:rPr>
          <w:i/>
          <w:u w:val="single"/>
          <w:lang w:val="uk-UA"/>
        </w:rPr>
        <w:t xml:space="preserve"> умовами</w:t>
      </w:r>
      <w:r w:rsidR="00690C43" w:rsidRPr="00676B44">
        <w:rPr>
          <w:i/>
          <w:lang w:val="ru-RU"/>
        </w:rPr>
        <w:t>“</w:t>
      </w:r>
      <w:r w:rsidRPr="003B17E3">
        <w:rPr>
          <w:u w:val="single"/>
          <w:lang w:val="uk-UA"/>
        </w:rPr>
        <w:t>;</w:t>
      </w:r>
    </w:p>
    <w:p w14:paraId="561D17D5" w14:textId="387FE4FA" w:rsidR="00504D64" w:rsidRPr="003B17E3" w:rsidRDefault="00504D64" w:rsidP="00504D64">
      <w:pPr>
        <w:pStyle w:val="IASBNormalnparaL1"/>
        <w:rPr>
          <w:u w:val="single"/>
          <w:lang w:val="uk-UA"/>
        </w:rPr>
      </w:pPr>
      <w:r w:rsidRPr="003B17E3">
        <w:rPr>
          <w:u w:val="single"/>
          <w:lang w:val="uk-UA"/>
        </w:rPr>
        <w:t xml:space="preserve">б) </w:t>
      </w:r>
      <w:r w:rsidRPr="003B17E3">
        <w:rPr>
          <w:u w:val="single"/>
          <w:lang w:val="uk-UA"/>
        </w:rPr>
        <w:tab/>
        <w:t xml:space="preserve">усі </w:t>
      </w:r>
      <w:r w:rsidR="00690C43">
        <w:rPr>
          <w:u w:val="single"/>
          <w:lang w:val="uk-UA"/>
        </w:rPr>
        <w:t>інші</w:t>
      </w:r>
      <w:r w:rsidR="00690C43" w:rsidRPr="003B17E3">
        <w:rPr>
          <w:u w:val="single"/>
          <w:lang w:val="uk-UA"/>
        </w:rPr>
        <w:t xml:space="preserve"> </w:t>
      </w:r>
      <w:r w:rsidRPr="003B17E3">
        <w:rPr>
          <w:u w:val="single"/>
          <w:lang w:val="uk-UA"/>
        </w:rPr>
        <w:t>змін</w:t>
      </w:r>
      <w:r w:rsidR="00690C43">
        <w:rPr>
          <w:u w:val="single"/>
          <w:lang w:val="uk-UA"/>
        </w:rPr>
        <w:t>и</w:t>
      </w:r>
      <w:r w:rsidRPr="003B17E3">
        <w:rPr>
          <w:u w:val="single"/>
          <w:lang w:val="uk-UA"/>
        </w:rPr>
        <w:t xml:space="preserve"> </w:t>
      </w:r>
      <w:r w:rsidR="00690C43">
        <w:rPr>
          <w:u w:val="single"/>
          <w:lang w:val="uk-UA"/>
        </w:rPr>
        <w:t xml:space="preserve">– </w:t>
      </w:r>
      <w:r w:rsidRPr="003B17E3">
        <w:rPr>
          <w:u w:val="single"/>
          <w:lang w:val="uk-UA"/>
        </w:rPr>
        <w:t xml:space="preserve">для річних звітних періодів, що починаються 1 січня 2024 року або пізніше, ретроспективно </w:t>
      </w:r>
      <w:r w:rsidR="00690C43">
        <w:rPr>
          <w:u w:val="single"/>
          <w:lang w:val="uk-UA"/>
        </w:rPr>
        <w:t>відповідно до</w:t>
      </w:r>
      <w:r w:rsidRPr="003B17E3">
        <w:rPr>
          <w:u w:val="single"/>
          <w:lang w:val="uk-UA"/>
        </w:rPr>
        <w:t xml:space="preserve"> МСБО 8. </w:t>
      </w:r>
      <w:r w:rsidR="00690C43">
        <w:rPr>
          <w:u w:val="single"/>
          <w:lang w:val="uk-UA"/>
        </w:rPr>
        <w:t xml:space="preserve">Більш раннє </w:t>
      </w:r>
      <w:r w:rsidRPr="003B17E3">
        <w:rPr>
          <w:u w:val="single"/>
          <w:lang w:val="uk-UA"/>
        </w:rPr>
        <w:t>застосування</w:t>
      </w:r>
      <w:r w:rsidR="00690C43">
        <w:rPr>
          <w:u w:val="single"/>
          <w:lang w:val="uk-UA"/>
        </w:rPr>
        <w:t xml:space="preserve"> дозволяється</w:t>
      </w:r>
      <w:r w:rsidRPr="003B17E3">
        <w:rPr>
          <w:u w:val="single"/>
          <w:lang w:val="uk-UA"/>
        </w:rPr>
        <w:t xml:space="preserve">. Якщо </w:t>
      </w:r>
      <w:proofErr w:type="spellStart"/>
      <w:r w:rsidRPr="003B17E3">
        <w:rPr>
          <w:u w:val="single"/>
          <w:lang w:val="uk-UA"/>
        </w:rPr>
        <w:t>субʼєкт</w:t>
      </w:r>
      <w:proofErr w:type="spellEnd"/>
      <w:r w:rsidRPr="003B17E3">
        <w:rPr>
          <w:u w:val="single"/>
          <w:lang w:val="uk-UA"/>
        </w:rPr>
        <w:t xml:space="preserve"> господарювання застосовує ці зміни д</w:t>
      </w:r>
      <w:r w:rsidR="00500389">
        <w:rPr>
          <w:u w:val="single"/>
          <w:lang w:val="uk-UA"/>
        </w:rPr>
        <w:t>ля</w:t>
      </w:r>
      <w:r w:rsidRPr="003B17E3">
        <w:rPr>
          <w:u w:val="single"/>
          <w:lang w:val="uk-UA"/>
        </w:rPr>
        <w:t xml:space="preserve"> більш раннього періоду, він також застосовує для цього періоду документ </w:t>
      </w:r>
      <w:r w:rsidR="00690C43" w:rsidRPr="00676B44">
        <w:rPr>
          <w:i/>
          <w:lang w:val="uk-UA"/>
        </w:rPr>
        <w:t>“</w:t>
      </w:r>
      <w:r w:rsidRPr="00676B44">
        <w:rPr>
          <w:i/>
          <w:u w:val="single"/>
          <w:lang w:val="uk-UA"/>
        </w:rPr>
        <w:t xml:space="preserve">Класифікація </w:t>
      </w:r>
      <w:proofErr w:type="spellStart"/>
      <w:r w:rsidRPr="00676B44">
        <w:rPr>
          <w:i/>
          <w:u w:val="single"/>
          <w:lang w:val="uk-UA"/>
        </w:rPr>
        <w:t>зобовʼязань</w:t>
      </w:r>
      <w:proofErr w:type="spellEnd"/>
      <w:r w:rsidRPr="00676B44">
        <w:rPr>
          <w:i/>
          <w:u w:val="single"/>
          <w:lang w:val="uk-UA"/>
        </w:rPr>
        <w:t xml:space="preserve"> як поточн</w:t>
      </w:r>
      <w:r w:rsidR="00690C43" w:rsidRPr="00676B44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 xml:space="preserve"> або непоточн</w:t>
      </w:r>
      <w:r w:rsidR="00690C43" w:rsidRPr="00676B44">
        <w:rPr>
          <w:i/>
          <w:u w:val="single"/>
          <w:lang w:val="uk-UA"/>
        </w:rPr>
        <w:t>і</w:t>
      </w:r>
      <w:r w:rsidR="00690C43" w:rsidRPr="00676B44">
        <w:rPr>
          <w:i/>
          <w:lang w:val="uk-UA"/>
        </w:rPr>
        <w:t>“</w:t>
      </w:r>
      <w:r w:rsidRPr="003B17E3">
        <w:rPr>
          <w:u w:val="single"/>
          <w:lang w:val="uk-UA"/>
        </w:rPr>
        <w:t>. Якщо суб</w:t>
      </w:r>
      <w:r w:rsidR="00500389">
        <w:rPr>
          <w:u w:val="single"/>
          <w:lang w:val="uk-UA"/>
        </w:rPr>
        <w:t>’</w:t>
      </w:r>
      <w:r w:rsidRPr="003B17E3">
        <w:rPr>
          <w:u w:val="single"/>
          <w:lang w:val="uk-UA"/>
        </w:rPr>
        <w:t xml:space="preserve">єкт господарювання застосовує документ </w:t>
      </w:r>
      <w:r w:rsidR="00690C43" w:rsidRPr="00676B44">
        <w:rPr>
          <w:i/>
          <w:lang w:val="uk-UA"/>
        </w:rPr>
        <w:t>“</w:t>
      </w:r>
      <w:r w:rsidRPr="00676B44">
        <w:rPr>
          <w:i/>
          <w:u w:val="single"/>
          <w:lang w:val="uk-UA"/>
        </w:rPr>
        <w:t xml:space="preserve">Непоточні </w:t>
      </w:r>
      <w:proofErr w:type="spellStart"/>
      <w:r w:rsidRPr="00676B44">
        <w:rPr>
          <w:i/>
          <w:u w:val="single"/>
          <w:lang w:val="uk-UA"/>
        </w:rPr>
        <w:t>зобовʼязання</w:t>
      </w:r>
      <w:proofErr w:type="spellEnd"/>
      <w:r w:rsidRPr="00676B44">
        <w:rPr>
          <w:i/>
          <w:u w:val="single"/>
          <w:lang w:val="uk-UA"/>
        </w:rPr>
        <w:t xml:space="preserve"> </w:t>
      </w:r>
      <w:r w:rsidR="00A13C6E">
        <w:rPr>
          <w:i/>
          <w:u w:val="single"/>
          <w:lang w:val="uk-UA"/>
        </w:rPr>
        <w:t>і</w:t>
      </w:r>
      <w:r w:rsidRPr="00676B44">
        <w:rPr>
          <w:i/>
          <w:u w:val="single"/>
          <w:lang w:val="uk-UA"/>
        </w:rPr>
        <w:t>з</w:t>
      </w:r>
      <w:r w:rsidR="00A13C6E">
        <w:rPr>
          <w:i/>
          <w:u w:val="single"/>
          <w:lang w:val="uk-UA"/>
        </w:rPr>
        <w:t xml:space="preserve"> спеціальними</w:t>
      </w:r>
      <w:r w:rsidRPr="00676B44">
        <w:rPr>
          <w:i/>
          <w:u w:val="single"/>
          <w:lang w:val="uk-UA"/>
        </w:rPr>
        <w:t xml:space="preserve"> умовами</w:t>
      </w:r>
      <w:r w:rsidR="00690C43" w:rsidRPr="00676B44">
        <w:rPr>
          <w:i/>
          <w:lang w:val="uk-UA"/>
        </w:rPr>
        <w:t>“</w:t>
      </w:r>
      <w:r w:rsidRPr="003B17E3">
        <w:rPr>
          <w:u w:val="single"/>
          <w:lang w:val="uk-UA"/>
        </w:rPr>
        <w:t xml:space="preserve"> д</w:t>
      </w:r>
      <w:r w:rsidR="00690C43">
        <w:rPr>
          <w:u w:val="single"/>
          <w:lang w:val="uk-UA"/>
        </w:rPr>
        <w:t>ля</w:t>
      </w:r>
      <w:r w:rsidRPr="003B17E3">
        <w:rPr>
          <w:u w:val="single"/>
          <w:lang w:val="uk-UA"/>
        </w:rPr>
        <w:t xml:space="preserve"> більш раннього періоду, він </w:t>
      </w:r>
      <w:r w:rsidR="00690C43">
        <w:rPr>
          <w:u w:val="single"/>
          <w:lang w:val="uk-UA"/>
        </w:rPr>
        <w:t xml:space="preserve">повинен </w:t>
      </w:r>
      <w:r w:rsidRPr="003B17E3">
        <w:rPr>
          <w:u w:val="single"/>
          <w:lang w:val="uk-UA"/>
        </w:rPr>
        <w:t>розкри</w:t>
      </w:r>
      <w:r w:rsidR="00690C43">
        <w:rPr>
          <w:u w:val="single"/>
          <w:lang w:val="uk-UA"/>
        </w:rPr>
        <w:t>ти</w:t>
      </w:r>
      <w:r w:rsidRPr="003B17E3">
        <w:rPr>
          <w:u w:val="single"/>
          <w:lang w:val="uk-UA"/>
        </w:rPr>
        <w:t xml:space="preserve"> цей факт.</w:t>
      </w:r>
    </w:p>
    <w:p w14:paraId="34F36159" w14:textId="77777777" w:rsidR="00C6412A" w:rsidRPr="003B17E3" w:rsidRDefault="00C6412A" w:rsidP="00504D64">
      <w:pPr>
        <w:rPr>
          <w:lang w:val="uk-UA"/>
        </w:rPr>
      </w:pPr>
    </w:p>
    <w:sectPr w:rsidR="00C6412A" w:rsidRPr="003B17E3">
      <w:headerReference w:type="even" r:id="rId16"/>
      <w:headerReference w:type="default" r:id="rId17"/>
      <w:footerReference w:type="even" r:id="rId18"/>
      <w:footerReference w:type="default" r:id="rId19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D774" w14:textId="77777777" w:rsidR="00357AF3" w:rsidRDefault="00357AF3">
      <w:r>
        <w:separator/>
      </w:r>
    </w:p>
  </w:endnote>
  <w:endnote w:type="continuationSeparator" w:id="0">
    <w:p w14:paraId="448C01C0" w14:textId="77777777" w:rsidR="00357AF3" w:rsidRDefault="00357AF3">
      <w:r>
        <w:continuationSeparator/>
      </w:r>
    </w:p>
  </w:endnote>
  <w:endnote w:type="continuationNotice" w:id="1">
    <w:p w14:paraId="163DCABE" w14:textId="77777777" w:rsidR="00357AF3" w:rsidRDefault="00357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8621" w14:textId="77777777" w:rsidR="00504D64" w:rsidRPr="00504D64" w:rsidRDefault="00504D64" w:rsidP="00504D64">
    <w:pPr>
      <w:pStyle w:val="a7"/>
    </w:pPr>
    <w:r>
      <w:rPr>
        <w:lang w:val="uk"/>
      </w:rPr>
      <w:fldChar w:fldCharType="begin"/>
    </w:r>
    <w:r>
      <w:rPr>
        <w:lang w:val="uk"/>
      </w:rPr>
      <w:instrText>PAGE</w:instrText>
    </w:r>
    <w:r>
      <w:rPr>
        <w:lang w:val="uk"/>
      </w:rPr>
      <w:fldChar w:fldCharType="end"/>
    </w:r>
    <w:r>
      <w:rPr>
        <w:lang w:val="uk"/>
      </w:rPr>
      <w:tab/>
      <w:t>© Фонд МСФЗ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C34E" w14:textId="71FDAA43" w:rsidR="00504D64" w:rsidRPr="00504D64" w:rsidRDefault="00504D64" w:rsidP="00504D64">
    <w:pPr>
      <w:pStyle w:val="a7"/>
    </w:pPr>
    <w:r>
      <w:rPr>
        <w:lang w:val="uk"/>
      </w:rPr>
      <w:tab/>
    </w:r>
    <w:r w:rsidR="00553525" w:rsidRPr="00553525">
      <w:rPr>
        <w:lang w:val="uk"/>
      </w:rPr>
      <w:t xml:space="preserve">© IFRS </w:t>
    </w:r>
    <w:proofErr w:type="spellStart"/>
    <w:r w:rsidR="00553525" w:rsidRPr="00553525">
      <w:rPr>
        <w:lang w:val="uk"/>
      </w:rPr>
      <w:t>Foundation</w:t>
    </w:r>
    <w:proofErr w:type="spellEnd"/>
    <w:r>
      <w:rPr>
        <w:lang w:val="uk"/>
      </w:rPr>
      <w:tab/>
    </w:r>
    <w:r>
      <w:rPr>
        <w:lang w:val="uk"/>
      </w:rPr>
      <w:fldChar w:fldCharType="begin"/>
    </w:r>
    <w:r>
      <w:rPr>
        <w:lang w:val="uk"/>
      </w:rPr>
      <w:instrText>PAGE</w:instrText>
    </w:r>
    <w:r>
      <w:rPr>
        <w:lang w:val="uk"/>
      </w:rPr>
      <w:fldChar w:fldCharType="separate"/>
    </w:r>
    <w:r w:rsidR="000347CB">
      <w:rPr>
        <w:noProof/>
        <w:lang w:val="uk"/>
      </w:rPr>
      <w:t>1</w:t>
    </w:r>
    <w:r>
      <w:rPr>
        <w:lang w:val="u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D6D5" w14:textId="77777777" w:rsidR="000347CB" w:rsidRDefault="000347C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A687" w14:textId="08DCB0FD" w:rsidR="00553525" w:rsidRPr="00553525" w:rsidRDefault="00315F76" w:rsidP="00553525">
    <w:pPr>
      <w:pStyle w:val="a7"/>
      <w:rPr>
        <w:lang w:val="uk-UA"/>
      </w:rPr>
    </w:pPr>
    <w:r>
      <w:rPr>
        <w:lang w:val="uk"/>
      </w:rPr>
      <w:fldChar w:fldCharType="begin"/>
    </w:r>
    <w:r>
      <w:rPr>
        <w:lang w:val="uk"/>
      </w:rPr>
      <w:instrText>PAGE</w:instrText>
    </w:r>
    <w:r>
      <w:rPr>
        <w:lang w:val="uk"/>
      </w:rPr>
      <w:fldChar w:fldCharType="separate"/>
    </w:r>
    <w:r w:rsidR="000347CB">
      <w:rPr>
        <w:noProof/>
        <w:lang w:val="uk"/>
      </w:rPr>
      <w:t>4</w:t>
    </w:r>
    <w:r>
      <w:rPr>
        <w:lang w:val="uk"/>
      </w:rPr>
      <w:fldChar w:fldCharType="end"/>
    </w:r>
    <w:r>
      <w:rPr>
        <w:lang w:val="uk"/>
      </w:rPr>
      <w:tab/>
    </w:r>
    <w:r w:rsidR="00553525" w:rsidRPr="00553525">
      <w:rPr>
        <w:lang w:val="uk-UA"/>
      </w:rPr>
      <w:t xml:space="preserve">© IFRS </w:t>
    </w:r>
    <w:proofErr w:type="spellStart"/>
    <w:r w:rsidR="00553525" w:rsidRPr="00553525">
      <w:rPr>
        <w:lang w:val="uk-UA"/>
      </w:rPr>
      <w:t>Foundation</w:t>
    </w:r>
    <w:proofErr w:type="spellEnd"/>
  </w:p>
  <w:p w14:paraId="34F36180" w14:textId="6DEFE511" w:rsidR="00C6412A" w:rsidRPr="00504D64" w:rsidRDefault="00C6412A" w:rsidP="00504D64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181" w14:textId="20D061E9" w:rsidR="00C6412A" w:rsidRPr="00504D64" w:rsidRDefault="00315F76" w:rsidP="00504D64">
    <w:pPr>
      <w:pStyle w:val="a7"/>
    </w:pPr>
    <w:r>
      <w:rPr>
        <w:lang w:val="uk"/>
      </w:rPr>
      <w:tab/>
    </w:r>
    <w:r w:rsidR="000347CB" w:rsidRPr="000347CB">
      <w:rPr>
        <w:lang w:val="uk"/>
      </w:rPr>
      <w:t xml:space="preserve">© IFRS </w:t>
    </w:r>
    <w:proofErr w:type="spellStart"/>
    <w:r w:rsidR="000347CB" w:rsidRPr="000347CB">
      <w:rPr>
        <w:lang w:val="uk"/>
      </w:rPr>
      <w:t>Foundation</w:t>
    </w:r>
    <w:bookmarkStart w:id="0" w:name="_GoBack"/>
    <w:bookmarkEnd w:id="0"/>
    <w:proofErr w:type="spellEnd"/>
    <w:r>
      <w:rPr>
        <w:lang w:val="uk"/>
      </w:rPr>
      <w:tab/>
    </w:r>
    <w:r>
      <w:rPr>
        <w:lang w:val="uk"/>
      </w:rPr>
      <w:fldChar w:fldCharType="begin"/>
    </w:r>
    <w:r>
      <w:rPr>
        <w:lang w:val="uk"/>
      </w:rPr>
      <w:instrText>PAGE</w:instrText>
    </w:r>
    <w:r>
      <w:rPr>
        <w:lang w:val="uk"/>
      </w:rPr>
      <w:fldChar w:fldCharType="separate"/>
    </w:r>
    <w:r w:rsidR="000347CB">
      <w:rPr>
        <w:noProof/>
        <w:lang w:val="uk"/>
      </w:rPr>
      <w:t>3</w:t>
    </w:r>
    <w:r>
      <w:rPr>
        <w:lang w:val="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262C" w14:textId="77777777" w:rsidR="00357AF3" w:rsidRDefault="00357AF3">
      <w:r>
        <w:separator/>
      </w:r>
    </w:p>
  </w:footnote>
  <w:footnote w:type="continuationSeparator" w:id="0">
    <w:p w14:paraId="316CCA6C" w14:textId="77777777" w:rsidR="00357AF3" w:rsidRDefault="00357AF3">
      <w:r>
        <w:continuationSeparator/>
      </w:r>
    </w:p>
  </w:footnote>
  <w:footnote w:type="continuationNotice" w:id="1">
    <w:p w14:paraId="15C154A5" w14:textId="77777777" w:rsidR="00357AF3" w:rsidRDefault="00357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058C" w14:textId="77777777" w:rsidR="000347CB" w:rsidRDefault="000347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0B99" w14:textId="77777777" w:rsidR="00504D64" w:rsidRPr="00504D64" w:rsidRDefault="00504D64" w:rsidP="00504D64">
    <w:pPr>
      <w:pStyle w:val="a5"/>
    </w:pPr>
    <w:r>
      <w:rPr>
        <w:lang w:val="uk"/>
      </w:rPr>
      <w:tab/>
    </w:r>
    <w:r>
      <w:rPr>
        <w:lang w:val="u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81EF" w14:textId="77777777" w:rsidR="000347CB" w:rsidRDefault="000347C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17E" w14:textId="77777777" w:rsidR="00C6412A" w:rsidRDefault="00C6412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17F" w14:textId="77777777" w:rsidR="00C6412A" w:rsidRPr="00504D64" w:rsidRDefault="00315F76" w:rsidP="00504D64">
    <w:pPr>
      <w:pStyle w:val="a5"/>
    </w:pPr>
    <w:r>
      <w:rPr>
        <w:lang w:val="uk"/>
      </w:rPr>
      <w:tab/>
    </w:r>
    <w:r>
      <w:rPr>
        <w:lang w:val="u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TU0NLI0NQRCUyUdpeDU4uLM/DyQAqNaAPoiGicsAAAA"/>
  </w:docVars>
  <w:rsids>
    <w:rsidRoot w:val="00C6412A"/>
    <w:rsid w:val="00001923"/>
    <w:rsid w:val="00026CFB"/>
    <w:rsid w:val="000347CB"/>
    <w:rsid w:val="000A4D0C"/>
    <w:rsid w:val="00122D7B"/>
    <w:rsid w:val="00164C13"/>
    <w:rsid w:val="00173F8E"/>
    <w:rsid w:val="001907CF"/>
    <w:rsid w:val="001D7D34"/>
    <w:rsid w:val="00200116"/>
    <w:rsid w:val="00231CB3"/>
    <w:rsid w:val="00233209"/>
    <w:rsid w:val="00263814"/>
    <w:rsid w:val="00304CF7"/>
    <w:rsid w:val="00315F76"/>
    <w:rsid w:val="00357AF3"/>
    <w:rsid w:val="00366CE2"/>
    <w:rsid w:val="00367E5A"/>
    <w:rsid w:val="003B17E3"/>
    <w:rsid w:val="003C02BD"/>
    <w:rsid w:val="003F5390"/>
    <w:rsid w:val="003F747A"/>
    <w:rsid w:val="00492AEC"/>
    <w:rsid w:val="004E371C"/>
    <w:rsid w:val="00500389"/>
    <w:rsid w:val="00504D64"/>
    <w:rsid w:val="00515971"/>
    <w:rsid w:val="00553525"/>
    <w:rsid w:val="00631CF7"/>
    <w:rsid w:val="00676B44"/>
    <w:rsid w:val="00690C43"/>
    <w:rsid w:val="006B1440"/>
    <w:rsid w:val="00717039"/>
    <w:rsid w:val="00784D25"/>
    <w:rsid w:val="007E7E4C"/>
    <w:rsid w:val="007F2414"/>
    <w:rsid w:val="008300A1"/>
    <w:rsid w:val="00842E7D"/>
    <w:rsid w:val="008A58E0"/>
    <w:rsid w:val="008F1C8D"/>
    <w:rsid w:val="00902BCF"/>
    <w:rsid w:val="00906767"/>
    <w:rsid w:val="00911B77"/>
    <w:rsid w:val="00932A46"/>
    <w:rsid w:val="009433BB"/>
    <w:rsid w:val="00970B31"/>
    <w:rsid w:val="00A13C6E"/>
    <w:rsid w:val="00A24BAC"/>
    <w:rsid w:val="00A761C4"/>
    <w:rsid w:val="00AB0126"/>
    <w:rsid w:val="00AD31E4"/>
    <w:rsid w:val="00B15BAD"/>
    <w:rsid w:val="00C6412A"/>
    <w:rsid w:val="00CE0E97"/>
    <w:rsid w:val="00D27976"/>
    <w:rsid w:val="00D85BEA"/>
    <w:rsid w:val="00DA0E51"/>
    <w:rsid w:val="00DE5A79"/>
    <w:rsid w:val="00DF545F"/>
    <w:rsid w:val="00E07807"/>
    <w:rsid w:val="00E54699"/>
    <w:rsid w:val="00ED1CF0"/>
    <w:rsid w:val="00EF4A27"/>
    <w:rsid w:val="00F14CF0"/>
    <w:rsid w:val="00F16C0D"/>
    <w:rsid w:val="00FC6D3E"/>
    <w:rsid w:val="00FC798D"/>
    <w:rsid w:val="534B9EEF"/>
    <w:rsid w:val="551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6071"/>
  <w15:docId w15:val="{30CCFEE8-0C31-4669-9535-C948FD0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val="en-US"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val="en-US"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a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1NonInd">
    <w:name w:val="IASB Section Title 1 NonInd"/>
    <w:basedOn w:val="a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NonInd">
    <w:name w:val="IASB Section Title 2 NonInd"/>
    <w:basedOn w:val="a"/>
    <w:pPr>
      <w:keepNext/>
      <w:keepLines/>
      <w:spacing w:before="3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a"/>
    <w:pPr>
      <w:keepNext/>
      <w:keepLines/>
      <w:spacing w:before="300" w:after="200"/>
    </w:pPr>
    <w:rPr>
      <w:rFonts w:ascii="Arial" w:hAnsi="Arial" w:cs="Arial"/>
      <w:b/>
      <w:sz w:val="22"/>
      <w:szCs w:val="20"/>
      <w:lang w:val="en-US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a"/>
    <w:pPr>
      <w:keepNext/>
      <w:keepLines/>
      <w:spacing w:before="300" w:after="200"/>
    </w:pPr>
    <w:rPr>
      <w:rFonts w:ascii="Arial" w:hAnsi="Arial" w:cs="Arial"/>
      <w:i/>
      <w:sz w:val="22"/>
      <w:szCs w:val="20"/>
      <w:lang w:val="en-US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a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  <w:lang w:val="en-US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val="en-US"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a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  <w:lang w:val="en-US"/>
    </w:rPr>
  </w:style>
  <w:style w:type="paragraph" w:customStyle="1" w:styleId="IASBTOCPrimary">
    <w:name w:val="IASB TOC Primary"/>
    <w:basedOn w:val="a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  <w:lang w:val="en-US"/>
    </w:rPr>
  </w:style>
  <w:style w:type="paragraph" w:customStyle="1" w:styleId="IASBTOCParagraph">
    <w:name w:val="IASB TOC Paragraph"/>
    <w:basedOn w:val="a"/>
    <w:pPr>
      <w:spacing w:before="30" w:after="30"/>
    </w:pPr>
    <w:rPr>
      <w:rFonts w:ascii="Arial" w:hAnsi="Arial" w:cs="Arial"/>
      <w:i/>
      <w:sz w:val="18"/>
      <w:szCs w:val="20"/>
      <w:lang w:val="en-US"/>
    </w:rPr>
  </w:style>
  <w:style w:type="paragraph" w:customStyle="1" w:styleId="IASBTOCSecondary">
    <w:name w:val="IASB TOC Secondary"/>
    <w:basedOn w:val="a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TOCTertiary">
    <w:name w:val="IASB TOC Tertiary"/>
    <w:basedOn w:val="a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  <w:lang w:val="en-US"/>
    </w:rPr>
  </w:style>
  <w:style w:type="paragraph" w:customStyle="1" w:styleId="IASBTOCExternal">
    <w:name w:val="IASB TOC External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a3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a4">
    <w:name w:val="footnote text"/>
    <w:basedOn w:val="IASBSectionTitle2Ind"/>
    <w:next w:val="IASBBlockquote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a0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Верхній колонтитул Знак"/>
    <w:basedOn w:val="a0"/>
    <w:link w:val="a5"/>
    <w:uiPriority w:val="99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a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a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a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a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a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a9">
    <w:name w:val="endnote reference"/>
    <w:basedOn w:val="a0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aa">
    <w:name w:val="annotation reference"/>
    <w:basedOn w:val="a0"/>
    <w:uiPriority w:val="99"/>
    <w:semiHidden/>
    <w:unhideWhenUsed/>
    <w:rsid w:val="00911B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1B77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11B77"/>
    <w:rPr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1B7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11B77"/>
    <w:rPr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11B7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11B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9eb38-6cb5-483f-a298-4a90bdd00051">
      <Terms xmlns="http://schemas.microsoft.com/office/infopath/2007/PartnerControls"/>
    </lcf76f155ced4ddcb4097134ff3c332f>
    <TaxCatchAll xmlns="dd1af2b0-f65d-434c-8a17-aadcdb553b78" xsi:nil="true"/>
    <SharedWithUsers xmlns="dd1af2b0-f65d-434c-8a17-aadcdb553b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6" ma:contentTypeDescription="Create a new document." ma:contentTypeScope="" ma:versionID="58c4739538464380202bfe390b1816b1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524048d4f90c446eb57bbd12e800c963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B47C-485D-42D2-A808-667B932C92C6}">
  <ds:schemaRefs>
    <ds:schemaRef ds:uri="http://schemas.microsoft.com/office/2006/metadata/properties"/>
    <ds:schemaRef ds:uri="http://schemas.microsoft.com/office/infopath/2007/PartnerControls"/>
    <ds:schemaRef ds:uri="ec49eb38-6cb5-483f-a298-4a90bdd00051"/>
    <ds:schemaRef ds:uri="dd1af2b0-f65d-434c-8a17-aadcdb553b78"/>
  </ds:schemaRefs>
</ds:datastoreItem>
</file>

<file path=customXml/itemProps2.xml><?xml version="1.0" encoding="utf-8"?>
<ds:datastoreItem xmlns:ds="http://schemas.openxmlformats.org/officeDocument/2006/customXml" ds:itemID="{FDD5EC69-EE27-4D2E-8FB3-6B16390B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eb38-6cb5-483f-a298-4a90bdd00051"/>
    <ds:schemaRef ds:uri="dd1af2b0-f65d-434c-8a17-aadcdb55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81E5-EA6E-482B-A804-BC0F647F0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1F8B9-48FB-497B-B6E1-6EB12850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5342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Ніконова Світлана Вячеславівна</cp:lastModifiedBy>
  <cp:revision>3</cp:revision>
  <dcterms:created xsi:type="dcterms:W3CDTF">2023-05-29T07:26:00Z</dcterms:created>
  <dcterms:modified xsi:type="dcterms:W3CDTF">2023-05-29T07:31:00Z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  <property fmtid="{D5CDD505-2E9C-101B-9397-08002B2CF9AE}" pid="3" name="Order">
    <vt:r8>25922700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