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73" w:beforeAutospacing="0" w:afterAutospacing="0"/>
        <w:ind w:left="5098" w:right="3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6146" w:leader="none"/>
          <w:tab w:val="left" w:pos="7551" w:leader="none"/>
          <w:tab w:val="left" w:pos="9353" w:leader="none"/>
        </w:tabs>
        <w:spacing w:lineRule="auto" w:line="360" w:before="161" w:beforeAutospacing="0" w:afterAutospacing="0"/>
        <w:ind w:left="5099" w:right="3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постановою Кабінету Міністрів України від </w:t>
      </w:r>
      <w:r>
        <w:rPr>
          <w:color w:val="000000"/>
          <w:sz w:val="28"/>
          <w:szCs w:val="28"/>
          <w:u w:val="single"/>
        </w:rPr>
        <w:t xml:space="preserve"> </w:t>
        <w:tab/>
        <w:t xml:space="preserve"> </w:t>
        <w:tab/>
      </w:r>
      <w:r>
        <w:rPr>
          <w:color w:val="000000"/>
          <w:sz w:val="28"/>
          <w:szCs w:val="28"/>
        </w:rPr>
        <w:t>2022 р. №</w:t>
      </w:r>
      <w:r>
        <w:rPr>
          <w:color w:val="000000"/>
          <w:sz w:val="28"/>
          <w:szCs w:val="28"/>
          <w:u w:val="single"/>
        </w:rPr>
        <w:t xml:space="preserve"> </w:t>
        <w:tab/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before="10" w:beforeAutospacing="0" w:afterAutospacing="0"/>
        <w:rPr>
          <w:color w:val="000000"/>
          <w:sz w:val="15"/>
          <w:szCs w:val="15"/>
        </w:rPr>
      </w:pPr>
    </w:p>
    <w:p>
      <w:pPr>
        <w:pStyle w:val="P1"/>
        <w:spacing w:before="88" w:beforeAutospacing="0" w:afterAutospacing="0"/>
        <w:ind w:right="309"/>
        <w:jc w:val="center"/>
        <w:rPr>
          <w:color w:val="000000"/>
        </w:rPr>
      </w:pPr>
      <w:r>
        <w:rPr>
          <w:color w:val="000000"/>
        </w:rPr>
        <w:t>ЗМІНИ,</w:t>
      </w:r>
    </w:p>
    <w:p>
      <w:pPr>
        <w:spacing w:lineRule="auto" w:line="276" w:before="49" w:beforeAutospacing="0" w:afterAutospacing="0"/>
        <w:ind w:firstLine="1246" w:left="1065" w:right="552"/>
        <w:rPr>
          <w:b w:val="1"/>
          <w:color w:val="000000"/>
          <w:sz w:val="28"/>
          <w:szCs w:val="28"/>
        </w:rPr>
      </w:pPr>
      <w:r>
        <w:rPr>
          <w:b w:val="1"/>
          <w:color w:val="000000"/>
          <w:sz w:val="28"/>
          <w:szCs w:val="28"/>
        </w:rPr>
        <w:t>що вносяться до Порядку зупинення реєстрації податкової накладної / розрахунку коригування в Єдиному реєстрі</w:t>
      </w:r>
    </w:p>
    <w:p>
      <w:pPr>
        <w:pStyle w:val="P1"/>
        <w:ind w:left="3865"/>
        <w:rPr>
          <w:color w:val="000000"/>
        </w:rPr>
      </w:pPr>
      <w:r>
        <w:rPr>
          <w:color w:val="000000"/>
        </w:rPr>
        <w:t>податкових накладних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</w:tabs>
        <w:ind w:firstLine="567"/>
        <w:rPr>
          <w:b w:val="1"/>
          <w:color w:val="000000"/>
          <w:sz w:val="36"/>
          <w:szCs w:val="36"/>
        </w:rPr>
      </w:pP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  <w:tab w:val="left" w:pos="1348" w:leader="none"/>
        </w:tabs>
        <w:ind w:firstLine="567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абзаці першому пункту 3 слова «розрахунків коригування, складених у разі зменшення суми компенсації вартості товарів / послуг їх постачальнику» замінити словами «розрахунків коригування, складених постачальником товарів / послуг до податкової накладної, складеної на отримувача – платника податку, в яких передбачається зменшення суми компенсації вартості хоча б одного з товарів/послуг їх постачальнику».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</w:tabs>
        <w:ind w:firstLine="567"/>
        <w:rPr>
          <w:color w:val="000000"/>
          <w:sz w:val="16"/>
          <w:szCs w:val="16"/>
        </w:rPr>
      </w:pP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  <w:tab w:val="left" w:pos="1424" w:leader="none"/>
        </w:tabs>
        <w:ind w:firstLine="567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абзаці першому пункту 6 слова «податкову накладну / розрахунок коригування» замінити словами «та/або подано податкову накладну / розрахунок коригування для реєстрації в Реєстрі», а слово «таких» замінити словом «такої».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</w:tabs>
        <w:ind w:firstLine="567"/>
        <w:rPr>
          <w:color w:val="000000"/>
          <w:sz w:val="16"/>
          <w:szCs w:val="16"/>
        </w:rPr>
      </w:pP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  <w:tab w:val="left" w:pos="1347" w:leader="none"/>
        </w:tabs>
        <w:ind w:firstLine="567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19 викласти в такій редакції: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«19. Комісії контролюючих органів приймають рішення про неврахування таблиці даних платника податку (додаток 7), яку враховано, зокрема, в автоматичному режимі, яке надсилається платнику податку у порядку, визначеному статтею 42 Кодексу у разі, коли: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стосовно платника податку прийнято рішення про відповідність критеріям ризиковості платника податку (додаток 4), визначених у пунктах 1 – 5 додатка 1 до цього Порядку;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контролюючого органу надійшла податкова інформація щодо невідповідності інформації, зазначеної в таблиці даних платника податків, видам економічної діяльності відповідно до </w:t>
      </w:r>
      <w:hyperlink xmlns:r="http://schemas.openxmlformats.org/officeDocument/2006/relationships" r:id="R2">
        <w:r>
          <w:rPr>
            <w:color w:val="000000"/>
            <w:sz w:val="28"/>
            <w:szCs w:val="28"/>
          </w:rPr>
          <w:t>Класифікатора видів економічної</w:t>
        </w:r>
      </w:hyperlink>
      <w:r>
        <w:rPr>
          <w:color w:val="000000"/>
          <w:sz w:val="28"/>
          <w:szCs w:val="28"/>
        </w:rPr>
        <w:t xml:space="preserve"> </w:t>
      </w:r>
      <w:hyperlink xmlns:r="http://schemas.openxmlformats.org/officeDocument/2006/relationships" r:id="R3">
        <w:r>
          <w:rPr>
            <w:color w:val="000000"/>
            <w:sz w:val="28"/>
            <w:szCs w:val="28"/>
          </w:rPr>
          <w:t>діяльності</w:t>
        </w:r>
      </w:hyperlink>
      <w:r>
        <w:rPr>
          <w:color w:val="000000"/>
          <w:sz w:val="28"/>
          <w:szCs w:val="28"/>
        </w:rPr>
        <w:t>, кодам товарів згідно з УКТЗЕД та/або кодам послуг згідно з Державним класифікатором продукції та послуг, що постачаються та/або придбаваються (отримуються) платником податку, ввозяться на митну територію України, яка свідчить про надання платником податку недостовірної інформації в таблиці даних платника податку.».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</w:tabs>
        <w:ind w:firstLine="567"/>
        <w:rPr>
          <w:color w:val="000000"/>
          <w:sz w:val="16"/>
          <w:szCs w:val="16"/>
        </w:rPr>
      </w:pPr>
    </w:p>
    <w:p>
      <w:pPr>
        <w:numPr>
          <w:ilvl w:val="0"/>
          <w:numId w:val="1"/>
        </w:num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851" w:leader="none"/>
          <w:tab w:val="left" w:pos="1353" w:leader="none"/>
        </w:tabs>
        <w:ind w:firstLine="567"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пункті 1 додатка 3 до Порядку слова і цифри «і переважання в такому залишку (більше 50 відсотків) груп товарів (продукції), визначених ДПС та затверджених відповідним наказом, оприлюднен</w:t>
      </w:r>
      <w:bookmarkStart w:id="0" w:name="_GoBack"/>
      <w:bookmarkEnd w:id="0"/>
      <w:r>
        <w:rPr>
          <w:color w:val="000000"/>
          <w:sz w:val="28"/>
          <w:szCs w:val="28"/>
        </w:rPr>
        <w:t>им на офіційному веб-сайті ДПС» виключити.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353" w:leader="none"/>
        </w:tabs>
        <w:ind w:firstLine="567"/>
        <w:jc w:val="both"/>
        <w:rPr>
          <w:color w:val="000000"/>
          <w:sz w:val="28"/>
          <w:szCs w:val="28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tabs>
          <w:tab w:val="left" w:pos="1353" w:leader="none"/>
        </w:tabs>
        <w:ind w:firstLine="567"/>
        <w:jc w:val="center"/>
        <w:rPr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______________________________________</w:t>
      </w:r>
    </w:p>
    <w:sectPr>
      <w:footnotePr/>
      <w:endnotePr/>
      <w:type w:val="nextPage"/>
      <w:pgSz w:w="11907" w:h="16839" w:code="9"/>
      <w:pgMar w:left="1202" w:right="459" w:top="641" w:bottom="1701" w:header="397" w:footer="709" w:gutter="0"/>
      <w:pgNumType w:start="1" w:chapSep="period"/>
      <w:cols w:equalWidth="1" w:space="72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>
  <w:abstractNum w:abstractNumId="0">
    <w:nsid w:val="38AB31F7"/>
    <w:multiLevelType w:val="multilevel"/>
    <w:lvl w:ilvl="0">
      <w:start w:val="1"/>
      <w:numFmt w:val="decimal"/>
      <w:suff w:val="tab"/>
      <w:lvlText w:val="%1."/>
      <w:lvlJc w:val="left"/>
      <w:pPr>
        <w:ind w:hanging="281" w:left="500"/>
      </w:pPr>
      <w:rPr>
        <w:rFonts w:ascii="Times New Roman" w:hAnsi="Times New Roman"/>
        <w:sz w:val="28"/>
        <w:szCs w:val="28"/>
      </w:rPr>
    </w:lvl>
    <w:lvl w:ilvl="1">
      <w:start w:val="1"/>
      <w:numFmt w:val="bullet"/>
      <w:suff w:val="tab"/>
      <w:lvlText w:val="•"/>
      <w:lvlJc w:val="left"/>
      <w:pPr>
        <w:ind w:hanging="281" w:left="1474"/>
      </w:pPr>
      <w:rPr/>
    </w:lvl>
    <w:lvl w:ilvl="2">
      <w:start w:val="1"/>
      <w:numFmt w:val="bullet"/>
      <w:suff w:val="tab"/>
      <w:lvlText w:val="•"/>
      <w:lvlJc w:val="left"/>
      <w:pPr>
        <w:ind w:hanging="281" w:left="2449"/>
      </w:pPr>
      <w:rPr/>
    </w:lvl>
    <w:lvl w:ilvl="3">
      <w:start w:val="1"/>
      <w:numFmt w:val="bullet"/>
      <w:suff w:val="tab"/>
      <w:lvlText w:val="•"/>
      <w:lvlJc w:val="left"/>
      <w:pPr>
        <w:ind w:hanging="281" w:left="3423"/>
      </w:pPr>
      <w:rPr/>
    </w:lvl>
    <w:lvl w:ilvl="4">
      <w:start w:val="1"/>
      <w:numFmt w:val="bullet"/>
      <w:suff w:val="tab"/>
      <w:lvlText w:val="•"/>
      <w:lvlJc w:val="left"/>
      <w:pPr>
        <w:ind w:hanging="281" w:left="4398"/>
      </w:pPr>
      <w:rPr/>
    </w:lvl>
    <w:lvl w:ilvl="5">
      <w:start w:val="1"/>
      <w:numFmt w:val="bullet"/>
      <w:suff w:val="tab"/>
      <w:lvlText w:val="•"/>
      <w:lvlJc w:val="left"/>
      <w:pPr>
        <w:ind w:hanging="281" w:left="5373"/>
      </w:pPr>
      <w:rPr/>
    </w:lvl>
    <w:lvl w:ilvl="6">
      <w:start w:val="1"/>
      <w:numFmt w:val="bullet"/>
      <w:suff w:val="tab"/>
      <w:lvlText w:val="•"/>
      <w:lvlJc w:val="left"/>
      <w:pPr>
        <w:ind w:hanging="281" w:left="6347"/>
      </w:pPr>
      <w:rPr/>
    </w:lvl>
    <w:lvl w:ilvl="7">
      <w:start w:val="1"/>
      <w:numFmt w:val="bullet"/>
      <w:suff w:val="tab"/>
      <w:lvlText w:val="•"/>
      <w:lvlJc w:val="left"/>
      <w:pPr>
        <w:ind w:hanging="281" w:left="7322"/>
      </w:pPr>
      <w:rPr/>
    </w:lvl>
    <w:lvl w:ilvl="8">
      <w:start w:val="1"/>
      <w:numFmt w:val="bullet"/>
      <w:suff w:val="tab"/>
      <w:lvlText w:val="•"/>
      <w:lvlJc w:val="left"/>
      <w:pPr>
        <w:ind w:hanging="281" w:left="8296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lang w:eastAsia="en-US"/>
    </w:rPr>
  </w:style>
  <w:style w:type="paragraph" w:styleId="P1">
    <w:name w:val="heading 1"/>
    <w:basedOn w:val="P0"/>
    <w:qFormat/>
    <w:pPr>
      <w:ind w:left="703"/>
      <w:outlineLvl w:val="0"/>
    </w:pPr>
    <w:rPr>
      <w:b w:val="1"/>
      <w:bCs w:val="1"/>
      <w:sz w:val="28"/>
      <w:szCs w:val="28"/>
    </w:rPr>
  </w:style>
  <w:style w:type="paragraph" w:styleId="P2">
    <w:name w:val="heading 2"/>
    <w:basedOn w:val="P0"/>
    <w:next w:val="P0"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pPr>
      <w:keepNext w:val="1"/>
      <w:keepLines w:val="1"/>
      <w:spacing w:before="220" w:after="40" w:beforeAutospacing="0" w:afterAutospacing="0"/>
      <w:outlineLvl w:val="4"/>
    </w:pPr>
    <w:rPr>
      <w:b w:val="1"/>
    </w:rPr>
  </w:style>
  <w:style w:type="paragraph" w:styleId="P6">
    <w:name w:val="heading 6"/>
    <w:basedOn w:val="P0"/>
    <w:next w:val="P0"/>
    <w:pPr>
      <w:keepNext w:val="1"/>
      <w:keepLines w:val="1"/>
      <w:spacing w:before="200" w:after="40" w:beforeAutospacing="0" w:afterAutospacing="0"/>
      <w:outlineLvl w:val="5"/>
    </w:pPr>
    <w:rPr>
      <w:b w:val="1"/>
      <w:sz w:val="20"/>
      <w:szCs w:val="20"/>
    </w:rPr>
  </w:style>
  <w:style w:type="paragraph" w:styleId="P7">
    <w:name w:val="Title"/>
    <w:basedOn w:val="P0"/>
    <w:next w:val="P0"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8">
    <w:name w:val="Body Text"/>
    <w:basedOn w:val="P0"/>
    <w:qFormat/>
    <w:pPr/>
    <w:rPr>
      <w:sz w:val="28"/>
      <w:szCs w:val="28"/>
    </w:rPr>
  </w:style>
  <w:style w:type="paragraph" w:styleId="P9">
    <w:name w:val="List Paragraph"/>
    <w:basedOn w:val="P0"/>
    <w:qFormat/>
    <w:pPr>
      <w:ind w:firstLine="567" w:left="500" w:right="103"/>
      <w:jc w:val="both"/>
    </w:pPr>
    <w:rPr/>
  </w:style>
  <w:style w:type="paragraph" w:styleId="P10">
    <w:name w:val="Table Paragraph"/>
    <w:basedOn w:val="P0"/>
    <w:qFormat/>
    <w:pPr/>
    <w:rPr/>
  </w:style>
  <w:style w:type="paragraph" w:styleId="P11">
    <w:name w:val="Subtitle"/>
    <w:basedOn w:val="P0"/>
    <w:next w:val="P0"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2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13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14">
    <w:name w:val="footnote text"/>
    <w:link w:val="C7"/>
    <w:semiHidden/>
    <w:pPr>
      <w:spacing w:lineRule="auto" w:line="240" w:after="0"/>
    </w:pPr>
    <w:rPr>
      <w:sz w:val="20"/>
      <w:szCs w:val="20"/>
    </w:rPr>
  </w:style>
  <w:style w:type="paragraph" w:styleId="P15">
    <w:name w:val="endnote text"/>
    <w:link w:val="C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rPr/>
  </w:style>
  <w:style w:type="character" w:styleId="C4">
    <w:name w:val="Верхній колонтитул Знак"/>
    <w:basedOn w:val="C0"/>
    <w:link w:val="P12"/>
    <w:rPr>
      <w:lang w:eastAsia="en-US"/>
    </w:rPr>
  </w:style>
  <w:style w:type="character" w:styleId="C5">
    <w:name w:val="Нижній колонтитул Знак"/>
    <w:basedOn w:val="C0"/>
    <w:link w:val="P13"/>
    <w:rPr>
      <w:lang w:eastAsia="en-US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14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1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2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zakon.rada.gov.ua/laws/show/vb457609-10" TargetMode="External" /><Relationship Id="R3" Type="http://schemas.openxmlformats.org/officeDocument/2006/relationships/hyperlink" Target="https://zakon.rada.gov.ua/laws/show/vb457609-10" TargetMode="Externa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i1rShMughfR6RY6WQT0+ipQXGA==">AMUW2mVoPl2H/uPXb5SM5whpsnw/w8j/Mn+lrk76JgycH+/xhK7psnxA0vp8PI0Wh09x+BJtq9g1XH014Nzbd1Ta2bBJuQ0df4NHBO1IASftKJSMMIirkpY=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2022-05-30T13:39:00Z</dcterms:created>
  <cp:lastModifiedBy>tech_user</cp:lastModifiedBy>
  <dcterms:modified xsi:type="dcterms:W3CDTF">2022-06-23T09:23:56Z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2022-05-05T00:00:00Z</vt:filetime>
  </property>
  <property fmtid="{D5CDD505-2E9C-101B-9397-08002B2CF9AE}" pid="3" name="Creator">
    <vt:lpwstr>DevExpress Office File API/21.1.3.0</vt:lpwstr>
  </property>
  <property fmtid="{D5CDD505-2E9C-101B-9397-08002B2CF9AE}" pid="4" name="LastSaved">
    <vt:filetime>2022-05-30T00:00:00Z</vt:filetime>
  </property>
</Properties>
</file>