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E1" w:rsidRPr="00836B30" w:rsidRDefault="002B4FE1" w:rsidP="000B6570">
      <w:pPr>
        <w:pStyle w:val="a3"/>
        <w:spacing w:before="0" w:beforeAutospacing="0" w:after="0" w:afterAutospacing="0"/>
        <w:ind w:left="5103"/>
        <w:rPr>
          <w:sz w:val="28"/>
          <w:szCs w:val="28"/>
          <w:lang w:val="uk-UA"/>
        </w:rPr>
      </w:pPr>
      <w:r w:rsidRPr="00836B30">
        <w:rPr>
          <w:sz w:val="28"/>
          <w:szCs w:val="28"/>
          <w:lang w:val="uk-UA"/>
        </w:rPr>
        <w:t>ЗАТВЕРДЖЕНО</w:t>
      </w:r>
    </w:p>
    <w:p w:rsidR="002B4FE1" w:rsidRPr="00836B30" w:rsidRDefault="002B4FE1" w:rsidP="000B6570">
      <w:pPr>
        <w:pStyle w:val="a3"/>
        <w:spacing w:before="0" w:beforeAutospacing="0" w:after="0" w:afterAutospacing="0"/>
        <w:ind w:left="5103"/>
        <w:rPr>
          <w:sz w:val="28"/>
          <w:szCs w:val="28"/>
          <w:lang w:val="uk-UA"/>
        </w:rPr>
      </w:pPr>
      <w:r w:rsidRPr="00836B30">
        <w:rPr>
          <w:sz w:val="28"/>
          <w:szCs w:val="28"/>
          <w:lang w:val="uk-UA"/>
        </w:rPr>
        <w:t>Наказ Міністерства фінансів України</w:t>
      </w:r>
    </w:p>
    <w:p w:rsidR="002B4FE1" w:rsidRPr="00836B30" w:rsidRDefault="002B4FE1" w:rsidP="000B6570">
      <w:pPr>
        <w:pStyle w:val="a3"/>
        <w:spacing w:before="0" w:beforeAutospacing="0" w:after="0" w:afterAutospacing="0"/>
        <w:ind w:left="5103"/>
        <w:rPr>
          <w:sz w:val="28"/>
          <w:szCs w:val="28"/>
          <w:lang w:val="uk-UA"/>
        </w:rPr>
      </w:pPr>
      <w:r w:rsidRPr="00836B30">
        <w:rPr>
          <w:sz w:val="28"/>
          <w:szCs w:val="28"/>
          <w:lang w:val="uk-UA"/>
        </w:rPr>
        <w:t>______________________ № _______</w:t>
      </w:r>
    </w:p>
    <w:p w:rsidR="002B4FE1" w:rsidRPr="00836B30" w:rsidRDefault="002B4FE1" w:rsidP="002B4FE1">
      <w:pPr>
        <w:pStyle w:val="a3"/>
        <w:spacing w:before="240" w:beforeAutospacing="0" w:after="0" w:afterAutospacing="0" w:line="360" w:lineRule="auto"/>
        <w:ind w:firstLine="567"/>
        <w:jc w:val="both"/>
        <w:rPr>
          <w:sz w:val="28"/>
          <w:szCs w:val="28"/>
          <w:lang w:val="uk-UA"/>
        </w:rPr>
      </w:pPr>
    </w:p>
    <w:p w:rsidR="002B4FE1" w:rsidRPr="00836B30" w:rsidRDefault="002B4FE1" w:rsidP="002B4FE1">
      <w:pPr>
        <w:pStyle w:val="a3"/>
        <w:spacing w:before="240" w:beforeAutospacing="0" w:after="0" w:afterAutospacing="0" w:line="360" w:lineRule="auto"/>
        <w:ind w:firstLine="567"/>
        <w:jc w:val="both"/>
        <w:rPr>
          <w:sz w:val="28"/>
          <w:szCs w:val="28"/>
          <w:lang w:val="uk-UA"/>
        </w:rPr>
      </w:pP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2B4FE1" w:rsidRPr="00836B30" w:rsidRDefault="002B4FE1" w:rsidP="002B4FE1">
      <w:pPr>
        <w:pStyle w:val="a3"/>
        <w:spacing w:before="240" w:beforeAutospacing="0" w:after="0" w:afterAutospacing="0" w:line="360" w:lineRule="auto"/>
        <w:ind w:firstLine="567"/>
        <w:jc w:val="both"/>
        <w:rPr>
          <w:b/>
          <w:sz w:val="28"/>
          <w:szCs w:val="28"/>
          <w:lang w:val="uk-UA"/>
        </w:rPr>
      </w:pPr>
      <w:r w:rsidRPr="00836B30">
        <w:rPr>
          <w:b/>
          <w:sz w:val="28"/>
          <w:szCs w:val="28"/>
          <w:lang w:val="uk-UA"/>
        </w:rPr>
        <w:t>Зміни до Інструкції щодо заповнення форм обліку та подання інформації, пов’язаної із здійсненням фінансового моніторингу</w:t>
      </w:r>
    </w:p>
    <w:p w:rsidR="002B4FE1" w:rsidRPr="00836B30" w:rsidRDefault="002B4FE1" w:rsidP="002B4FE1">
      <w:pPr>
        <w:pStyle w:val="a3"/>
        <w:numPr>
          <w:ilvl w:val="0"/>
          <w:numId w:val="1"/>
        </w:numPr>
        <w:spacing w:before="240" w:beforeAutospacing="0" w:after="0" w:afterAutospacing="0" w:line="360" w:lineRule="auto"/>
        <w:jc w:val="both"/>
        <w:rPr>
          <w:sz w:val="28"/>
          <w:szCs w:val="28"/>
          <w:lang w:val="uk-UA"/>
        </w:rPr>
      </w:pPr>
      <w:r w:rsidRPr="00836B30">
        <w:rPr>
          <w:sz w:val="28"/>
          <w:szCs w:val="28"/>
          <w:lang w:val="uk-UA"/>
        </w:rPr>
        <w:t>У пункті 8 розділу ІІ:</w:t>
      </w:r>
    </w:p>
    <w:p w:rsidR="002B4FE1" w:rsidRPr="00836B30" w:rsidRDefault="002B4FE1" w:rsidP="002B4FE1">
      <w:pPr>
        <w:pStyle w:val="a3"/>
        <w:spacing w:before="240" w:beforeAutospacing="0" w:after="0" w:afterAutospacing="0" w:line="360" w:lineRule="auto"/>
        <w:ind w:left="567"/>
        <w:jc w:val="both"/>
        <w:rPr>
          <w:sz w:val="28"/>
          <w:szCs w:val="28"/>
          <w:lang w:val="uk-UA"/>
        </w:rPr>
      </w:pPr>
      <w:r w:rsidRPr="00836B30">
        <w:rPr>
          <w:sz w:val="28"/>
          <w:szCs w:val="28"/>
          <w:lang w:val="uk-UA"/>
        </w:rPr>
        <w:t>підпункт 5 виключити.</w:t>
      </w:r>
    </w:p>
    <w:p w:rsidR="002B4FE1" w:rsidRPr="00836B30" w:rsidRDefault="002B4FE1" w:rsidP="002B4FE1">
      <w:pPr>
        <w:pStyle w:val="a3"/>
        <w:spacing w:before="240" w:beforeAutospacing="0" w:after="0" w:afterAutospacing="0" w:line="360" w:lineRule="auto"/>
        <w:ind w:firstLine="567"/>
        <w:jc w:val="both"/>
        <w:rPr>
          <w:sz w:val="28"/>
          <w:szCs w:val="28"/>
          <w:lang w:val="uk-UA"/>
        </w:rPr>
      </w:pPr>
      <w:r w:rsidRPr="00836B30">
        <w:rPr>
          <w:sz w:val="28"/>
          <w:szCs w:val="28"/>
          <w:lang w:val="uk-UA"/>
        </w:rPr>
        <w:t>У зв’язку з цим підпункти 6, 7, 8, 9 вв</w:t>
      </w:r>
      <w:r w:rsidR="000B6570" w:rsidRPr="00836B30">
        <w:rPr>
          <w:sz w:val="28"/>
          <w:szCs w:val="28"/>
          <w:lang w:val="uk-UA"/>
        </w:rPr>
        <w:t>ажати відповідно підпунктами 5, 6, 7, </w:t>
      </w:r>
      <w:r w:rsidRPr="00836B30">
        <w:rPr>
          <w:sz w:val="28"/>
          <w:szCs w:val="28"/>
          <w:lang w:val="uk-UA"/>
        </w:rPr>
        <w:t>8;</w:t>
      </w:r>
    </w:p>
    <w:p w:rsidR="002B4FE1" w:rsidRPr="003E3343" w:rsidRDefault="002B4FE1" w:rsidP="002B4FE1">
      <w:pPr>
        <w:pStyle w:val="a3"/>
        <w:spacing w:before="240" w:beforeAutospacing="0" w:after="0" w:afterAutospacing="0" w:line="360" w:lineRule="auto"/>
        <w:ind w:firstLine="567"/>
        <w:jc w:val="both"/>
        <w:rPr>
          <w:sz w:val="28"/>
          <w:szCs w:val="28"/>
          <w:lang w:val="en-US"/>
        </w:rPr>
      </w:pPr>
      <w:r w:rsidRPr="00836B30">
        <w:rPr>
          <w:sz w:val="28"/>
          <w:szCs w:val="28"/>
          <w:lang w:val="uk-UA"/>
        </w:rPr>
        <w:t xml:space="preserve">абзац </w:t>
      </w:r>
      <w:r w:rsidR="003E3343">
        <w:rPr>
          <w:sz w:val="28"/>
          <w:szCs w:val="28"/>
          <w:lang w:val="uk-UA"/>
        </w:rPr>
        <w:t>четвертий підпункту 6 виключити</w:t>
      </w:r>
      <w:r w:rsidR="003E3343">
        <w:rPr>
          <w:sz w:val="28"/>
          <w:szCs w:val="28"/>
          <w:lang w:val="en-US"/>
        </w:rPr>
        <w:t>.</w:t>
      </w:r>
      <w:bookmarkStart w:id="0" w:name="_GoBack"/>
      <w:bookmarkEnd w:id="0"/>
    </w:p>
    <w:p w:rsidR="002B4FE1" w:rsidRPr="00836B30" w:rsidRDefault="002B4FE1" w:rsidP="002B4FE1">
      <w:pPr>
        <w:pStyle w:val="a3"/>
        <w:numPr>
          <w:ilvl w:val="0"/>
          <w:numId w:val="1"/>
        </w:numPr>
        <w:spacing w:before="240" w:beforeAutospacing="0" w:after="0" w:afterAutospacing="0" w:line="360" w:lineRule="auto"/>
        <w:jc w:val="both"/>
        <w:rPr>
          <w:sz w:val="28"/>
          <w:szCs w:val="28"/>
          <w:lang w:val="uk-UA"/>
        </w:rPr>
      </w:pPr>
      <w:r w:rsidRPr="00836B30">
        <w:rPr>
          <w:sz w:val="28"/>
          <w:szCs w:val="28"/>
          <w:lang w:val="uk-UA"/>
        </w:rPr>
        <w:t xml:space="preserve">Абзац другий </w:t>
      </w:r>
      <w:r w:rsidR="003E3343">
        <w:rPr>
          <w:sz w:val="28"/>
          <w:szCs w:val="28"/>
          <w:lang w:val="uk-UA"/>
        </w:rPr>
        <w:t>пункту 12 розділу ІІІ виключити</w:t>
      </w:r>
      <w:r w:rsidR="003E3343" w:rsidRPr="003E3343">
        <w:rPr>
          <w:sz w:val="28"/>
          <w:szCs w:val="28"/>
        </w:rPr>
        <w:t>.</w:t>
      </w:r>
    </w:p>
    <w:p w:rsidR="002B4FE1" w:rsidRPr="00836B30" w:rsidRDefault="002B4FE1" w:rsidP="002B4FE1">
      <w:pPr>
        <w:pStyle w:val="a3"/>
        <w:numPr>
          <w:ilvl w:val="0"/>
          <w:numId w:val="1"/>
        </w:numPr>
        <w:spacing w:before="240" w:beforeAutospacing="0" w:after="0" w:afterAutospacing="0" w:line="360" w:lineRule="auto"/>
        <w:jc w:val="both"/>
        <w:rPr>
          <w:sz w:val="28"/>
          <w:szCs w:val="28"/>
          <w:lang w:val="uk-UA"/>
        </w:rPr>
      </w:pPr>
      <w:r w:rsidRPr="00836B30">
        <w:rPr>
          <w:sz w:val="28"/>
          <w:szCs w:val="28"/>
          <w:lang w:val="uk-UA"/>
        </w:rPr>
        <w:t>Пункт 3 розділу І</w:t>
      </w:r>
      <w:r w:rsidRPr="00836B30">
        <w:rPr>
          <w:sz w:val="28"/>
          <w:szCs w:val="28"/>
          <w:lang w:val="en-US"/>
        </w:rPr>
        <w:t>V</w:t>
      </w:r>
      <w:r w:rsidRPr="00836B30">
        <w:rPr>
          <w:sz w:val="28"/>
          <w:szCs w:val="28"/>
          <w:lang w:val="uk-UA"/>
        </w:rPr>
        <w:t xml:space="preserve"> викласти у такій редакції:</w:t>
      </w:r>
    </w:p>
    <w:p w:rsidR="002B4FE1" w:rsidRPr="00836B30" w:rsidRDefault="002B4FE1" w:rsidP="002B4FE1">
      <w:pPr>
        <w:pStyle w:val="a3"/>
        <w:spacing w:before="240" w:beforeAutospacing="0" w:after="0" w:afterAutospacing="0" w:line="360" w:lineRule="auto"/>
        <w:ind w:firstLine="567"/>
        <w:jc w:val="both"/>
        <w:rPr>
          <w:sz w:val="28"/>
          <w:szCs w:val="28"/>
          <w:lang w:val="uk-UA"/>
        </w:rPr>
      </w:pPr>
      <w:r w:rsidRPr="00836B30">
        <w:rPr>
          <w:sz w:val="28"/>
          <w:szCs w:val="28"/>
          <w:lang w:val="uk-UA"/>
        </w:rPr>
        <w:t>«Повідомлення підписується особисто працівником суб’єкта первинного фінансового моніторингу (відокремленого підрозділу), відповідальним за проведення фінансового моніторингу (особою, яка тимчасово виконує його обов’язки), із зазначенням повного найменування посади, прізвища, імені та по батькові».</w:t>
      </w: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0B6570" w:rsidRPr="00836B30" w:rsidRDefault="000B6570" w:rsidP="002B4FE1">
      <w:pPr>
        <w:pStyle w:val="a3"/>
        <w:spacing w:before="240" w:beforeAutospacing="0" w:after="0" w:afterAutospacing="0" w:line="360" w:lineRule="auto"/>
        <w:ind w:firstLine="567"/>
        <w:jc w:val="both"/>
        <w:rPr>
          <w:sz w:val="28"/>
          <w:szCs w:val="28"/>
          <w:lang w:val="uk-UA"/>
        </w:rPr>
      </w:pPr>
    </w:p>
    <w:p w:rsidR="002B4FE1" w:rsidRPr="00836B30" w:rsidRDefault="002B4FE1" w:rsidP="002B4FE1">
      <w:pPr>
        <w:pStyle w:val="a3"/>
        <w:numPr>
          <w:ilvl w:val="0"/>
          <w:numId w:val="1"/>
        </w:numPr>
        <w:spacing w:before="240" w:beforeAutospacing="0" w:after="0" w:afterAutospacing="0" w:line="360" w:lineRule="auto"/>
        <w:jc w:val="both"/>
        <w:rPr>
          <w:sz w:val="28"/>
          <w:szCs w:val="28"/>
          <w:lang w:val="uk-UA"/>
        </w:rPr>
      </w:pPr>
      <w:r w:rsidRPr="00836B30">
        <w:rPr>
          <w:sz w:val="28"/>
          <w:szCs w:val="28"/>
          <w:lang w:val="uk-UA"/>
        </w:rPr>
        <w:t xml:space="preserve">У </w:t>
      </w:r>
      <w:r w:rsidR="00E958B1" w:rsidRPr="00836B30">
        <w:rPr>
          <w:sz w:val="28"/>
          <w:szCs w:val="28"/>
          <w:lang w:val="uk-UA"/>
        </w:rPr>
        <w:t>д</w:t>
      </w:r>
      <w:r w:rsidRPr="00836B30">
        <w:rPr>
          <w:sz w:val="28"/>
          <w:szCs w:val="28"/>
          <w:lang w:val="uk-UA"/>
        </w:rPr>
        <w:t xml:space="preserve">одатку 3 </w:t>
      </w:r>
      <w:r w:rsidR="00E958B1" w:rsidRPr="00836B30">
        <w:rPr>
          <w:sz w:val="28"/>
          <w:szCs w:val="28"/>
          <w:lang w:val="uk-UA"/>
        </w:rPr>
        <w:t xml:space="preserve">до Інструкції </w:t>
      </w:r>
      <w:r w:rsidRPr="00836B30">
        <w:rPr>
          <w:sz w:val="28"/>
          <w:szCs w:val="28"/>
          <w:lang w:val="uk-UA"/>
        </w:rPr>
        <w:t>р</w:t>
      </w:r>
      <w:r w:rsidR="00E958B1" w:rsidRPr="00836B30">
        <w:rPr>
          <w:sz w:val="28"/>
          <w:szCs w:val="28"/>
          <w:lang w:val="uk-UA"/>
        </w:rPr>
        <w:t>ядки 462–</w:t>
      </w:r>
      <w:r w:rsidRPr="00836B30">
        <w:rPr>
          <w:sz w:val="28"/>
          <w:szCs w:val="28"/>
          <w:lang w:val="uk-UA"/>
        </w:rPr>
        <w:t>467 викласти у такій редакції:</w:t>
      </w:r>
    </w:p>
    <w:p w:rsidR="002B4FE1" w:rsidRPr="00836B30" w:rsidRDefault="002B4FE1" w:rsidP="002B4FE1">
      <w:pPr>
        <w:pStyle w:val="a3"/>
        <w:spacing w:before="240" w:beforeAutospacing="0" w:after="0" w:afterAutospacing="0" w:line="360" w:lineRule="auto"/>
        <w:jc w:val="both"/>
        <w:rPr>
          <w:sz w:val="28"/>
          <w:szCs w:val="28"/>
          <w:lang w:val="uk-UA"/>
        </w:rPr>
      </w:pPr>
      <w:r w:rsidRPr="00836B30">
        <w:rPr>
          <w:sz w:val="28"/>
          <w:szCs w:val="28"/>
          <w:lang w:val="uk-UA"/>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7383"/>
      </w:tblGrid>
      <w:tr w:rsidR="00836B30" w:rsidRPr="003E3343"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462</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spacing w:before="20" w:after="20"/>
              <w:jc w:val="both"/>
              <w:rPr>
                <w:sz w:val="28"/>
                <w:szCs w:val="28"/>
                <w:lang w:val="uk-UA"/>
              </w:rPr>
            </w:pPr>
            <w:r w:rsidRPr="00836B30">
              <w:rPr>
                <w:sz w:val="28"/>
                <w:szCs w:val="28"/>
                <w:lang w:val="uk-UA"/>
              </w:rPr>
              <w:t>Придбання фізичною особою ювелірних або побутових виробів з дорогоцінних металів та/або дорогоцінного каміння (однотипних виробів) та/або сертифікованого дорогоцінного каміння на суму, що дорівнює чи перевищує визначену частиною першою статті 15 Закону</w:t>
            </w:r>
          </w:p>
        </w:tc>
      </w:tr>
      <w:tr w:rsidR="00836B30" w:rsidRPr="00836B30"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463</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spacing w:before="20" w:after="20"/>
              <w:jc w:val="both"/>
              <w:rPr>
                <w:sz w:val="28"/>
                <w:szCs w:val="28"/>
                <w:lang w:val="uk-UA"/>
              </w:rPr>
            </w:pPr>
            <w:r w:rsidRPr="00836B30">
              <w:rPr>
                <w:sz w:val="28"/>
                <w:szCs w:val="28"/>
                <w:lang w:val="uk-UA"/>
              </w:rPr>
              <w:t>Виключено</w:t>
            </w:r>
          </w:p>
        </w:tc>
      </w:tr>
      <w:tr w:rsidR="00836B30" w:rsidRPr="003E3343"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464</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spacing w:before="20" w:after="20"/>
              <w:jc w:val="both"/>
              <w:rPr>
                <w:sz w:val="28"/>
                <w:szCs w:val="28"/>
                <w:lang w:val="uk-UA"/>
              </w:rPr>
            </w:pPr>
            <w:r w:rsidRPr="00836B30">
              <w:rPr>
                <w:sz w:val="28"/>
                <w:szCs w:val="28"/>
                <w:lang w:val="uk-UA"/>
              </w:rPr>
              <w:t>Видача банківськими установами кредитів, позик та інших коштів клієнтам за рахунок використання коштів рефінансування та інших запозичень, отриманих від Національного банку України для підтримки ліквідності</w:t>
            </w:r>
          </w:p>
        </w:tc>
      </w:tr>
      <w:tr w:rsidR="00836B30" w:rsidRPr="003E3343"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465</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jc w:val="both"/>
              <w:rPr>
                <w:sz w:val="28"/>
                <w:szCs w:val="28"/>
                <w:lang w:val="uk-UA"/>
              </w:rPr>
            </w:pPr>
            <w:r w:rsidRPr="00836B30">
              <w:rPr>
                <w:sz w:val="28"/>
                <w:szCs w:val="28"/>
                <w:lang w:val="uk-UA"/>
              </w:rPr>
              <w:t xml:space="preserve">Здійснення операцій з цінними паперами емітента, про якого з надійних джерел відомо, що він відсутній за місцезнаходженням  </w:t>
            </w:r>
          </w:p>
        </w:tc>
      </w:tr>
      <w:tr w:rsidR="00836B30" w:rsidRPr="00836B30"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466</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pStyle w:val="a3"/>
              <w:spacing w:before="0" w:beforeAutospacing="0" w:after="0" w:afterAutospacing="0"/>
              <w:jc w:val="both"/>
              <w:rPr>
                <w:sz w:val="28"/>
                <w:szCs w:val="28"/>
                <w:lang w:val="uk-UA"/>
              </w:rPr>
            </w:pPr>
            <w:r w:rsidRPr="00836B30">
              <w:rPr>
                <w:sz w:val="28"/>
                <w:szCs w:val="28"/>
                <w:lang w:val="uk-UA"/>
              </w:rPr>
              <w:t>Регулярне укладення особою строкових угод або використання інших похідних фінансових інструментів, особливо таких, що не передбачають поставки базового активу, за фінансовими операціями з одним або кількома контрагентами, результатом чого є постійний прибуток або постійні збитки особи</w:t>
            </w:r>
          </w:p>
        </w:tc>
      </w:tr>
      <w:tr w:rsidR="00836B30" w:rsidRPr="00836B30" w:rsidTr="00904F01">
        <w:trPr>
          <w:tblCellSpacing w:w="15" w:type="dxa"/>
          <w:jc w:val="center"/>
        </w:trPr>
        <w:tc>
          <w:tcPr>
            <w:tcW w:w="1194" w:type="pct"/>
            <w:tcBorders>
              <w:top w:val="outset" w:sz="6" w:space="0" w:color="auto"/>
              <w:left w:val="outset" w:sz="6" w:space="0" w:color="auto"/>
              <w:bottom w:val="outset" w:sz="6" w:space="0" w:color="auto"/>
              <w:right w:val="outset" w:sz="6" w:space="0" w:color="auto"/>
            </w:tcBorders>
          </w:tcPr>
          <w:p w:rsidR="002B4FE1" w:rsidRPr="00836B30" w:rsidRDefault="002B4FE1" w:rsidP="00904F01">
            <w:pPr>
              <w:jc w:val="center"/>
              <w:rPr>
                <w:sz w:val="28"/>
                <w:szCs w:val="28"/>
                <w:lang w:val="uk-UA"/>
              </w:rPr>
            </w:pPr>
            <w:r w:rsidRPr="00836B30">
              <w:rPr>
                <w:sz w:val="28"/>
                <w:szCs w:val="28"/>
                <w:lang w:val="uk-UA"/>
              </w:rPr>
              <w:t>467</w:t>
            </w:r>
          </w:p>
        </w:tc>
        <w:tc>
          <w:tcPr>
            <w:tcW w:w="3759" w:type="pct"/>
            <w:tcBorders>
              <w:top w:val="outset" w:sz="6" w:space="0" w:color="auto"/>
              <w:left w:val="outset" w:sz="6" w:space="0" w:color="auto"/>
              <w:bottom w:val="outset" w:sz="6" w:space="0" w:color="auto"/>
              <w:right w:val="outset" w:sz="6" w:space="0" w:color="auto"/>
            </w:tcBorders>
            <w:vAlign w:val="center"/>
          </w:tcPr>
          <w:p w:rsidR="002B4FE1" w:rsidRPr="00836B30" w:rsidRDefault="002B4FE1" w:rsidP="00904F01">
            <w:pPr>
              <w:spacing w:before="20" w:after="20"/>
              <w:jc w:val="both"/>
              <w:rPr>
                <w:sz w:val="28"/>
                <w:szCs w:val="28"/>
                <w:lang w:val="uk-UA"/>
              </w:rPr>
            </w:pPr>
            <w:r w:rsidRPr="00836B30">
              <w:rPr>
                <w:sz w:val="28"/>
                <w:szCs w:val="28"/>
                <w:lang w:val="uk-UA"/>
              </w:rPr>
              <w:t>Сплата страхових платежів особою, яка не є страхувальником</w:t>
            </w:r>
          </w:p>
        </w:tc>
      </w:tr>
    </w:tbl>
    <w:p w:rsidR="002B4FE1" w:rsidRPr="00836B30" w:rsidRDefault="002B4FE1" w:rsidP="002B4FE1">
      <w:pPr>
        <w:ind w:left="8496" w:firstLine="708"/>
        <w:rPr>
          <w:sz w:val="28"/>
          <w:szCs w:val="28"/>
          <w:lang w:val="uk-UA"/>
        </w:rPr>
      </w:pPr>
      <w:r w:rsidRPr="00836B30">
        <w:rPr>
          <w:sz w:val="28"/>
          <w:szCs w:val="28"/>
          <w:lang w:val="uk-UA"/>
        </w:rPr>
        <w:t>»</w:t>
      </w:r>
    </w:p>
    <w:p w:rsidR="002B4FE1" w:rsidRPr="00836B30" w:rsidRDefault="002B4FE1" w:rsidP="002B4FE1">
      <w:pPr>
        <w:rPr>
          <w:sz w:val="28"/>
          <w:szCs w:val="28"/>
        </w:rPr>
      </w:pPr>
    </w:p>
    <w:p w:rsidR="002B4FE1" w:rsidRPr="00836B30" w:rsidRDefault="002B4FE1" w:rsidP="002B4FE1">
      <w:pPr>
        <w:rPr>
          <w:sz w:val="28"/>
          <w:szCs w:val="28"/>
        </w:rPr>
      </w:pPr>
    </w:p>
    <w:p w:rsidR="001028FA" w:rsidRPr="00836B30" w:rsidRDefault="002B4FE1">
      <w:pPr>
        <w:rPr>
          <w:lang w:val="uk-UA"/>
        </w:rPr>
      </w:pPr>
      <w:r w:rsidRPr="00836B30">
        <w:rPr>
          <w:rFonts w:eastAsia="Calibri"/>
          <w:b/>
          <w:sz w:val="28"/>
          <w:szCs w:val="28"/>
          <w:lang w:val="uk-UA" w:eastAsia="uk-UA"/>
        </w:rPr>
        <w:t>В.</w:t>
      </w:r>
      <w:r w:rsidR="00E958B1" w:rsidRPr="00836B30">
        <w:rPr>
          <w:rFonts w:eastAsia="Calibri"/>
          <w:b/>
          <w:sz w:val="28"/>
          <w:szCs w:val="28"/>
          <w:lang w:val="uk-UA" w:eastAsia="uk-UA"/>
        </w:rPr>
        <w:t> </w:t>
      </w:r>
      <w:r w:rsidRPr="00836B30">
        <w:rPr>
          <w:rFonts w:eastAsia="Calibri"/>
          <w:b/>
          <w:sz w:val="28"/>
          <w:szCs w:val="28"/>
          <w:lang w:val="uk-UA" w:eastAsia="uk-UA"/>
        </w:rPr>
        <w:t xml:space="preserve">о. директора Департаменту </w:t>
      </w:r>
      <w:r w:rsidRPr="00836B30">
        <w:rPr>
          <w:rFonts w:eastAsia="Calibri"/>
          <w:b/>
          <w:sz w:val="28"/>
          <w:szCs w:val="28"/>
          <w:lang w:val="uk-UA" w:eastAsia="uk-UA"/>
        </w:rPr>
        <w:br/>
        <w:t xml:space="preserve">податкової політики                                                                </w:t>
      </w:r>
      <w:r w:rsidR="00E958B1" w:rsidRPr="00836B30">
        <w:rPr>
          <w:rFonts w:eastAsia="Calibri"/>
          <w:b/>
          <w:sz w:val="28"/>
          <w:szCs w:val="28"/>
          <w:lang w:val="uk-UA" w:eastAsia="uk-UA"/>
        </w:rPr>
        <w:t xml:space="preserve">    </w:t>
      </w:r>
      <w:r w:rsidRPr="00836B30">
        <w:rPr>
          <w:rFonts w:eastAsia="Calibri"/>
          <w:b/>
          <w:sz w:val="28"/>
          <w:szCs w:val="28"/>
          <w:lang w:val="uk-UA" w:eastAsia="uk-UA"/>
        </w:rPr>
        <w:t xml:space="preserve">  В. П. Овчаренко</w:t>
      </w:r>
    </w:p>
    <w:sectPr w:rsidR="001028FA" w:rsidRPr="00836B30" w:rsidSect="00B2163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53" w:rsidRDefault="00F15053" w:rsidP="00E958B1">
      <w:r>
        <w:separator/>
      </w:r>
    </w:p>
  </w:endnote>
  <w:endnote w:type="continuationSeparator" w:id="0">
    <w:p w:rsidR="00F15053" w:rsidRDefault="00F15053" w:rsidP="00E9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53" w:rsidRDefault="00F15053" w:rsidP="00E958B1">
      <w:r>
        <w:separator/>
      </w:r>
    </w:p>
  </w:footnote>
  <w:footnote w:type="continuationSeparator" w:id="0">
    <w:p w:rsidR="00F15053" w:rsidRDefault="00F15053" w:rsidP="00E9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38896"/>
      <w:docPartObj>
        <w:docPartGallery w:val="Page Numbers (Top of Page)"/>
        <w:docPartUnique/>
      </w:docPartObj>
    </w:sdtPr>
    <w:sdtEndPr/>
    <w:sdtContent>
      <w:p w:rsidR="00E958B1" w:rsidRDefault="00E958B1">
        <w:pPr>
          <w:pStyle w:val="a5"/>
          <w:jc w:val="center"/>
        </w:pPr>
        <w:r>
          <w:fldChar w:fldCharType="begin"/>
        </w:r>
        <w:r>
          <w:instrText xml:space="preserve"> PAGE   \* MERGEFORMAT </w:instrText>
        </w:r>
        <w:r>
          <w:fldChar w:fldCharType="separate"/>
        </w:r>
        <w:r w:rsidR="00B86665">
          <w:rPr>
            <w:noProof/>
          </w:rPr>
          <w:t>2</w:t>
        </w:r>
        <w:r>
          <w:rPr>
            <w:noProof/>
          </w:rPr>
          <w:fldChar w:fldCharType="end"/>
        </w:r>
      </w:p>
    </w:sdtContent>
  </w:sdt>
  <w:p w:rsidR="00E958B1" w:rsidRDefault="00E95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3957"/>
    <w:multiLevelType w:val="hybridMultilevel"/>
    <w:tmpl w:val="70A25166"/>
    <w:lvl w:ilvl="0" w:tplc="5D808C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E1"/>
    <w:rsid w:val="000B6570"/>
    <w:rsid w:val="001028FA"/>
    <w:rsid w:val="00225249"/>
    <w:rsid w:val="002B4FE1"/>
    <w:rsid w:val="003E3343"/>
    <w:rsid w:val="005E63E7"/>
    <w:rsid w:val="00701C5D"/>
    <w:rsid w:val="00836B30"/>
    <w:rsid w:val="00A81EAF"/>
    <w:rsid w:val="00AC3FF2"/>
    <w:rsid w:val="00B86665"/>
    <w:rsid w:val="00E958B1"/>
    <w:rsid w:val="00F15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E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2B4FE1"/>
    <w:pPr>
      <w:spacing w:before="100" w:beforeAutospacing="1" w:after="100" w:afterAutospacing="1"/>
    </w:pPr>
  </w:style>
  <w:style w:type="character" w:customStyle="1" w:styleId="a4">
    <w:name w:val="Звичайний (веб) Знак"/>
    <w:link w:val="a3"/>
    <w:rsid w:val="002B4FE1"/>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958B1"/>
    <w:pPr>
      <w:tabs>
        <w:tab w:val="center" w:pos="4819"/>
        <w:tab w:val="right" w:pos="9639"/>
      </w:tabs>
    </w:pPr>
  </w:style>
  <w:style w:type="character" w:customStyle="1" w:styleId="a6">
    <w:name w:val="Верхній колонтитул Знак"/>
    <w:basedOn w:val="a0"/>
    <w:link w:val="a5"/>
    <w:uiPriority w:val="99"/>
    <w:rsid w:val="00E958B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E958B1"/>
    <w:pPr>
      <w:tabs>
        <w:tab w:val="center" w:pos="4819"/>
        <w:tab w:val="right" w:pos="9639"/>
      </w:tabs>
    </w:pPr>
  </w:style>
  <w:style w:type="character" w:customStyle="1" w:styleId="a8">
    <w:name w:val="Нижній колонтитул Знак"/>
    <w:basedOn w:val="a0"/>
    <w:link w:val="a7"/>
    <w:uiPriority w:val="99"/>
    <w:rsid w:val="00E958B1"/>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36B30"/>
    <w:rPr>
      <w:rFonts w:ascii="Tahoma" w:hAnsi="Tahoma" w:cs="Tahoma"/>
      <w:sz w:val="16"/>
      <w:szCs w:val="16"/>
    </w:rPr>
  </w:style>
  <w:style w:type="character" w:customStyle="1" w:styleId="aa">
    <w:name w:val="Текст у виносці Знак"/>
    <w:basedOn w:val="a0"/>
    <w:link w:val="a9"/>
    <w:uiPriority w:val="99"/>
    <w:semiHidden/>
    <w:rsid w:val="00836B3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E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2B4FE1"/>
    <w:pPr>
      <w:spacing w:before="100" w:beforeAutospacing="1" w:after="100" w:afterAutospacing="1"/>
    </w:pPr>
  </w:style>
  <w:style w:type="character" w:customStyle="1" w:styleId="a4">
    <w:name w:val="Звичайний (веб) Знак"/>
    <w:link w:val="a3"/>
    <w:rsid w:val="002B4FE1"/>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958B1"/>
    <w:pPr>
      <w:tabs>
        <w:tab w:val="center" w:pos="4819"/>
        <w:tab w:val="right" w:pos="9639"/>
      </w:tabs>
    </w:pPr>
  </w:style>
  <w:style w:type="character" w:customStyle="1" w:styleId="a6">
    <w:name w:val="Верхній колонтитул Знак"/>
    <w:basedOn w:val="a0"/>
    <w:link w:val="a5"/>
    <w:uiPriority w:val="99"/>
    <w:rsid w:val="00E958B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E958B1"/>
    <w:pPr>
      <w:tabs>
        <w:tab w:val="center" w:pos="4819"/>
        <w:tab w:val="right" w:pos="9639"/>
      </w:tabs>
    </w:pPr>
  </w:style>
  <w:style w:type="character" w:customStyle="1" w:styleId="a8">
    <w:name w:val="Нижній колонтитул Знак"/>
    <w:basedOn w:val="a0"/>
    <w:link w:val="a7"/>
    <w:uiPriority w:val="99"/>
    <w:rsid w:val="00E958B1"/>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36B30"/>
    <w:rPr>
      <w:rFonts w:ascii="Tahoma" w:hAnsi="Tahoma" w:cs="Tahoma"/>
      <w:sz w:val="16"/>
      <w:szCs w:val="16"/>
    </w:rPr>
  </w:style>
  <w:style w:type="character" w:customStyle="1" w:styleId="aa">
    <w:name w:val="Текст у виносці Знак"/>
    <w:basedOn w:val="a0"/>
    <w:link w:val="a9"/>
    <w:uiPriority w:val="99"/>
    <w:semiHidden/>
    <w:rsid w:val="00836B3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1237</Words>
  <Characters>706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Яременко Галина Дмитрівна</dc:creator>
  <cp:lastModifiedBy>Користувач Windows</cp:lastModifiedBy>
  <cp:revision>5</cp:revision>
  <cp:lastPrinted>2017-12-07T13:14:00Z</cp:lastPrinted>
  <dcterms:created xsi:type="dcterms:W3CDTF">2017-11-24T13:18:00Z</dcterms:created>
  <dcterms:modified xsi:type="dcterms:W3CDTF">2017-12-07T14:18:00Z</dcterms:modified>
</cp:coreProperties>
</file>