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195" w:rsidRPr="00DF0F3F" w:rsidRDefault="00BC4195" w:rsidP="00BC4195">
      <w:pPr>
        <w:tabs>
          <w:tab w:val="left" w:pos="291"/>
          <w:tab w:val="right" w:pos="8789"/>
        </w:tabs>
        <w:spacing w:before="120" w:after="120"/>
        <w:ind w:firstLine="567"/>
        <w:jc w:val="right"/>
        <w:rPr>
          <w:sz w:val="28"/>
          <w:szCs w:val="28"/>
        </w:rPr>
      </w:pPr>
      <w:r w:rsidRPr="00DF0F3F">
        <w:rPr>
          <w:rFonts w:ascii="Times New Roman" w:hAnsi="Times New Roman"/>
          <w:sz w:val="28"/>
          <w:szCs w:val="28"/>
        </w:rPr>
        <w:t>Проект</w:t>
      </w:r>
    </w:p>
    <w:p w:rsidR="00BC4195" w:rsidRPr="00DF0F3F" w:rsidRDefault="00BC4195" w:rsidP="00BC4195">
      <w:pPr>
        <w:spacing w:after="0"/>
        <w:ind w:firstLine="567"/>
        <w:jc w:val="center"/>
        <w:rPr>
          <w:rFonts w:ascii="Times New Roman" w:hAnsi="Times New Roman"/>
          <w:b/>
          <w:sz w:val="28"/>
          <w:szCs w:val="28"/>
        </w:rPr>
      </w:pPr>
    </w:p>
    <w:p w:rsidR="00BC4195" w:rsidRPr="00DF0F3F" w:rsidRDefault="00BC4195" w:rsidP="00BC4195">
      <w:pPr>
        <w:spacing w:after="0"/>
        <w:ind w:firstLine="567"/>
        <w:jc w:val="center"/>
        <w:rPr>
          <w:rFonts w:ascii="Times New Roman" w:hAnsi="Times New Roman"/>
          <w:b/>
          <w:sz w:val="28"/>
          <w:szCs w:val="28"/>
        </w:rPr>
      </w:pPr>
      <w:r w:rsidRPr="00DF0F3F">
        <w:rPr>
          <w:rFonts w:ascii="Times New Roman" w:hAnsi="Times New Roman"/>
          <w:b/>
          <w:sz w:val="28"/>
          <w:szCs w:val="28"/>
        </w:rPr>
        <w:t xml:space="preserve">ЗАКОН УКРАЇНИ </w:t>
      </w:r>
    </w:p>
    <w:p w:rsidR="00BC4195" w:rsidRPr="00DF0F3F" w:rsidRDefault="00BC4195" w:rsidP="00BC4195">
      <w:pPr>
        <w:spacing w:after="0"/>
        <w:ind w:firstLine="567"/>
        <w:jc w:val="center"/>
        <w:rPr>
          <w:rFonts w:ascii="Times New Roman" w:hAnsi="Times New Roman"/>
          <w:b/>
          <w:sz w:val="28"/>
          <w:szCs w:val="28"/>
        </w:rPr>
      </w:pPr>
      <w:r w:rsidRPr="00DF0F3F">
        <w:rPr>
          <w:rFonts w:ascii="Times New Roman" w:hAnsi="Times New Roman"/>
          <w:b/>
          <w:sz w:val="28"/>
          <w:szCs w:val="28"/>
        </w:rPr>
        <w:t>«Про внесення змін до Податкового кодексу України та деяких законодавчих актів України щодо створення Єдиного реєстру рахунків фізичних і юридичних осіб та індивідуальних банківських сейфів»</w:t>
      </w:r>
    </w:p>
    <w:p w:rsidR="00BC4195" w:rsidRPr="00DF0F3F" w:rsidRDefault="00BC4195" w:rsidP="00BC4195">
      <w:pPr>
        <w:spacing w:before="120" w:after="120"/>
        <w:ind w:firstLine="567"/>
        <w:rPr>
          <w:rFonts w:ascii="Times New Roman" w:hAnsi="Times New Roman"/>
          <w:sz w:val="28"/>
          <w:szCs w:val="28"/>
        </w:rPr>
      </w:pP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Верховна Рада України постановляє:</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I. </w:t>
      </w:r>
      <w:proofErr w:type="spellStart"/>
      <w:r w:rsidRPr="00DF0F3F">
        <w:rPr>
          <w:rFonts w:ascii="Times New Roman" w:hAnsi="Times New Roman"/>
          <w:sz w:val="28"/>
          <w:szCs w:val="28"/>
        </w:rPr>
        <w:t>Внести</w:t>
      </w:r>
      <w:proofErr w:type="spellEnd"/>
      <w:r w:rsidRPr="00DF0F3F">
        <w:rPr>
          <w:rFonts w:ascii="Times New Roman" w:hAnsi="Times New Roman"/>
          <w:sz w:val="28"/>
          <w:szCs w:val="28"/>
        </w:rPr>
        <w:t xml:space="preserve"> до Податкового кодексу України (Відомості Верховної Ради України, 2011 р., № № 13 – 17, ст. 112) такі зміни:</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1. Пункт 19</w:t>
      </w:r>
      <w:r w:rsidRPr="00DF0F3F">
        <w:rPr>
          <w:rFonts w:ascii="Times New Roman" w:hAnsi="Times New Roman"/>
          <w:sz w:val="28"/>
          <w:szCs w:val="28"/>
          <w:vertAlign w:val="superscript"/>
        </w:rPr>
        <w:t>1</w:t>
      </w:r>
      <w:r w:rsidRPr="00DF0F3F">
        <w:rPr>
          <w:rFonts w:ascii="Times New Roman" w:hAnsi="Times New Roman"/>
          <w:sz w:val="28"/>
          <w:szCs w:val="28"/>
        </w:rPr>
        <w:t>.1 статті 19</w:t>
      </w:r>
      <w:r w:rsidRPr="00DF0F3F">
        <w:rPr>
          <w:rFonts w:ascii="Times New Roman" w:hAnsi="Times New Roman"/>
          <w:sz w:val="28"/>
          <w:szCs w:val="28"/>
          <w:vertAlign w:val="superscript"/>
        </w:rPr>
        <w:t>1</w:t>
      </w:r>
      <w:r w:rsidRPr="00DF0F3F">
        <w:rPr>
          <w:rFonts w:ascii="Times New Roman" w:hAnsi="Times New Roman"/>
          <w:sz w:val="28"/>
          <w:szCs w:val="28"/>
        </w:rPr>
        <w:t xml:space="preserve"> доповнити підпунктом 19</w:t>
      </w:r>
      <w:r w:rsidRPr="00DF0F3F">
        <w:rPr>
          <w:rFonts w:ascii="Times New Roman" w:hAnsi="Times New Roman"/>
          <w:sz w:val="28"/>
          <w:szCs w:val="28"/>
          <w:vertAlign w:val="superscript"/>
        </w:rPr>
        <w:t>1</w:t>
      </w:r>
      <w:r w:rsidRPr="00DF0F3F">
        <w:rPr>
          <w:rFonts w:ascii="Times New Roman" w:hAnsi="Times New Roman"/>
          <w:sz w:val="28"/>
          <w:szCs w:val="28"/>
        </w:rPr>
        <w:t>.1.9</w:t>
      </w:r>
      <w:r w:rsidRPr="00DF0F3F">
        <w:rPr>
          <w:rFonts w:ascii="Times New Roman" w:hAnsi="Times New Roman"/>
          <w:sz w:val="28"/>
          <w:szCs w:val="28"/>
          <w:vertAlign w:val="superscript"/>
        </w:rPr>
        <w:t>2</w:t>
      </w:r>
      <w:r w:rsidRPr="00DF0F3F">
        <w:rPr>
          <w:rFonts w:ascii="Times New Roman" w:hAnsi="Times New Roman"/>
          <w:sz w:val="28"/>
          <w:szCs w:val="28"/>
        </w:rPr>
        <w:t xml:space="preserve"> такого змісту:</w:t>
      </w:r>
    </w:p>
    <w:p w:rsidR="00BC4195" w:rsidRPr="00DF0F3F" w:rsidRDefault="00BC4195" w:rsidP="00BC4195">
      <w:pPr>
        <w:widowControl w:val="0"/>
        <w:spacing w:before="120" w:after="120"/>
        <w:ind w:firstLine="567"/>
        <w:jc w:val="both"/>
        <w:rPr>
          <w:rFonts w:ascii="Times New Roman" w:hAnsi="Times New Roman"/>
          <w:sz w:val="28"/>
          <w:szCs w:val="28"/>
        </w:rPr>
      </w:pPr>
      <w:bookmarkStart w:id="0" w:name="_Hlk106803373"/>
      <w:r w:rsidRPr="00DF0F3F">
        <w:rPr>
          <w:rFonts w:ascii="Times New Roman" w:hAnsi="Times New Roman"/>
          <w:sz w:val="28"/>
          <w:szCs w:val="28"/>
        </w:rPr>
        <w:t>«19</w:t>
      </w:r>
      <w:r w:rsidRPr="00DF0F3F">
        <w:rPr>
          <w:rFonts w:ascii="Times New Roman" w:hAnsi="Times New Roman"/>
          <w:sz w:val="28"/>
          <w:szCs w:val="28"/>
          <w:vertAlign w:val="superscript"/>
        </w:rPr>
        <w:t>1</w:t>
      </w:r>
      <w:r w:rsidRPr="00DF0F3F">
        <w:rPr>
          <w:rFonts w:ascii="Times New Roman" w:hAnsi="Times New Roman"/>
          <w:sz w:val="28"/>
          <w:szCs w:val="28"/>
        </w:rPr>
        <w:t>.1.9</w:t>
      </w:r>
      <w:r w:rsidRPr="00DF0F3F">
        <w:rPr>
          <w:rFonts w:ascii="Times New Roman" w:hAnsi="Times New Roman"/>
          <w:sz w:val="28"/>
          <w:szCs w:val="28"/>
          <w:vertAlign w:val="superscript"/>
        </w:rPr>
        <w:t>2</w:t>
      </w:r>
      <w:r w:rsidRPr="00DF0F3F">
        <w:rPr>
          <w:rFonts w:ascii="Times New Roman" w:hAnsi="Times New Roman"/>
          <w:sz w:val="28"/>
          <w:szCs w:val="28"/>
        </w:rPr>
        <w:t>.</w:t>
      </w:r>
      <w:bookmarkEnd w:id="0"/>
      <w:r w:rsidRPr="00DF0F3F">
        <w:rPr>
          <w:rFonts w:ascii="Times New Roman" w:hAnsi="Times New Roman"/>
          <w:sz w:val="28"/>
          <w:szCs w:val="28"/>
        </w:rPr>
        <w:t xml:space="preserve"> формують та ведуть Єдиний реєстр рахунків фізичних і юридичних осіб та індивідуальних банківських сейфів (далі – Єдиний реєстр рахунків).».</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2. </w:t>
      </w:r>
      <w:r w:rsidRPr="00DF0F3F">
        <w:rPr>
          <w:rFonts w:ascii="Times New Roman" w:hAnsi="Times New Roman"/>
          <w:bCs/>
          <w:sz w:val="28"/>
          <w:szCs w:val="28"/>
          <w:lang w:eastAsia="uk-UA"/>
        </w:rPr>
        <w:t>Підпункт 20.1.5 пункту 20.1 статті 20 викласти в такій редакції:</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«20.1.5. отримувати безоплатно від платників податків, а також від установ Національного банку України, Центрального депозитарію цінних паперів, депозитарних установ, банків, інших фінансових установ та небанківських надавачів платіжних послуг у порядку, встановленому законами України «Про банки і банківську діяльність», «Про ринки капіталу та організовані товарні ринки», «Про платіжні послуги», та цим Кодексом, довідки та/або копії документів про наявність банківських рахунків, повідомлення про відкриття або закриття рахунку, повідомлення про укладення або припинення договору про надання індивідуального банківського сейфа, а на підставі рішення суду – інформацію про обсяг та обіг коштів на рахунках, у тому числі про ненадходження в установлені строки валютної виручки від суб’єктів господарювання, інформацію про договори боржника про зберігання цінностей або надання боржнику в майновий </w:t>
      </w:r>
      <w:proofErr w:type="spellStart"/>
      <w:r w:rsidRPr="00DF0F3F">
        <w:rPr>
          <w:rFonts w:ascii="Times New Roman" w:hAnsi="Times New Roman"/>
          <w:sz w:val="28"/>
          <w:szCs w:val="28"/>
        </w:rPr>
        <w:t>найм</w:t>
      </w:r>
      <w:proofErr w:type="spellEnd"/>
      <w:r w:rsidRPr="00DF0F3F">
        <w:rPr>
          <w:rFonts w:ascii="Times New Roman" w:hAnsi="Times New Roman"/>
          <w:sz w:val="28"/>
          <w:szCs w:val="28"/>
        </w:rPr>
        <w:t xml:space="preserve"> (оренду) індивідуального банківського сейфа, що охороняється банком;».</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3. </w:t>
      </w:r>
      <w:bookmarkStart w:id="1" w:name="_Hlk106806028"/>
      <w:r w:rsidRPr="00DF0F3F">
        <w:rPr>
          <w:rFonts w:ascii="Times New Roman" w:hAnsi="Times New Roman"/>
          <w:sz w:val="28"/>
          <w:szCs w:val="28"/>
        </w:rPr>
        <w:t>У статті 69:</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1) назву статті 69 викласти в такій редакції:</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«Стаття 69. Вимоги до відкриття та закриття рахунків, укладення та припинення договорів про надання індивідуального банківського сейфа у банках та інших фінансових установах, особливості подання звітності за підзвітними рахунками»;</w:t>
      </w:r>
    </w:p>
    <w:p w:rsidR="00BC4195" w:rsidRPr="00DF0F3F" w:rsidRDefault="00BC4195" w:rsidP="00BC4195">
      <w:pPr>
        <w:widowControl w:val="0"/>
        <w:spacing w:before="120" w:after="120"/>
        <w:ind w:firstLine="567"/>
        <w:jc w:val="both"/>
        <w:rPr>
          <w:rFonts w:ascii="Times New Roman" w:hAnsi="Times New Roman"/>
          <w:sz w:val="28"/>
          <w:szCs w:val="28"/>
        </w:rPr>
      </w:pPr>
      <w:bookmarkStart w:id="2" w:name="_Hlk106812855"/>
      <w:bookmarkEnd w:id="1"/>
      <w:r w:rsidRPr="00DF0F3F">
        <w:rPr>
          <w:rFonts w:ascii="Times New Roman" w:hAnsi="Times New Roman"/>
          <w:sz w:val="28"/>
          <w:szCs w:val="28"/>
        </w:rPr>
        <w:t xml:space="preserve">2) </w:t>
      </w:r>
      <w:bookmarkStart w:id="3" w:name="_Hlk106812840"/>
      <w:bookmarkEnd w:id="2"/>
      <w:r w:rsidRPr="00DF0F3F">
        <w:rPr>
          <w:rFonts w:ascii="Times New Roman" w:hAnsi="Times New Roman"/>
          <w:sz w:val="28"/>
          <w:szCs w:val="28"/>
        </w:rPr>
        <w:t>пункти 69.1</w:t>
      </w:r>
      <w:r w:rsidRPr="00DF0F3F">
        <w:rPr>
          <w:rFonts w:ascii="Times New Roman" w:hAnsi="Times New Roman"/>
          <w:sz w:val="28"/>
          <w:szCs w:val="28"/>
          <w:lang w:val="en-US"/>
        </w:rPr>
        <w:t> </w:t>
      </w:r>
      <w:r w:rsidRPr="00DF0F3F">
        <w:rPr>
          <w:rFonts w:ascii="Times New Roman" w:hAnsi="Times New Roman"/>
          <w:sz w:val="28"/>
          <w:szCs w:val="28"/>
          <w:lang w:val="ru-RU"/>
        </w:rPr>
        <w:t>–</w:t>
      </w:r>
      <w:r w:rsidRPr="00DF0F3F">
        <w:rPr>
          <w:rFonts w:ascii="Times New Roman" w:hAnsi="Times New Roman"/>
          <w:sz w:val="28"/>
          <w:szCs w:val="28"/>
          <w:lang w:val="en-US"/>
        </w:rPr>
        <w:t> </w:t>
      </w:r>
      <w:r w:rsidRPr="00DF0F3F">
        <w:rPr>
          <w:rFonts w:ascii="Times New Roman" w:hAnsi="Times New Roman"/>
          <w:sz w:val="28"/>
          <w:szCs w:val="28"/>
        </w:rPr>
        <w:t xml:space="preserve">69.3 викласти в такій редакції: </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lastRenderedPageBreak/>
        <w:t xml:space="preserve">«69.1. Національний банк України, Центральний депозитарій цінних паперів, депозитарні установи, банки, інші фінансові установи та небанківські надавачі платіжних послуг відкривають банківські рахунки, рахунки в цінних паперах, платіжні та інші рахунки, надають у користування індивідуальні банківські сейфи, що охороняються банками, платникам податків – юридичним особам (резидентам і нерезидентам) незалежно від організаційно-правової форми, відокремленим підрозділам та представництвам юридичних осіб, для яких законом установлені особливості їх державної реєстрації та які не включаються до Єдиного державного реєстру юридичних осіб, фізичних осіб – підприємців та громадських формувань, фізичним особам, які провадять незалежну професійну діяльність, за наявності документів, виданих контролюючими органами, що підтверджують взяття їх на облік у таких органах, або виписки з Єдиного державного реєстру юридичних осіб, фізичних осіб – підприємців та громадських формувань (для осіб, взяття на облік яких у контролюючих органах здійснюється на підставі відомостей з Єдиного державного реєстру юридичних осіб, фізичних осіб – підприємців та громадських формувань, наданих державним реєстратором згідно із Законом України «Про державну реєстрацію юридичних осіб, фізичних осіб – підприємців та громадських формувань») чи інформації з цього реєстру, отриманої банком відповідно до закону, із зазначенням даних про взяття на облік в контролюючих органах як платника податків, а також фізичним особам – резидентам, які не є </w:t>
      </w:r>
      <w:proofErr w:type="spellStart"/>
      <w:r w:rsidRPr="00DF0F3F">
        <w:rPr>
          <w:rFonts w:ascii="Times New Roman" w:hAnsi="Times New Roman"/>
          <w:sz w:val="28"/>
          <w:szCs w:val="28"/>
        </w:rPr>
        <w:t>самозайнятими</w:t>
      </w:r>
      <w:proofErr w:type="spellEnd"/>
      <w:r w:rsidRPr="00DF0F3F">
        <w:rPr>
          <w:rFonts w:ascii="Times New Roman" w:hAnsi="Times New Roman"/>
          <w:sz w:val="28"/>
          <w:szCs w:val="28"/>
        </w:rPr>
        <w:t xml:space="preserve"> фізичними особами, за наявності документів, виданих контролюючими органами, що підтверджують їх реєстрацію в Державному реєстрі фізичних осіб – платників податків, та фізичним особам – нерезидентам, за наявності паспорту або іншого документа, що посвідчує особу.</w:t>
      </w:r>
    </w:p>
    <w:bookmarkEnd w:id="3"/>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69.2. Національний банк України, Центральний депозитарій цінних паперів, депозитарні установи, банки, інші фінансові установи та небанківські надавачі платіжних послуг зобов’язані надіслати до центрального органу виконавчої влади, що реалізує державну податкову політику, для включення даних до Єдиного реєстру рахунків:</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повідомлення про відкриття або закриття рахунку у день відкриття/закриття рахунку;</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повідомлення про укладення або припинення договору про надання індивідуального банківського сейфа у день укладання/припинення договору.</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Такі повідомлення надсилаються в електронній формі з використанням</w:t>
      </w:r>
      <w:r w:rsidRPr="00DF0F3F">
        <w:rPr>
          <w:rFonts w:ascii="Times New Roman" w:hAnsi="Times New Roman"/>
          <w:sz w:val="28"/>
        </w:rPr>
        <w:t xml:space="preserve"> електронних комунікаційних</w:t>
      </w:r>
      <w:r w:rsidRPr="00DF0F3F">
        <w:rPr>
          <w:rFonts w:ascii="Times New Roman" w:hAnsi="Times New Roman"/>
          <w:sz w:val="28"/>
          <w:szCs w:val="28"/>
        </w:rPr>
        <w:t xml:space="preserve"> мереж.</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69.3. Контролюючий орган не пізніше наступного робочого дня з дня отримання повідомлення про відкриття рахунка (крім рахунку </w:t>
      </w:r>
      <w:r w:rsidRPr="00DF0F3F">
        <w:rPr>
          <w:rFonts w:ascii="Times New Roman" w:hAnsi="Times New Roman"/>
          <w:bCs/>
          <w:sz w:val="28"/>
          <w:szCs w:val="28"/>
        </w:rPr>
        <w:t xml:space="preserve">фізичних осіб, які не є </w:t>
      </w:r>
      <w:proofErr w:type="spellStart"/>
      <w:r w:rsidRPr="00DF0F3F">
        <w:rPr>
          <w:rFonts w:ascii="Times New Roman" w:hAnsi="Times New Roman"/>
          <w:bCs/>
          <w:sz w:val="28"/>
          <w:szCs w:val="28"/>
        </w:rPr>
        <w:t>самозайнятими</w:t>
      </w:r>
      <w:proofErr w:type="spellEnd"/>
      <w:r w:rsidRPr="00DF0F3F">
        <w:rPr>
          <w:rFonts w:ascii="Times New Roman" w:hAnsi="Times New Roman"/>
          <w:bCs/>
          <w:sz w:val="28"/>
          <w:szCs w:val="28"/>
        </w:rPr>
        <w:t>)</w:t>
      </w:r>
      <w:r w:rsidRPr="00DF0F3F">
        <w:rPr>
          <w:rFonts w:ascii="Times New Roman" w:hAnsi="Times New Roman"/>
          <w:sz w:val="28"/>
          <w:szCs w:val="28"/>
        </w:rPr>
        <w:t xml:space="preserve"> та/або про укладення договору про надання індивідуального банківського сейфа та не пізніше </w:t>
      </w:r>
      <w:r w:rsidRPr="00DF0F3F">
        <w:rPr>
          <w:rFonts w:ascii="Times New Roman" w:hAnsi="Times New Roman"/>
          <w:bCs/>
          <w:sz w:val="28"/>
          <w:szCs w:val="28"/>
        </w:rPr>
        <w:t xml:space="preserve">3-х робочих годин </w:t>
      </w:r>
      <w:r w:rsidRPr="00DF0F3F">
        <w:rPr>
          <w:rFonts w:ascii="Times New Roman" w:hAnsi="Times New Roman"/>
          <w:sz w:val="28"/>
          <w:szCs w:val="28"/>
        </w:rPr>
        <w:t xml:space="preserve">з моменту отримання повідомлення про відкриття рахунка для </w:t>
      </w:r>
      <w:r w:rsidRPr="00DF0F3F">
        <w:rPr>
          <w:rFonts w:ascii="Times New Roman" w:hAnsi="Times New Roman"/>
          <w:bCs/>
          <w:sz w:val="28"/>
          <w:szCs w:val="28"/>
        </w:rPr>
        <w:t xml:space="preserve">фізичних осіб, які не є </w:t>
      </w:r>
      <w:proofErr w:type="spellStart"/>
      <w:r w:rsidRPr="00DF0F3F">
        <w:rPr>
          <w:rFonts w:ascii="Times New Roman" w:hAnsi="Times New Roman"/>
          <w:bCs/>
          <w:sz w:val="28"/>
          <w:szCs w:val="28"/>
        </w:rPr>
        <w:t>самозайнятими</w:t>
      </w:r>
      <w:proofErr w:type="spellEnd"/>
      <w:r w:rsidRPr="00DF0F3F">
        <w:rPr>
          <w:rFonts w:ascii="Times New Roman" w:hAnsi="Times New Roman"/>
          <w:bCs/>
          <w:sz w:val="28"/>
          <w:szCs w:val="28"/>
        </w:rPr>
        <w:t>,</w:t>
      </w:r>
      <w:r w:rsidRPr="00DF0F3F">
        <w:rPr>
          <w:rFonts w:ascii="Times New Roman" w:hAnsi="Times New Roman"/>
          <w:sz w:val="28"/>
          <w:szCs w:val="28"/>
        </w:rPr>
        <w:t xml:space="preserve"> зобов’язаний направити повідомлення про взяття їх на облік або відмову у взятті контролюючим органом на облік із зазначенням підстав у порядку, визначеному цим Кодексом.</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Якщо контролюючий орган протягом строку, встановленого абзацом першим цього пункту, не направив повідомлення про відмову у взятті їх на облік, такі дані вважаються взятими на облік у контролюючому органі за мовчазною згодою – у час та дату отримання фінансовою установою повідомлення (квитанції) контролюючого органу про підтвердження факту прийняття повідомлення до оброблення згідно з порядком подання повідомлень, встановленим відповідно до пункту 69.5 цієї статті.»;</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3) у пункті 69.4 </w:t>
      </w:r>
      <w:bookmarkStart w:id="4" w:name="_Hlk106814690"/>
      <w:r w:rsidRPr="00DF0F3F">
        <w:rPr>
          <w:rFonts w:ascii="Times New Roman" w:hAnsi="Times New Roman"/>
          <w:sz w:val="28"/>
          <w:szCs w:val="28"/>
        </w:rPr>
        <w:t xml:space="preserve">слова «та інших фінансових установах» замінити словами </w:t>
      </w:r>
      <w:bookmarkEnd w:id="4"/>
      <w:r w:rsidRPr="00DF0F3F">
        <w:rPr>
          <w:rFonts w:ascii="Times New Roman" w:hAnsi="Times New Roman"/>
          <w:sz w:val="28"/>
          <w:szCs w:val="28"/>
        </w:rPr>
        <w:t>«, інших фінансових установах та небанківських надавачах платіжних послуг»;</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4) </w:t>
      </w:r>
      <w:bookmarkStart w:id="5" w:name="_Hlk106804395"/>
      <w:r w:rsidRPr="00DF0F3F">
        <w:rPr>
          <w:rFonts w:ascii="Times New Roman" w:hAnsi="Times New Roman"/>
          <w:sz w:val="28"/>
          <w:szCs w:val="28"/>
        </w:rPr>
        <w:t>пункт 69.5 викласти в такій редакції:</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«69.5. Порядок подання, форма і зміст повідомлення про відкриття/закриття рахунків, повідомлення про укладення або припинення договорів про надання індивідуального банківського сейфа, перелік підстав для відмови контролюючих органів у взятті їх на облік, визначаються центральним органом виконавчої влади, що забезпечує формування та реалізує державну фінансову політику, за погодженням з відповідними державними органами, які регулюють діяльність фінансових установ.»;</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5) доповнити пунктом 69.9 такого змісту:</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«69.9. Центральний орган виконавчої влади, що реалізує державну податкову політику, є держателем та адміністратором Єдиного реєстру рахунків.</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Єдиний реєстр рахунків є єдиною державною інформаційною системою, призначеною для ведення обліку рахунків фізичних і юридичних осіб, індивідуальних банківських сейфів.</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Єдиний реєстр рахунків є державною власністю.</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Єдиний реєстр рахунків ведеться на електронних носіях відповідно до державних стандартів, що забезпечують його сумісність і взаємодію з іншими інформаційними системами та мережами, що становлять інформаційний ресурс держави.</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Технічні та програмні засоби ведення Єдиного реєстру рахунків повинні забезпечувати: </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автоматизоване ведення Єдиного реєстру рахунків; </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контроль за повнотою внесення записів до Єдиного реєстру рахунків;</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отримання даних у порядку </w:t>
      </w:r>
      <w:proofErr w:type="spellStart"/>
      <w:r w:rsidRPr="00DF0F3F">
        <w:rPr>
          <w:rFonts w:ascii="Times New Roman" w:hAnsi="Times New Roman"/>
          <w:sz w:val="28"/>
          <w:szCs w:val="28"/>
        </w:rPr>
        <w:t>взаємообміну</w:t>
      </w:r>
      <w:proofErr w:type="spellEnd"/>
      <w:r w:rsidRPr="00DF0F3F">
        <w:rPr>
          <w:rFonts w:ascii="Times New Roman" w:hAnsi="Times New Roman"/>
          <w:sz w:val="28"/>
          <w:szCs w:val="28"/>
        </w:rPr>
        <w:t xml:space="preserve"> інформацією з Центральним депозитарієм цінних паперів, депозитарними установами, Національним банком України, банками, іншими фінансовими установами та небанківськими надавачами платіжних послуг; </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виконання функцій адміністратора бази даних Єдиного реєстру рахунків (накопичення, аналіз даних, права доступу тощо); </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захист персональних даних згідно із Законом України «Про захист персональних даних»;</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захист інформації згідно із Законом України «Про захист інформації в інформаційно-комунікаційних системах». </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До Єдиного реєстру рахунків не заносяться відомості, що становлять державну таємницю. </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Відомості з Єдиного реєстру рахунків використовуються контролюючими органами для виконання функцій, покладених на них Податковим кодексом України, центральним органом виконавчої влади, який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 межах виконання своїх функцій.</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Дані Єдиного реєстру рахунків не підлягають оприлюдненню.</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Положення про Єдиний реєстр рахунків, порядок його формування, ведення і доступу до нього затверджуються центральним органом виконавчої влади, що забезпечує формування та реалізує державну фінансову політику, за погодженням з Національним банком України та Національною комісією з цінних паперів та фондового ринку.</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До Єдиного реєстру рахунків включаються такі дані:</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найменування або прізвище, ім’я, по батькові (за наявності) платника податку – юридичної або фізичної особи – власника рахунка, орендаря (</w:t>
      </w:r>
      <w:proofErr w:type="spellStart"/>
      <w:r w:rsidRPr="00DF0F3F">
        <w:rPr>
          <w:rFonts w:ascii="Times New Roman" w:hAnsi="Times New Roman"/>
          <w:sz w:val="28"/>
          <w:szCs w:val="28"/>
        </w:rPr>
        <w:t>поклажодавця</w:t>
      </w:r>
      <w:proofErr w:type="spellEnd"/>
      <w:r w:rsidRPr="00DF0F3F">
        <w:rPr>
          <w:rFonts w:ascii="Times New Roman" w:hAnsi="Times New Roman"/>
          <w:sz w:val="28"/>
          <w:szCs w:val="28"/>
        </w:rPr>
        <w:t xml:space="preserve">) індивідуального банківського сейфа; </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найменування або прізвище, ім’я, по батькові (за наявності) кінцевих </w:t>
      </w:r>
      <w:proofErr w:type="spellStart"/>
      <w:r w:rsidRPr="00DF0F3F">
        <w:rPr>
          <w:rFonts w:ascii="Times New Roman" w:hAnsi="Times New Roman"/>
          <w:sz w:val="28"/>
          <w:szCs w:val="28"/>
        </w:rPr>
        <w:t>бенефіціарних</w:t>
      </w:r>
      <w:proofErr w:type="spellEnd"/>
      <w:r w:rsidRPr="00DF0F3F">
        <w:rPr>
          <w:rFonts w:ascii="Times New Roman" w:hAnsi="Times New Roman"/>
          <w:sz w:val="28"/>
          <w:szCs w:val="28"/>
        </w:rPr>
        <w:t xml:space="preserve"> власників власника рахунка, орендаря (</w:t>
      </w:r>
      <w:proofErr w:type="spellStart"/>
      <w:r w:rsidRPr="00DF0F3F">
        <w:rPr>
          <w:rFonts w:ascii="Times New Roman" w:hAnsi="Times New Roman"/>
          <w:sz w:val="28"/>
          <w:szCs w:val="28"/>
        </w:rPr>
        <w:t>поклажодавця</w:t>
      </w:r>
      <w:proofErr w:type="spellEnd"/>
      <w:r w:rsidRPr="00DF0F3F">
        <w:rPr>
          <w:rFonts w:ascii="Times New Roman" w:hAnsi="Times New Roman"/>
          <w:sz w:val="28"/>
          <w:szCs w:val="28"/>
        </w:rPr>
        <w:t xml:space="preserve">) індивідуального банківського сейфа та інших осіб, які мають намір діяти від його імені; </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податковий номер або серія (за наявності)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для фізичних осіб – резидентів; номер і серія (за наявності) паспорта або іншого документа, що посвідчує особу</w:t>
      </w:r>
      <w:r w:rsidRPr="00DF0F3F">
        <w:rPr>
          <w:rFonts w:ascii="Times New Roman" w:hAnsi="Times New Roman"/>
          <w:sz w:val="28"/>
        </w:rPr>
        <w:t>,</w:t>
      </w:r>
      <w:r w:rsidRPr="00DF0F3F">
        <w:rPr>
          <w:rFonts w:ascii="Times New Roman" w:hAnsi="Times New Roman"/>
          <w:sz w:val="28"/>
          <w:szCs w:val="28"/>
        </w:rPr>
        <w:t xml:space="preserve"> для фізичних осіб – нерезидентів;</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податковий номер (для юридичних осіб – резидентів), податковий номер, який присвоюється у визначеному центральним органом виконавчої влади, що реалізує державну податкову політику, порядку (для юридичних осіб – нерезидентів);</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унікальний номер запису в Єдиному державному демографічному реєстрі (за наявності);</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інформація про відкриті/закриті банківські рахунки, рахунки в цінних паперах, платіжні та інші рахунки, яка включає дані про дату відкриття/закриття рахунку, тип та номер рахунку, що включає номер IBAN, код валюти, дані про призначення рахунків фізичних осіб, дані про депозитарну, банківську або іншу фінансову установу, або небанківського надавача платіжних послуг;</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інформація про індивідуальні банківські сейфи, яка включає номер та дату договору про надання індивідуального банківського сейфа, дату початку та строк дії, дату припинення договору, дані про осіб, які мають доступ до індивідуального банківського сейфа згідно з цим договором, ідентифікатор індивідуального банківського сейфа.</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Вимоги до адміністратора, публічних реєстраторів, створювачів, види реєстрових даних, спосіб (процес) створення створювачем реєстрової інформації, види та матеріальні форми документів, що створюються під час ведення Єдиного реєстру рахунків, та спосіб їх обліку в складі такого реєстру, форми і порядок отримання реєстрової інформації, права та обов’язки користувачів Єдиного реєстру рахунків, вимоги до системи управління ризиками та інформування суб’єктів інформаційної взаємодії про порушення цілісності реєстрової інформації, її несанкціонованої обробки, визначаються Положенням про Єдиний реєстр рахунків, порядок його формування, ведення і доступу до нього.</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Фінансове забезпечення створення програмно-технічних засобів Єдиного реєстру рахунків, а також його функціонування здійснюється за рахунок бюджетних коштів.</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Інтеграція Єдиного реєстру рахунків з системою електронної взаємодії електронних ресурсів здійснюється відповідно до Порядку електронної (технічної та інформаційної) взаємодії, затвердженого Кабінетом Міністрів України.</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Датою початку функціонування Єдиного реєстру рахунків є дата його реєстрації в Реєстрі публічних електронних реєстрів.».</w:t>
      </w:r>
    </w:p>
    <w:bookmarkEnd w:id="5"/>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4. Пункт 72.1 статті 72 доповнити підпунктом 72.1.3</w:t>
      </w:r>
      <w:r w:rsidRPr="00DF0F3F">
        <w:rPr>
          <w:rFonts w:ascii="Times New Roman" w:hAnsi="Times New Roman"/>
          <w:sz w:val="28"/>
          <w:szCs w:val="28"/>
          <w:vertAlign w:val="superscript"/>
        </w:rPr>
        <w:t>1</w:t>
      </w:r>
      <w:r w:rsidRPr="00DF0F3F">
        <w:rPr>
          <w:rFonts w:ascii="Times New Roman" w:hAnsi="Times New Roman"/>
          <w:sz w:val="28"/>
          <w:szCs w:val="28"/>
        </w:rPr>
        <w:t xml:space="preserve"> такого змісту: </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«72.1.3</w:t>
      </w:r>
      <w:r w:rsidRPr="00DF0F3F">
        <w:rPr>
          <w:rFonts w:ascii="Times New Roman" w:hAnsi="Times New Roman"/>
          <w:sz w:val="28"/>
          <w:szCs w:val="28"/>
          <w:vertAlign w:val="superscript"/>
        </w:rPr>
        <w:t>1</w:t>
      </w:r>
      <w:r w:rsidRPr="00DF0F3F">
        <w:rPr>
          <w:rFonts w:ascii="Times New Roman" w:hAnsi="Times New Roman"/>
          <w:sz w:val="28"/>
          <w:szCs w:val="28"/>
        </w:rPr>
        <w:t>. від депозитаріїв, банків, інших фінансових установ, небанківських надавачів платіжних послуг – про відкриття або закриття рахунку, про укладення або припинення договору про надання індивідуального банківського сейфа;».</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5. У статті 118:</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1) назву статті 118 </w:t>
      </w:r>
      <w:bookmarkStart w:id="6" w:name="_Hlk106811469"/>
      <w:r w:rsidRPr="00DF0F3F">
        <w:rPr>
          <w:rFonts w:ascii="Times New Roman" w:hAnsi="Times New Roman"/>
          <w:sz w:val="28"/>
          <w:szCs w:val="28"/>
        </w:rPr>
        <w:t>викласти в такій редакції:</w:t>
      </w:r>
      <w:bookmarkEnd w:id="6"/>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«Стаття 118. Порушення строку та порядку подання інформації про відкриття або закриття рахунків, про укладення або припинення договору про надання індивідуального банківського сейфа, звіту про підзвітні рахунки»;</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2) у пункті 118.1 слова «платників податків» замінити словами </w:t>
      </w:r>
      <w:r w:rsidRPr="00DF0F3F">
        <w:rPr>
          <w:rFonts w:ascii="Times New Roman" w:hAnsi="Times New Roman"/>
          <w:sz w:val="28"/>
          <w:szCs w:val="28"/>
        </w:rPr>
        <w:br/>
        <w:t>«, повідомлення про укладення або припинення договору про надання індивідуального банківського сейфа».</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6. Підрозділ 10 розділу XX «Перехідні положення» доповнити пунктом 70 такого змісту:</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«70. Установити, що Центральний депозитарій цінних паперів, депозитарні установи, банки, інші фінансові установи та небанківські надавачі платіжних послуг протягом трьох місяців з дня початку функціонування Єдиного реєстру рахунків, подають до центрального органу виконавчої влади, що реалізує державну податкову політику, у порядку та за формою, визначеною пунктом 69.2 статті 69 цього Кодексу, відомості про відкриті рахунки, укладені договори про надання індивідуального банківського сейфа станом на день початку функціонування Єдиного реєстру рахунків.».</w:t>
      </w:r>
    </w:p>
    <w:p w:rsidR="00BC4195" w:rsidRPr="00DF0F3F" w:rsidRDefault="00BC4195" w:rsidP="00BC4195">
      <w:pPr>
        <w:spacing w:after="120"/>
        <w:ind w:firstLine="567"/>
        <w:jc w:val="both"/>
        <w:rPr>
          <w:rFonts w:ascii="Times New Roman" w:hAnsi="Times New Roman"/>
          <w:sz w:val="28"/>
          <w:szCs w:val="28"/>
          <w:lang w:eastAsia="uk-UA"/>
        </w:rPr>
      </w:pPr>
      <w:r w:rsidRPr="00DF0F3F">
        <w:rPr>
          <w:rFonts w:ascii="Times New Roman" w:hAnsi="Times New Roman"/>
          <w:sz w:val="28"/>
          <w:szCs w:val="28"/>
          <w:lang w:eastAsia="uk-UA"/>
        </w:rPr>
        <w:t xml:space="preserve">II. Прикінцеві положення </w:t>
      </w:r>
    </w:p>
    <w:p w:rsidR="00BC4195" w:rsidRPr="00DF0F3F" w:rsidRDefault="00BC4195" w:rsidP="00BC4195">
      <w:pPr>
        <w:tabs>
          <w:tab w:val="left" w:pos="993"/>
        </w:tabs>
        <w:spacing w:before="120" w:after="120"/>
        <w:ind w:firstLine="567"/>
        <w:jc w:val="both"/>
        <w:rPr>
          <w:rFonts w:ascii="Times New Roman" w:hAnsi="Times New Roman"/>
          <w:sz w:val="28"/>
          <w:szCs w:val="28"/>
          <w:lang w:eastAsia="uk-UA"/>
        </w:rPr>
      </w:pPr>
      <w:r w:rsidRPr="00DF0F3F">
        <w:rPr>
          <w:rFonts w:ascii="Times New Roman" w:hAnsi="Times New Roman"/>
          <w:sz w:val="28"/>
          <w:szCs w:val="28"/>
          <w:lang w:eastAsia="uk-UA"/>
        </w:rPr>
        <w:t xml:space="preserve">1. Цей Закон набирає чинності через шість місяців </w:t>
      </w:r>
      <w:r w:rsidRPr="00DF0F3F">
        <w:rPr>
          <w:rFonts w:ascii="Times New Roman" w:hAnsi="Times New Roman"/>
          <w:sz w:val="28"/>
          <w:lang w:eastAsia="uk-UA"/>
        </w:rPr>
        <w:t xml:space="preserve">з </w:t>
      </w:r>
      <w:r w:rsidRPr="00DF0F3F">
        <w:rPr>
          <w:rFonts w:ascii="Times New Roman" w:hAnsi="Times New Roman"/>
          <w:sz w:val="28"/>
          <w:szCs w:val="28"/>
          <w:lang w:eastAsia="uk-UA"/>
        </w:rPr>
        <w:t>дня його опублікування.</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 xml:space="preserve">2. </w:t>
      </w:r>
      <w:proofErr w:type="spellStart"/>
      <w:r w:rsidRPr="00DF0F3F">
        <w:rPr>
          <w:rFonts w:ascii="Times New Roman" w:hAnsi="Times New Roman"/>
          <w:sz w:val="28"/>
          <w:szCs w:val="28"/>
        </w:rPr>
        <w:t>Внести</w:t>
      </w:r>
      <w:proofErr w:type="spellEnd"/>
      <w:r w:rsidRPr="00DF0F3F">
        <w:rPr>
          <w:rFonts w:ascii="Times New Roman" w:hAnsi="Times New Roman"/>
          <w:sz w:val="28"/>
          <w:szCs w:val="28"/>
        </w:rPr>
        <w:t xml:space="preserve"> зміни до таких законодавчих актів України:</w:t>
      </w:r>
    </w:p>
    <w:p w:rsidR="00BC4195" w:rsidRPr="00DF0F3F" w:rsidRDefault="00BC4195" w:rsidP="00BC4195">
      <w:pPr>
        <w:spacing w:before="120" w:after="120"/>
        <w:ind w:firstLine="567"/>
        <w:jc w:val="both"/>
        <w:rPr>
          <w:rFonts w:ascii="Times New Roman" w:hAnsi="Times New Roman"/>
          <w:bCs/>
          <w:sz w:val="28"/>
          <w:szCs w:val="28"/>
          <w:lang w:eastAsia="uk-UA"/>
        </w:rPr>
      </w:pPr>
      <w:r w:rsidRPr="00DF0F3F">
        <w:rPr>
          <w:rFonts w:ascii="Times New Roman" w:hAnsi="Times New Roman"/>
          <w:bCs/>
          <w:sz w:val="28"/>
          <w:szCs w:val="28"/>
        </w:rPr>
        <w:t xml:space="preserve">1) </w:t>
      </w:r>
      <w:r w:rsidRPr="00DF0F3F">
        <w:rPr>
          <w:rFonts w:ascii="Times New Roman" w:hAnsi="Times New Roman"/>
          <w:bCs/>
          <w:sz w:val="28"/>
          <w:szCs w:val="28"/>
          <w:lang w:eastAsia="uk-UA"/>
        </w:rPr>
        <w:t>статтю 16</w:t>
      </w:r>
      <w:r w:rsidRPr="00DF0F3F">
        <w:rPr>
          <w:rFonts w:ascii="Times New Roman" w:hAnsi="Times New Roman"/>
          <w:bCs/>
          <w:sz w:val="28"/>
          <w:szCs w:val="28"/>
          <w:vertAlign w:val="superscript"/>
          <w:lang w:eastAsia="uk-UA"/>
        </w:rPr>
        <w:t xml:space="preserve"> </w:t>
      </w:r>
      <w:r w:rsidRPr="00DF0F3F">
        <w:rPr>
          <w:rFonts w:ascii="Times New Roman" w:hAnsi="Times New Roman"/>
          <w:sz w:val="28"/>
          <w:szCs w:val="28"/>
          <w:lang w:eastAsia="uk-UA"/>
        </w:rPr>
        <w:t>Закону України «</w:t>
      </w:r>
      <w:r w:rsidRPr="00DF0F3F">
        <w:rPr>
          <w:rFonts w:ascii="Times New Roman" w:hAnsi="Times New Roman"/>
          <w:bCs/>
          <w:sz w:val="28"/>
          <w:szCs w:val="28"/>
          <w:lang w:eastAsia="uk-UA"/>
        </w:rPr>
        <w:t>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DF0F3F">
        <w:rPr>
          <w:rFonts w:ascii="Times New Roman" w:hAnsi="Times New Roman"/>
          <w:sz w:val="28"/>
          <w:szCs w:val="28"/>
          <w:shd w:val="clear" w:color="auto" w:fill="FFFFFF"/>
        </w:rPr>
        <w:t xml:space="preserve"> (</w:t>
      </w:r>
      <w:r w:rsidRPr="00DF0F3F">
        <w:rPr>
          <w:rFonts w:ascii="Times New Roman" w:hAnsi="Times New Roman"/>
          <w:bCs/>
          <w:sz w:val="28"/>
          <w:szCs w:val="28"/>
          <w:lang w:eastAsia="uk-UA"/>
        </w:rPr>
        <w:t xml:space="preserve">Відомості Верховної Ради України, 2020 р., № 25, ст. 171, </w:t>
      </w:r>
      <w:r w:rsidRPr="00DF0F3F">
        <w:rPr>
          <w:rFonts w:ascii="Times New Roman" w:hAnsi="Times New Roman"/>
          <w:bCs/>
          <w:sz w:val="28"/>
          <w:szCs w:val="28"/>
        </w:rPr>
        <w:t>із наступними змінами)</w:t>
      </w:r>
      <w:r w:rsidRPr="00DF0F3F">
        <w:rPr>
          <w:rFonts w:ascii="Times New Roman" w:hAnsi="Times New Roman"/>
          <w:bCs/>
          <w:sz w:val="28"/>
          <w:szCs w:val="28"/>
          <w:lang w:eastAsia="uk-UA"/>
        </w:rPr>
        <w:t xml:space="preserve"> </w:t>
      </w:r>
      <w:bookmarkStart w:id="7" w:name="_Hlk106809077"/>
      <w:bookmarkStart w:id="8" w:name="_Hlk106815889"/>
      <w:r w:rsidRPr="00DF0F3F">
        <w:rPr>
          <w:rFonts w:ascii="Times New Roman" w:hAnsi="Times New Roman"/>
          <w:bCs/>
          <w:sz w:val="28"/>
          <w:szCs w:val="28"/>
          <w:lang w:eastAsia="uk-UA"/>
        </w:rPr>
        <w:t xml:space="preserve">доповнити частиною </w:t>
      </w:r>
      <w:r w:rsidRPr="00DF0F3F">
        <w:rPr>
          <w:rFonts w:ascii="Times New Roman" w:hAnsi="Times New Roman"/>
          <w:sz w:val="28"/>
          <w:szCs w:val="28"/>
          <w:lang w:eastAsia="uk-UA"/>
        </w:rPr>
        <w:t>5</w:t>
      </w:r>
      <w:r w:rsidRPr="00DF0F3F">
        <w:rPr>
          <w:rFonts w:ascii="Times New Roman" w:hAnsi="Times New Roman"/>
          <w:sz w:val="28"/>
          <w:szCs w:val="28"/>
          <w:vertAlign w:val="superscript"/>
          <w:lang w:eastAsia="uk-UA"/>
        </w:rPr>
        <w:t>1</w:t>
      </w:r>
      <w:r w:rsidRPr="00DF0F3F">
        <w:rPr>
          <w:rFonts w:ascii="Times New Roman" w:hAnsi="Times New Roman"/>
          <w:bCs/>
          <w:sz w:val="28"/>
          <w:szCs w:val="28"/>
          <w:lang w:eastAsia="uk-UA"/>
        </w:rPr>
        <w:t xml:space="preserve"> такого змісту:</w:t>
      </w:r>
      <w:bookmarkEnd w:id="7"/>
    </w:p>
    <w:bookmarkEnd w:id="8"/>
    <w:p w:rsidR="00BC4195" w:rsidRPr="00DF0F3F" w:rsidRDefault="00BC4195" w:rsidP="00BC4195">
      <w:pPr>
        <w:spacing w:before="120" w:after="120"/>
        <w:ind w:firstLine="567"/>
        <w:jc w:val="both"/>
        <w:rPr>
          <w:rFonts w:ascii="Times New Roman" w:hAnsi="Times New Roman"/>
          <w:sz w:val="28"/>
          <w:szCs w:val="28"/>
        </w:rPr>
      </w:pPr>
      <w:r w:rsidRPr="00DF0F3F">
        <w:rPr>
          <w:rFonts w:ascii="Times New Roman" w:hAnsi="Times New Roman"/>
          <w:sz w:val="28"/>
          <w:szCs w:val="28"/>
        </w:rPr>
        <w:t>«</w:t>
      </w:r>
      <w:r w:rsidRPr="00DF0F3F">
        <w:rPr>
          <w:rFonts w:ascii="Times New Roman" w:hAnsi="Times New Roman"/>
          <w:sz w:val="28"/>
          <w:szCs w:val="28"/>
          <w:lang w:eastAsia="uk-UA"/>
        </w:rPr>
        <w:t>5</w:t>
      </w:r>
      <w:r w:rsidRPr="00DF0F3F">
        <w:rPr>
          <w:rFonts w:ascii="Times New Roman" w:hAnsi="Times New Roman"/>
          <w:sz w:val="28"/>
          <w:szCs w:val="28"/>
          <w:vertAlign w:val="superscript"/>
          <w:lang w:eastAsia="uk-UA"/>
        </w:rPr>
        <w:t>1</w:t>
      </w:r>
      <w:r w:rsidRPr="00DF0F3F">
        <w:rPr>
          <w:rFonts w:ascii="Times New Roman" w:hAnsi="Times New Roman"/>
          <w:sz w:val="28"/>
          <w:szCs w:val="28"/>
          <w:lang w:eastAsia="uk-UA"/>
        </w:rPr>
        <w:t>. Центральний орган виконавчої влади, що реалізує державну податкову політику, зобов’язаний надавати спеціально уповноваженому органу доступ до Єдиного реєстру рахунків фізичних і юридичних осіб та індивідуальних банківських сейфів.</w:t>
      </w:r>
      <w:r w:rsidRPr="00DF0F3F">
        <w:rPr>
          <w:rFonts w:ascii="Times New Roman" w:hAnsi="Times New Roman"/>
          <w:sz w:val="28"/>
          <w:szCs w:val="28"/>
        </w:rPr>
        <w:t>»;</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2) у Законі України «Про банки і банківську діяльність» (Відомості Верховної Ради України, 2001 р., № 5-6, ст. 30 із наступними змінами):</w:t>
      </w:r>
    </w:p>
    <w:p w:rsidR="00BC4195" w:rsidRPr="00DF0F3F" w:rsidRDefault="00BC4195" w:rsidP="00BC4195">
      <w:pPr>
        <w:widowControl w:val="0"/>
        <w:spacing w:before="120" w:after="120"/>
        <w:ind w:firstLine="567"/>
        <w:jc w:val="both"/>
        <w:rPr>
          <w:rFonts w:ascii="Times New Roman" w:hAnsi="Times New Roman"/>
          <w:sz w:val="28"/>
          <w:szCs w:val="28"/>
        </w:rPr>
      </w:pPr>
      <w:bookmarkStart w:id="9" w:name="_Hlk106811927"/>
      <w:r w:rsidRPr="00DF0F3F">
        <w:rPr>
          <w:rFonts w:ascii="Times New Roman" w:hAnsi="Times New Roman"/>
          <w:sz w:val="28"/>
          <w:szCs w:val="28"/>
        </w:rPr>
        <w:t>Статтю 61 доповнити частиною десятою такого змісту:</w:t>
      </w:r>
    </w:p>
    <w:bookmarkEnd w:id="9"/>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«Центральний орган виконавчої влади, що реалізує державну податкову політику, має право надавати доступ до інформації з Єдиного реєстру рахунків фізичних і юридичних осіб та індивідуальних банківських сейфів, що становить банківську таємницю:</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центральному органу виконавчої влади, що забезпечує формування та реалізує державну фінансову та бюджетну політику, з метою здійснення верифікації та моніторингу державних виплат.».</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У статті 62:</w:t>
      </w:r>
    </w:p>
    <w:p w:rsidR="00BC4195" w:rsidRPr="00DF0F3F" w:rsidRDefault="00BC4195" w:rsidP="00BC4195">
      <w:pPr>
        <w:widowControl w:val="0"/>
        <w:spacing w:before="120" w:after="120"/>
        <w:ind w:firstLine="567"/>
        <w:jc w:val="both"/>
        <w:rPr>
          <w:rFonts w:ascii="Times New Roman" w:hAnsi="Times New Roman"/>
          <w:sz w:val="28"/>
        </w:rPr>
      </w:pPr>
      <w:r w:rsidRPr="00DF0F3F">
        <w:rPr>
          <w:rFonts w:ascii="Times New Roman" w:hAnsi="Times New Roman"/>
          <w:sz w:val="28"/>
          <w:szCs w:val="28"/>
        </w:rPr>
        <w:t xml:space="preserve">1) пункт 4 частини першої </w:t>
      </w:r>
      <w:r w:rsidRPr="00DF0F3F">
        <w:rPr>
          <w:rFonts w:ascii="Times New Roman" w:hAnsi="Times New Roman"/>
          <w:sz w:val="28"/>
        </w:rPr>
        <w:t>доповнити підпунктом «г» такого змісту:</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rPr>
        <w:t xml:space="preserve">«г) </w:t>
      </w:r>
      <w:r w:rsidRPr="00DF0F3F">
        <w:rPr>
          <w:rFonts w:ascii="Times New Roman" w:hAnsi="Times New Roman"/>
          <w:bCs/>
          <w:sz w:val="28"/>
        </w:rPr>
        <w:t>про відкриття або закриття рахунків, укладення або припинення договору про надання індивідуального банківського сейфа відповідно до пункту 69.2 статті 69 Податкового кодексу України</w:t>
      </w:r>
      <w:r w:rsidRPr="00DF0F3F">
        <w:rPr>
          <w:rFonts w:ascii="Times New Roman" w:hAnsi="Times New Roman"/>
          <w:sz w:val="28"/>
        </w:rPr>
        <w:t>;»;</w:t>
      </w:r>
    </w:p>
    <w:p w:rsidR="00BC4195" w:rsidRPr="00DF0F3F" w:rsidRDefault="00BC4195" w:rsidP="00BC4195">
      <w:pPr>
        <w:widowControl w:val="0"/>
        <w:spacing w:before="120" w:after="120"/>
        <w:ind w:firstLine="567"/>
        <w:jc w:val="both"/>
        <w:rPr>
          <w:rFonts w:ascii="Times New Roman" w:hAnsi="Times New Roman"/>
          <w:bCs/>
          <w:sz w:val="28"/>
          <w:szCs w:val="28"/>
        </w:rPr>
      </w:pPr>
      <w:r w:rsidRPr="00DF0F3F">
        <w:rPr>
          <w:rFonts w:ascii="Times New Roman" w:hAnsi="Times New Roman"/>
          <w:sz w:val="28"/>
          <w:szCs w:val="28"/>
        </w:rPr>
        <w:t>2) в абзаці третьому частини шостої слова «про відкриття та закриття рахунків платників податків» замінити словами «</w:t>
      </w:r>
      <w:r w:rsidRPr="00DF0F3F">
        <w:rPr>
          <w:rFonts w:ascii="Times New Roman" w:hAnsi="Times New Roman"/>
          <w:bCs/>
          <w:sz w:val="28"/>
          <w:szCs w:val="28"/>
        </w:rPr>
        <w:t>про відкриття або закриття рахунків,</w:t>
      </w:r>
      <w:r w:rsidRPr="00DF0F3F">
        <w:rPr>
          <w:rFonts w:ascii="Times New Roman" w:hAnsi="Times New Roman"/>
          <w:sz w:val="28"/>
          <w:szCs w:val="28"/>
        </w:rPr>
        <w:t xml:space="preserve"> </w:t>
      </w:r>
      <w:r w:rsidRPr="00DF0F3F">
        <w:rPr>
          <w:rFonts w:ascii="Times New Roman" w:hAnsi="Times New Roman"/>
          <w:bCs/>
          <w:sz w:val="28"/>
          <w:szCs w:val="28"/>
        </w:rPr>
        <w:t>укладення або припинення договору про надання індивідуального банківського сейфа».</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Статтю 62</w:t>
      </w:r>
      <w:r w:rsidRPr="00DF0F3F">
        <w:rPr>
          <w:rFonts w:ascii="Times New Roman" w:hAnsi="Times New Roman"/>
          <w:sz w:val="28"/>
          <w:szCs w:val="28"/>
          <w:vertAlign w:val="superscript"/>
        </w:rPr>
        <w:t>2</w:t>
      </w:r>
      <w:r w:rsidRPr="00DF0F3F">
        <w:rPr>
          <w:rFonts w:ascii="Times New Roman" w:hAnsi="Times New Roman"/>
          <w:sz w:val="28"/>
          <w:szCs w:val="28"/>
        </w:rPr>
        <w:t xml:space="preserve"> доповнити частиною тринадцятою такого змісту:</w:t>
      </w:r>
    </w:p>
    <w:p w:rsidR="00BC4195" w:rsidRPr="00DF0F3F" w:rsidRDefault="00BC4195" w:rsidP="00BC4195">
      <w:pPr>
        <w:widowControl w:val="0"/>
        <w:spacing w:before="120" w:after="120"/>
        <w:ind w:firstLine="567"/>
        <w:jc w:val="both"/>
        <w:rPr>
          <w:rFonts w:ascii="Times New Roman" w:hAnsi="Times New Roman"/>
          <w:sz w:val="28"/>
          <w:szCs w:val="28"/>
        </w:rPr>
      </w:pPr>
      <w:r w:rsidRPr="00DF0F3F">
        <w:rPr>
          <w:rFonts w:ascii="Times New Roman" w:hAnsi="Times New Roman"/>
          <w:sz w:val="28"/>
          <w:szCs w:val="28"/>
        </w:rPr>
        <w:t>«Національний банк України для забезпечення формування та ведення Єдиного реєстру рахунків фізичних і юридичних осіб та індивідуальних банківських сейфів відповідно до статті 69 Податкового Кодексу України має право надавати центральному органу виконавчої влади, що реалізує державну податкову політику, інформацію про рахунки, які веде відповідно до Закону України «Про Національний банк України» (за винятком інформації про рахунки в цінних паперах, які веде при провадженні депозитарної діяльності Національного банку України).»;</w:t>
      </w:r>
    </w:p>
    <w:p w:rsidR="00BC4195" w:rsidRPr="00DF0F3F" w:rsidRDefault="00BC4195" w:rsidP="00BC4195">
      <w:pPr>
        <w:spacing w:before="120" w:after="120"/>
        <w:ind w:firstLine="567"/>
        <w:jc w:val="both"/>
        <w:rPr>
          <w:rFonts w:ascii="Times New Roman" w:hAnsi="Times New Roman"/>
          <w:sz w:val="28"/>
          <w:szCs w:val="28"/>
        </w:rPr>
      </w:pPr>
      <w:r w:rsidRPr="00DF0F3F">
        <w:rPr>
          <w:rFonts w:ascii="Times New Roman" w:hAnsi="Times New Roman"/>
          <w:sz w:val="28"/>
          <w:szCs w:val="28"/>
        </w:rPr>
        <w:t xml:space="preserve">3) </w:t>
      </w:r>
      <w:r w:rsidRPr="00DF0F3F">
        <w:rPr>
          <w:rFonts w:ascii="Times New Roman" w:hAnsi="Times New Roman"/>
          <w:bCs/>
          <w:sz w:val="28"/>
          <w:szCs w:val="28"/>
          <w:lang w:eastAsia="uk-UA"/>
        </w:rPr>
        <w:t>статтю 65</w:t>
      </w:r>
      <w:r w:rsidRPr="00DF0F3F">
        <w:rPr>
          <w:rFonts w:ascii="Times New Roman" w:hAnsi="Times New Roman"/>
          <w:bCs/>
          <w:sz w:val="28"/>
          <w:szCs w:val="28"/>
          <w:vertAlign w:val="superscript"/>
          <w:lang w:eastAsia="uk-UA"/>
        </w:rPr>
        <w:t xml:space="preserve"> </w:t>
      </w:r>
      <w:r w:rsidRPr="00DF0F3F">
        <w:rPr>
          <w:rFonts w:ascii="Times New Roman" w:hAnsi="Times New Roman"/>
          <w:sz w:val="28"/>
          <w:szCs w:val="28"/>
        </w:rPr>
        <w:t xml:space="preserve">Закону України «Про платіжні послуги» від 30 червня </w:t>
      </w:r>
      <w:r w:rsidRPr="00DF0F3F">
        <w:rPr>
          <w:rFonts w:ascii="Times New Roman" w:hAnsi="Times New Roman"/>
          <w:sz w:val="28"/>
          <w:szCs w:val="28"/>
        </w:rPr>
        <w:br/>
        <w:t xml:space="preserve">2021 року № 1591-IX </w:t>
      </w:r>
      <w:r w:rsidRPr="00DF0F3F">
        <w:rPr>
          <w:rFonts w:ascii="Times New Roman" w:hAnsi="Times New Roman"/>
          <w:bCs/>
          <w:sz w:val="28"/>
          <w:szCs w:val="28"/>
          <w:lang w:eastAsia="uk-UA"/>
        </w:rPr>
        <w:t>доповнити частиною сьомою такого змісту:</w:t>
      </w:r>
    </w:p>
    <w:p w:rsidR="00BC4195" w:rsidRPr="00DF0F3F" w:rsidRDefault="00BC4195" w:rsidP="00BC4195">
      <w:pPr>
        <w:spacing w:before="120" w:after="120"/>
        <w:ind w:firstLine="567"/>
        <w:jc w:val="both"/>
        <w:rPr>
          <w:rFonts w:ascii="Times New Roman" w:hAnsi="Times New Roman"/>
          <w:sz w:val="28"/>
          <w:szCs w:val="28"/>
        </w:rPr>
      </w:pPr>
      <w:r w:rsidRPr="00DF0F3F">
        <w:rPr>
          <w:rFonts w:ascii="Times New Roman" w:hAnsi="Times New Roman"/>
          <w:sz w:val="28"/>
          <w:szCs w:val="28"/>
        </w:rPr>
        <w:t>«7. Небанківські надавачі платіжних послуг для забезпечення формування та ведення Єдиного реєстру рахунків фізичних і юридичних осіб та індивідуальних банківських сейфів відповідно до статті 69 Податкового Кодексу України зобов’язані надавати до центрального органу виконавчої влади, що реалізує державну податкову політику, відомості про платіжні рахунки, відкриті/закриті користувачам небанківськими надавачами платіжних послуг.»;</w:t>
      </w:r>
    </w:p>
    <w:p w:rsidR="00BC4195" w:rsidRPr="00DF0F3F" w:rsidRDefault="00BC4195" w:rsidP="00BC4195">
      <w:pPr>
        <w:spacing w:before="120" w:after="120"/>
        <w:ind w:firstLine="567"/>
        <w:jc w:val="both"/>
        <w:rPr>
          <w:rFonts w:ascii="Times New Roman" w:hAnsi="Times New Roman"/>
          <w:bCs/>
          <w:sz w:val="28"/>
          <w:szCs w:val="28"/>
          <w:lang w:eastAsia="uk-UA"/>
        </w:rPr>
      </w:pPr>
      <w:bookmarkStart w:id="10" w:name="n3059"/>
      <w:bookmarkStart w:id="11" w:name="n3062"/>
      <w:bookmarkEnd w:id="10"/>
      <w:bookmarkEnd w:id="11"/>
      <w:r w:rsidRPr="00DF0F3F">
        <w:rPr>
          <w:rFonts w:ascii="Times New Roman" w:hAnsi="Times New Roman"/>
          <w:sz w:val="28"/>
          <w:szCs w:val="28"/>
          <w:lang w:eastAsia="uk-UA"/>
        </w:rPr>
        <w:t xml:space="preserve">4) </w:t>
      </w:r>
      <w:r w:rsidRPr="00DF0F3F">
        <w:rPr>
          <w:rFonts w:ascii="Times New Roman" w:hAnsi="Times New Roman"/>
          <w:bCs/>
          <w:sz w:val="28"/>
          <w:szCs w:val="28"/>
          <w:lang w:eastAsia="uk-UA"/>
        </w:rPr>
        <w:t>статтю 136 Закону України «</w:t>
      </w:r>
      <w:r w:rsidRPr="00DF0F3F">
        <w:rPr>
          <w:rFonts w:ascii="Times New Roman" w:hAnsi="Times New Roman"/>
          <w:sz w:val="28"/>
          <w:szCs w:val="28"/>
          <w:lang w:eastAsia="uk-UA"/>
        </w:rPr>
        <w:t xml:space="preserve">Про ринки капіталу та організовані товарні ринки» від 19 червня 2020 року № 738-IX </w:t>
      </w:r>
      <w:r w:rsidRPr="00DF0F3F">
        <w:rPr>
          <w:rFonts w:ascii="Times New Roman" w:hAnsi="Times New Roman"/>
          <w:bCs/>
          <w:sz w:val="28"/>
          <w:szCs w:val="28"/>
          <w:lang w:eastAsia="uk-UA"/>
        </w:rPr>
        <w:t>доповнити частиною восьмою такого змісту:</w:t>
      </w:r>
    </w:p>
    <w:p w:rsidR="00BC4195" w:rsidRPr="00DF0F3F" w:rsidRDefault="00BC4195" w:rsidP="00BC4195">
      <w:pPr>
        <w:spacing w:before="120" w:after="120"/>
        <w:ind w:firstLine="567"/>
        <w:jc w:val="both"/>
        <w:rPr>
          <w:rFonts w:ascii="Times New Roman" w:hAnsi="Times New Roman"/>
          <w:bCs/>
          <w:sz w:val="28"/>
          <w:szCs w:val="28"/>
          <w:lang w:eastAsia="uk-UA"/>
        </w:rPr>
      </w:pPr>
      <w:r w:rsidRPr="00DF0F3F">
        <w:rPr>
          <w:rFonts w:ascii="Times New Roman" w:hAnsi="Times New Roman"/>
          <w:bCs/>
          <w:sz w:val="28"/>
          <w:szCs w:val="28"/>
          <w:lang w:eastAsia="uk-UA"/>
        </w:rPr>
        <w:t>«8. Центральний депозитарій цінних паперів, депозитарні установи для забезпечення формування та ведення Єдиного реєстру рахунків фізичних і юридичних осіб та індивідуальних банківських сейфів відповідно до статті 69 Податкового Кодексу України подають центральному органу виконавчої влади, що реалізує державну податкову політику, інформацію про рахунки, в тому числі шляхом розкриття інформації, що становить професійну таємницю, без отримання письмового запиту.</w:t>
      </w:r>
    </w:p>
    <w:p w:rsidR="00BC4195" w:rsidRPr="00DF0F3F" w:rsidRDefault="00BC4195" w:rsidP="00BC4195">
      <w:pPr>
        <w:spacing w:before="120" w:after="120"/>
        <w:ind w:firstLine="567"/>
        <w:jc w:val="both"/>
        <w:rPr>
          <w:rFonts w:ascii="Times New Roman" w:hAnsi="Times New Roman"/>
          <w:bCs/>
          <w:sz w:val="28"/>
          <w:szCs w:val="28"/>
          <w:lang w:eastAsia="uk-UA"/>
        </w:rPr>
      </w:pPr>
      <w:r w:rsidRPr="00DF0F3F">
        <w:rPr>
          <w:rFonts w:ascii="Times New Roman" w:hAnsi="Times New Roman"/>
          <w:bCs/>
          <w:sz w:val="28"/>
          <w:szCs w:val="28"/>
          <w:lang w:eastAsia="uk-UA"/>
        </w:rPr>
        <w:t>Вимоги частини третьої статті 135 цього Закону не застосовуються до використання центральним органом виконавчої влади, що реалізує державну податкову політику, інформації, що становить професійну таємницю, у випадках здійснення ним необхідних дій, встановлених статтею 69 Податкового Кодексу України, для забезпечення формування та ведення Єдиного реєстру рахунків фізичних і юридичних осіб та індивідуальних банківських сейфів».</w:t>
      </w:r>
    </w:p>
    <w:p w:rsidR="00BC4195" w:rsidRPr="00DF0F3F" w:rsidRDefault="00BC4195" w:rsidP="00BC4195">
      <w:pPr>
        <w:spacing w:before="120" w:after="120"/>
        <w:ind w:firstLine="567"/>
        <w:jc w:val="both"/>
        <w:rPr>
          <w:rFonts w:ascii="Times New Roman" w:hAnsi="Times New Roman"/>
          <w:bCs/>
          <w:sz w:val="28"/>
          <w:szCs w:val="28"/>
          <w:lang w:eastAsia="uk-UA"/>
        </w:rPr>
      </w:pPr>
      <w:r w:rsidRPr="00DF0F3F">
        <w:rPr>
          <w:rFonts w:ascii="Times New Roman" w:hAnsi="Times New Roman"/>
          <w:bCs/>
          <w:sz w:val="28"/>
          <w:szCs w:val="28"/>
          <w:lang w:eastAsia="uk-UA"/>
        </w:rPr>
        <w:t>3. Кабінету Міністрів України:</w:t>
      </w:r>
    </w:p>
    <w:p w:rsidR="00BC4195" w:rsidRPr="00DF0F3F" w:rsidRDefault="00BC4195" w:rsidP="00BC4195">
      <w:pPr>
        <w:spacing w:before="120" w:after="120"/>
        <w:ind w:firstLine="567"/>
        <w:jc w:val="both"/>
        <w:rPr>
          <w:rFonts w:ascii="Times New Roman" w:hAnsi="Times New Roman"/>
          <w:bCs/>
          <w:sz w:val="28"/>
          <w:szCs w:val="28"/>
          <w:lang w:eastAsia="uk-UA"/>
        </w:rPr>
      </w:pPr>
      <w:r w:rsidRPr="00DF0F3F">
        <w:rPr>
          <w:rFonts w:ascii="Times New Roman" w:hAnsi="Times New Roman"/>
          <w:bCs/>
          <w:sz w:val="28"/>
          <w:szCs w:val="28"/>
          <w:lang w:eastAsia="uk-UA"/>
        </w:rPr>
        <w:t>1) у тримісячний строк з дня опублікування цього Закону:</w:t>
      </w:r>
    </w:p>
    <w:p w:rsidR="00BC4195" w:rsidRPr="00DF0F3F" w:rsidRDefault="00BC4195" w:rsidP="00BC4195">
      <w:pPr>
        <w:spacing w:before="120" w:after="120"/>
        <w:ind w:firstLine="567"/>
        <w:jc w:val="both"/>
        <w:rPr>
          <w:rFonts w:ascii="Times New Roman" w:hAnsi="Times New Roman"/>
          <w:bCs/>
          <w:sz w:val="28"/>
          <w:szCs w:val="28"/>
          <w:lang w:eastAsia="uk-UA"/>
        </w:rPr>
      </w:pPr>
      <w:r w:rsidRPr="00DF0F3F">
        <w:rPr>
          <w:rFonts w:ascii="Times New Roman" w:hAnsi="Times New Roman"/>
          <w:bCs/>
          <w:sz w:val="28"/>
          <w:szCs w:val="28"/>
          <w:lang w:eastAsia="uk-UA"/>
        </w:rPr>
        <w:t>привести свої нормативно-правові акти у відповідність із цим Законом;</w:t>
      </w:r>
    </w:p>
    <w:p w:rsidR="00BC4195" w:rsidRPr="00DF0F3F" w:rsidRDefault="00BC4195" w:rsidP="00BC4195">
      <w:pPr>
        <w:spacing w:before="120" w:after="120"/>
        <w:ind w:firstLine="567"/>
        <w:jc w:val="both"/>
        <w:rPr>
          <w:rFonts w:ascii="Times New Roman" w:hAnsi="Times New Roman"/>
          <w:bCs/>
          <w:sz w:val="28"/>
          <w:szCs w:val="28"/>
          <w:lang w:eastAsia="uk-UA"/>
        </w:rPr>
      </w:pPr>
      <w:r w:rsidRPr="00DF0F3F">
        <w:rPr>
          <w:rFonts w:ascii="Times New Roman" w:hAnsi="Times New Roman"/>
          <w:bCs/>
          <w:sz w:val="28"/>
          <w:szCs w:val="28"/>
          <w:lang w:eastAsia="uk-UA"/>
        </w:rPr>
        <w:t>забезпечити прийняття актів, необхідних для реалізації цього Закону;</w:t>
      </w:r>
    </w:p>
    <w:p w:rsidR="00BC4195" w:rsidRPr="00DF0F3F" w:rsidRDefault="00BC4195" w:rsidP="00BC4195">
      <w:pPr>
        <w:spacing w:before="120" w:after="120"/>
        <w:ind w:firstLine="567"/>
        <w:jc w:val="both"/>
        <w:rPr>
          <w:rFonts w:ascii="Times New Roman" w:hAnsi="Times New Roman"/>
          <w:bCs/>
          <w:sz w:val="28"/>
          <w:szCs w:val="28"/>
          <w:lang w:eastAsia="uk-UA"/>
        </w:rPr>
      </w:pPr>
      <w:r w:rsidRPr="00DF0F3F">
        <w:rPr>
          <w:rFonts w:ascii="Times New Roman" w:hAnsi="Times New Roman"/>
          <w:bCs/>
          <w:sz w:val="28"/>
          <w:szCs w:val="28"/>
          <w:lang w:eastAsia="uk-UA"/>
        </w:rPr>
        <w:t>забезпечити приведення міністерствами, іншими центральними органами виконавчої влади їхніх нормативно-правових актів у відповідність з цим Законом;</w:t>
      </w:r>
    </w:p>
    <w:p w:rsidR="00BC4195" w:rsidRPr="00DF0F3F" w:rsidRDefault="00BC4195" w:rsidP="00BC4195">
      <w:pPr>
        <w:spacing w:before="120" w:after="120"/>
        <w:ind w:firstLine="567"/>
        <w:jc w:val="both"/>
        <w:rPr>
          <w:rFonts w:ascii="Times New Roman" w:hAnsi="Times New Roman"/>
          <w:bCs/>
          <w:sz w:val="28"/>
          <w:szCs w:val="28"/>
          <w:lang w:eastAsia="uk-UA"/>
        </w:rPr>
      </w:pPr>
      <w:r w:rsidRPr="00DF0F3F">
        <w:rPr>
          <w:rFonts w:ascii="Times New Roman" w:hAnsi="Times New Roman"/>
          <w:bCs/>
          <w:sz w:val="28"/>
          <w:szCs w:val="28"/>
          <w:lang w:eastAsia="uk-UA"/>
        </w:rPr>
        <w:t>2) не пізніше шести місяців з дня опублікування цього Закону забезпечити функціонування Єдиного реєстру рахунків фізичних і юридичних осіб та індивідуальних банківських сейфів.</w:t>
      </w:r>
    </w:p>
    <w:p w:rsidR="00BC4195" w:rsidRPr="00DF0F3F" w:rsidRDefault="00BC4195" w:rsidP="00BC4195">
      <w:pPr>
        <w:spacing w:before="120" w:after="120"/>
        <w:ind w:firstLine="567"/>
        <w:jc w:val="both"/>
        <w:rPr>
          <w:rFonts w:ascii="Times New Roman" w:hAnsi="Times New Roman"/>
          <w:bCs/>
          <w:sz w:val="28"/>
          <w:szCs w:val="28"/>
          <w:lang w:eastAsia="uk-UA"/>
        </w:rPr>
      </w:pPr>
      <w:r w:rsidRPr="00DF0F3F">
        <w:rPr>
          <w:rFonts w:ascii="Times New Roman" w:hAnsi="Times New Roman"/>
          <w:bCs/>
          <w:sz w:val="28"/>
          <w:szCs w:val="28"/>
          <w:lang w:eastAsia="uk-UA"/>
        </w:rPr>
        <w:t>4. Національному банку України та Національній комісії з цінних паперів та фондового ринку протягом трьох місяців з дня опублікування цього Закону привести свої нормативно-правові акти у відповідність із цим Законом, а також прийняти нормативно-правові акти, необхідні для реалізації цього Закону.</w:t>
      </w:r>
      <w:bookmarkStart w:id="12" w:name="_GoBack"/>
      <w:bookmarkEnd w:id="12"/>
    </w:p>
    <w:p w:rsidR="00BC4195" w:rsidRPr="00DF0F3F" w:rsidRDefault="00BC4195" w:rsidP="00BC4195">
      <w:pPr>
        <w:spacing w:before="120" w:after="120"/>
        <w:ind w:firstLine="567"/>
        <w:jc w:val="both"/>
        <w:rPr>
          <w:rFonts w:ascii="Times New Roman" w:hAnsi="Times New Roman"/>
          <w:b/>
          <w:sz w:val="28"/>
          <w:szCs w:val="28"/>
        </w:rPr>
      </w:pPr>
    </w:p>
    <w:p w:rsidR="00BC4195" w:rsidRPr="00DF0F3F" w:rsidRDefault="00BC4195" w:rsidP="00BC4195">
      <w:pPr>
        <w:pStyle w:val="a4"/>
        <w:spacing w:line="276" w:lineRule="auto"/>
        <w:ind w:right="6378" w:firstLine="0"/>
        <w:jc w:val="center"/>
        <w:rPr>
          <w:rFonts w:ascii="Times New Roman" w:hAnsi="Times New Roman"/>
          <w:b/>
          <w:sz w:val="28"/>
          <w:szCs w:val="28"/>
        </w:rPr>
      </w:pPr>
      <w:r w:rsidRPr="00DF0F3F">
        <w:rPr>
          <w:rFonts w:ascii="Times New Roman" w:hAnsi="Times New Roman"/>
          <w:b/>
          <w:sz w:val="28"/>
          <w:szCs w:val="28"/>
        </w:rPr>
        <w:t xml:space="preserve">            Голова</w:t>
      </w:r>
    </w:p>
    <w:p w:rsidR="00BC4195" w:rsidRPr="00DF0F3F" w:rsidRDefault="00BC4195" w:rsidP="00BC4195">
      <w:pPr>
        <w:pStyle w:val="a4"/>
        <w:spacing w:line="276" w:lineRule="auto"/>
        <w:ind w:right="5811"/>
        <w:jc w:val="center"/>
        <w:rPr>
          <w:rFonts w:ascii="Times New Roman" w:hAnsi="Times New Roman"/>
          <w:b/>
          <w:sz w:val="28"/>
          <w:szCs w:val="28"/>
        </w:rPr>
      </w:pPr>
      <w:r w:rsidRPr="00DF0F3F">
        <w:rPr>
          <w:rFonts w:ascii="Times New Roman" w:hAnsi="Times New Roman"/>
          <w:b/>
          <w:sz w:val="28"/>
          <w:szCs w:val="28"/>
        </w:rPr>
        <w:t>Верховної Ради України</w:t>
      </w:r>
    </w:p>
    <w:p w:rsidR="00BC4195" w:rsidRPr="00DF0F3F" w:rsidRDefault="00BC4195" w:rsidP="00BC4195">
      <w:pPr>
        <w:ind w:firstLine="567"/>
      </w:pPr>
    </w:p>
    <w:p w:rsidR="00635434" w:rsidRPr="00DF0F3F" w:rsidRDefault="00635434" w:rsidP="00BC4195">
      <w:pPr>
        <w:tabs>
          <w:tab w:val="left" w:pos="567"/>
        </w:tabs>
      </w:pPr>
    </w:p>
    <w:sectPr w:rsidR="00635434" w:rsidRPr="00DF0F3F">
      <w:headerReference w:type="default" r:id="rId7"/>
      <w:pgSz w:w="11906" w:h="16838"/>
      <w:pgMar w:top="426" w:right="566" w:bottom="1560" w:left="1701" w:header="708" w:footer="141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E1B" w:rsidRDefault="00735E1B">
      <w:pPr>
        <w:spacing w:after="0" w:line="240" w:lineRule="auto"/>
      </w:pPr>
    </w:p>
  </w:endnote>
  <w:endnote w:type="continuationSeparator" w:id="0">
    <w:p w:rsidR="00735E1B" w:rsidRDefault="00735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panose1 w:val="00000000000000000000"/>
    <w:charset w:val="00"/>
    <w:family w:val="roman"/>
    <w:notTrueType/>
    <w:pitch w:val="default"/>
  </w:font>
  <w:font w:name="Segoe UI">
    <w:panose1 w:val="020B0502040204020203"/>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E1B" w:rsidRDefault="00735E1B">
      <w:pPr>
        <w:spacing w:after="0" w:line="240" w:lineRule="auto"/>
      </w:pPr>
    </w:p>
  </w:footnote>
  <w:footnote w:type="continuationSeparator" w:id="0">
    <w:p w:rsidR="00735E1B" w:rsidRDefault="00735E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434" w:rsidRDefault="00B94DDE">
    <w:pPr>
      <w:pStyle w:val="a5"/>
      <w:jc w:val="center"/>
    </w:pPr>
    <w:r>
      <w:fldChar w:fldCharType="begin"/>
    </w:r>
    <w:r>
      <w:instrText>PAGE   \* MERGEFORMAT</w:instrText>
    </w:r>
    <w:r>
      <w:fldChar w:fldCharType="separate"/>
    </w:r>
    <w:r w:rsidR="00DF0F3F">
      <w:rPr>
        <w:noProof/>
      </w:rPr>
      <w:t>2</w:t>
    </w:r>
    <w:r>
      <w:fldChar w:fldCharType="end"/>
    </w:r>
  </w:p>
  <w:p w:rsidR="00635434" w:rsidRDefault="0063543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3AD"/>
    <w:multiLevelType w:val="hybridMultilevel"/>
    <w:tmpl w:val="3B14ED3E"/>
    <w:lvl w:ilvl="0" w:tplc="515A42E0">
      <w:start w:val="1"/>
      <w:numFmt w:val="decimal"/>
      <w:lvlText w:val="%1."/>
      <w:lvlJc w:val="left"/>
      <w:pPr>
        <w:ind w:left="827" w:hanging="360"/>
      </w:pPr>
    </w:lvl>
    <w:lvl w:ilvl="1" w:tplc="04220019">
      <w:start w:val="1"/>
      <w:numFmt w:val="lowerLetter"/>
      <w:lvlText w:val="%2."/>
      <w:lvlJc w:val="left"/>
      <w:pPr>
        <w:ind w:left="1547" w:hanging="360"/>
      </w:pPr>
    </w:lvl>
    <w:lvl w:ilvl="2" w:tplc="0422001B">
      <w:start w:val="1"/>
      <w:numFmt w:val="lowerRoman"/>
      <w:lvlText w:val="%3."/>
      <w:lvlJc w:val="right"/>
      <w:pPr>
        <w:ind w:left="2267" w:hanging="180"/>
      </w:pPr>
    </w:lvl>
    <w:lvl w:ilvl="3" w:tplc="0422000F">
      <w:start w:val="1"/>
      <w:numFmt w:val="decimal"/>
      <w:lvlText w:val="%4."/>
      <w:lvlJc w:val="left"/>
      <w:pPr>
        <w:ind w:left="2987" w:hanging="360"/>
      </w:pPr>
    </w:lvl>
    <w:lvl w:ilvl="4" w:tplc="04220019">
      <w:start w:val="1"/>
      <w:numFmt w:val="lowerLetter"/>
      <w:lvlText w:val="%5."/>
      <w:lvlJc w:val="left"/>
      <w:pPr>
        <w:ind w:left="3707" w:hanging="360"/>
      </w:pPr>
    </w:lvl>
    <w:lvl w:ilvl="5" w:tplc="0422001B">
      <w:start w:val="1"/>
      <w:numFmt w:val="lowerRoman"/>
      <w:lvlText w:val="%6."/>
      <w:lvlJc w:val="right"/>
      <w:pPr>
        <w:ind w:left="4427" w:hanging="180"/>
      </w:pPr>
    </w:lvl>
    <w:lvl w:ilvl="6" w:tplc="0422000F">
      <w:start w:val="1"/>
      <w:numFmt w:val="decimal"/>
      <w:lvlText w:val="%7."/>
      <w:lvlJc w:val="left"/>
      <w:pPr>
        <w:ind w:left="5147" w:hanging="360"/>
      </w:pPr>
    </w:lvl>
    <w:lvl w:ilvl="7" w:tplc="04220019">
      <w:start w:val="1"/>
      <w:numFmt w:val="lowerLetter"/>
      <w:lvlText w:val="%8."/>
      <w:lvlJc w:val="left"/>
      <w:pPr>
        <w:ind w:left="5867" w:hanging="360"/>
      </w:pPr>
    </w:lvl>
    <w:lvl w:ilvl="8" w:tplc="0422001B">
      <w:start w:val="1"/>
      <w:numFmt w:val="lowerRoman"/>
      <w:lvlText w:val="%9."/>
      <w:lvlJc w:val="right"/>
      <w:pPr>
        <w:ind w:left="6587" w:hanging="180"/>
      </w:pPr>
    </w:lvl>
  </w:abstractNum>
  <w:abstractNum w:abstractNumId="1" w15:restartNumberingAfterBreak="0">
    <w:nsid w:val="3F6B1DC4"/>
    <w:multiLevelType w:val="hybridMultilevel"/>
    <w:tmpl w:val="97369866"/>
    <w:lvl w:ilvl="0" w:tplc="925A2ACE">
      <w:start w:val="1"/>
      <w:numFmt w:val="decimal"/>
      <w:lvlText w:val="%1."/>
      <w:lvlJc w:val="left"/>
      <w:pPr>
        <w:ind w:left="1842" w:hanging="990"/>
      </w:pPr>
    </w:lvl>
    <w:lvl w:ilvl="1" w:tplc="04220019">
      <w:start w:val="1"/>
      <w:numFmt w:val="lowerLetter"/>
      <w:lvlText w:val="%2."/>
      <w:lvlJc w:val="left"/>
      <w:pPr>
        <w:ind w:left="1932" w:hanging="360"/>
      </w:pPr>
    </w:lvl>
    <w:lvl w:ilvl="2" w:tplc="0422001B">
      <w:start w:val="1"/>
      <w:numFmt w:val="lowerRoman"/>
      <w:lvlText w:val="%3."/>
      <w:lvlJc w:val="right"/>
      <w:pPr>
        <w:ind w:left="2652" w:hanging="180"/>
      </w:pPr>
    </w:lvl>
    <w:lvl w:ilvl="3" w:tplc="0422000F">
      <w:start w:val="1"/>
      <w:numFmt w:val="decimal"/>
      <w:lvlText w:val="%4."/>
      <w:lvlJc w:val="left"/>
      <w:pPr>
        <w:ind w:left="3372" w:hanging="360"/>
      </w:pPr>
    </w:lvl>
    <w:lvl w:ilvl="4" w:tplc="04220019">
      <w:start w:val="1"/>
      <w:numFmt w:val="lowerLetter"/>
      <w:lvlText w:val="%5."/>
      <w:lvlJc w:val="left"/>
      <w:pPr>
        <w:ind w:left="4092" w:hanging="360"/>
      </w:pPr>
    </w:lvl>
    <w:lvl w:ilvl="5" w:tplc="0422001B">
      <w:start w:val="1"/>
      <w:numFmt w:val="lowerRoman"/>
      <w:lvlText w:val="%6."/>
      <w:lvlJc w:val="right"/>
      <w:pPr>
        <w:ind w:left="4812" w:hanging="180"/>
      </w:pPr>
    </w:lvl>
    <w:lvl w:ilvl="6" w:tplc="0422000F">
      <w:start w:val="1"/>
      <w:numFmt w:val="decimal"/>
      <w:lvlText w:val="%7."/>
      <w:lvlJc w:val="left"/>
      <w:pPr>
        <w:ind w:left="5532" w:hanging="360"/>
      </w:pPr>
    </w:lvl>
    <w:lvl w:ilvl="7" w:tplc="04220019">
      <w:start w:val="1"/>
      <w:numFmt w:val="lowerLetter"/>
      <w:lvlText w:val="%8."/>
      <w:lvlJc w:val="left"/>
      <w:pPr>
        <w:ind w:left="6252" w:hanging="360"/>
      </w:pPr>
    </w:lvl>
    <w:lvl w:ilvl="8" w:tplc="0422001B">
      <w:start w:val="1"/>
      <w:numFmt w:val="lowerRoman"/>
      <w:lvlText w:val="%9."/>
      <w:lvlJc w:val="right"/>
      <w:pPr>
        <w:ind w:left="6972" w:hanging="180"/>
      </w:pPr>
    </w:lvl>
  </w:abstractNum>
  <w:abstractNum w:abstractNumId="2" w15:restartNumberingAfterBreak="0">
    <w:nsid w:val="52AC562E"/>
    <w:multiLevelType w:val="hybridMultilevel"/>
    <w:tmpl w:val="B8C02686"/>
    <w:lvl w:ilvl="0" w:tplc="9532489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15:restartNumberingAfterBreak="0">
    <w:nsid w:val="6A7607CE"/>
    <w:multiLevelType w:val="hybridMultilevel"/>
    <w:tmpl w:val="85BAA8FC"/>
    <w:lvl w:ilvl="0" w:tplc="7B4EE14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4" w15:restartNumberingAfterBreak="0">
    <w:nsid w:val="6F27050F"/>
    <w:multiLevelType w:val="hybridMultilevel"/>
    <w:tmpl w:val="83A4AF5A"/>
    <w:lvl w:ilvl="0" w:tplc="2558020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5" w15:restartNumberingAfterBreak="0">
    <w:nsid w:val="760C6F85"/>
    <w:multiLevelType w:val="multilevel"/>
    <w:tmpl w:val="A3E06380"/>
    <w:lvl w:ilvl="0">
      <w:start w:val="1"/>
      <w:numFmt w:val="upperRoman"/>
      <w:lvlText w:val="%1."/>
      <w:lvlJc w:val="left"/>
      <w:pPr>
        <w:ind w:left="1080" w:firstLine="360"/>
      </w:pPr>
      <w:rPr>
        <w:rFonts w:ascii="Times New Roman" w:hAnsi="Times New Roman"/>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434"/>
    <w:rsid w:val="00635434"/>
    <w:rsid w:val="00735E1B"/>
    <w:rsid w:val="00B94DDE"/>
    <w:rsid w:val="00BC4195"/>
    <w:rsid w:val="00DF0F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D3C14-311D-4B10-8892-53E0967C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customStyle="1" w:styleId="a4">
    <w:name w:val="Нормальний текст"/>
    <w:basedOn w:val="a"/>
    <w:pPr>
      <w:spacing w:before="120" w:after="0" w:line="240" w:lineRule="auto"/>
      <w:ind w:firstLine="567"/>
      <w:jc w:val="both"/>
    </w:pPr>
    <w:rPr>
      <w:rFonts w:ascii="Antiqua" w:hAnsi="Antiqua"/>
      <w:sz w:val="26"/>
      <w:szCs w:val="20"/>
      <w:lang w:eastAsia="ru-RU"/>
    </w:rPr>
  </w:style>
  <w:style w:type="paragraph" w:styleId="a5">
    <w:name w:val="header"/>
    <w:basedOn w:val="a"/>
    <w:link w:val="a6"/>
    <w:pPr>
      <w:tabs>
        <w:tab w:val="center" w:pos="4819"/>
        <w:tab w:val="right" w:pos="9639"/>
      </w:tabs>
      <w:spacing w:after="0" w:line="240" w:lineRule="auto"/>
    </w:pPr>
  </w:style>
  <w:style w:type="paragraph" w:styleId="a7">
    <w:name w:val="footer"/>
    <w:basedOn w:val="a"/>
    <w:link w:val="a8"/>
    <w:pPr>
      <w:tabs>
        <w:tab w:val="center" w:pos="4819"/>
        <w:tab w:val="right" w:pos="9639"/>
      </w:tabs>
      <w:spacing w:after="0" w:line="240" w:lineRule="auto"/>
    </w:pPr>
  </w:style>
  <w:style w:type="paragraph" w:styleId="a9">
    <w:name w:val="Balloon Text"/>
    <w:basedOn w:val="a"/>
    <w:link w:val="aa"/>
    <w:semiHidden/>
    <w:pPr>
      <w:spacing w:after="0" w:line="240" w:lineRule="auto"/>
    </w:pPr>
    <w:rPr>
      <w:rFonts w:ascii="Segoe UI" w:hAnsi="Segoe UI"/>
      <w:sz w:val="18"/>
      <w:szCs w:val="18"/>
    </w:rPr>
  </w:style>
  <w:style w:type="paragraph" w:customStyle="1" w:styleId="rvps2">
    <w:name w:val="rvps2"/>
    <w:basedOn w:val="a"/>
    <w:pPr>
      <w:spacing w:before="100" w:beforeAutospacing="1" w:after="100" w:afterAutospacing="1" w:line="240" w:lineRule="auto"/>
    </w:pPr>
    <w:rPr>
      <w:rFonts w:ascii="Times New Roman" w:hAnsi="Times New Roman"/>
      <w:sz w:val="24"/>
      <w:szCs w:val="24"/>
      <w:lang w:eastAsia="uk-UA"/>
    </w:rPr>
  </w:style>
  <w:style w:type="paragraph" w:customStyle="1" w:styleId="ab">
    <w:name w:val="! ТХТ"/>
    <w:pPr>
      <w:widowControl w:val="0"/>
      <w:spacing w:before="111" w:after="111" w:line="240" w:lineRule="auto"/>
      <w:ind w:firstLine="720"/>
      <w:jc w:val="both"/>
    </w:pPr>
    <w:rPr>
      <w:rFonts w:ascii="Times New Roman" w:hAnsi="Times New Roman"/>
      <w:color w:val="000000"/>
      <w:sz w:val="28"/>
      <w:szCs w:val="28"/>
      <w:lang w:eastAsia="ru-RU"/>
    </w:rPr>
  </w:style>
  <w:style w:type="paragraph" w:styleId="ac">
    <w:name w:val="footnote text"/>
    <w:link w:val="ad"/>
    <w:semiHidden/>
    <w:pPr>
      <w:spacing w:after="0" w:line="240" w:lineRule="auto"/>
    </w:pPr>
    <w:rPr>
      <w:sz w:val="20"/>
      <w:szCs w:val="20"/>
    </w:rPr>
  </w:style>
  <w:style w:type="paragraph" w:styleId="ae">
    <w:name w:val="endnote text"/>
    <w:link w:val="af"/>
    <w:semiHidden/>
    <w:pPr>
      <w:spacing w:after="0" w:line="240" w:lineRule="auto"/>
    </w:pPr>
    <w:rPr>
      <w:sz w:val="20"/>
      <w:szCs w:val="20"/>
    </w:rPr>
  </w:style>
  <w:style w:type="character" w:styleId="af0">
    <w:name w:val="line number"/>
    <w:basedOn w:val="a0"/>
    <w:semiHidden/>
  </w:style>
  <w:style w:type="character" w:styleId="af1">
    <w:name w:val="Hyperlink"/>
    <w:basedOn w:val="a0"/>
    <w:rPr>
      <w:color w:val="0000FF" w:themeColor="hyperlink"/>
      <w:u w:val="single"/>
    </w:rPr>
  </w:style>
  <w:style w:type="character" w:customStyle="1" w:styleId="rvts37">
    <w:name w:val="rvts37"/>
  </w:style>
  <w:style w:type="character" w:customStyle="1" w:styleId="a6">
    <w:name w:val="Верхній колонтитул Знак"/>
    <w:basedOn w:val="a0"/>
    <w:link w:val="a5"/>
    <w:rPr>
      <w:rFonts w:ascii="Calibri" w:hAnsi="Calibri"/>
    </w:rPr>
  </w:style>
  <w:style w:type="character" w:customStyle="1" w:styleId="a8">
    <w:name w:val="Нижній колонтитул Знак"/>
    <w:basedOn w:val="a0"/>
    <w:link w:val="a7"/>
    <w:rPr>
      <w:rFonts w:ascii="Calibri" w:hAnsi="Calibri"/>
    </w:rPr>
  </w:style>
  <w:style w:type="character" w:customStyle="1" w:styleId="aa">
    <w:name w:val="Текст у виносці Знак"/>
    <w:basedOn w:val="a0"/>
    <w:link w:val="a9"/>
    <w:semiHidden/>
    <w:rPr>
      <w:rFonts w:ascii="Segoe UI" w:hAnsi="Segoe UI"/>
      <w:sz w:val="18"/>
      <w:szCs w:val="18"/>
    </w:rPr>
  </w:style>
  <w:style w:type="character" w:styleId="af2">
    <w:name w:val="Strong"/>
    <w:basedOn w:val="a0"/>
    <w:qFormat/>
    <w:rPr>
      <w:b/>
      <w:bCs/>
    </w:rPr>
  </w:style>
  <w:style w:type="character" w:customStyle="1" w:styleId="rvts9">
    <w:name w:val="rvts9"/>
    <w:basedOn w:val="a0"/>
  </w:style>
  <w:style w:type="character" w:styleId="af3">
    <w:name w:val="footnote reference"/>
    <w:semiHidden/>
    <w:rPr>
      <w:vertAlign w:val="superscript"/>
    </w:rPr>
  </w:style>
  <w:style w:type="character" w:customStyle="1" w:styleId="ad">
    <w:name w:val="Текст виноски Знак"/>
    <w:link w:val="ac"/>
    <w:semiHidden/>
    <w:rPr>
      <w:sz w:val="20"/>
      <w:szCs w:val="20"/>
    </w:rPr>
  </w:style>
  <w:style w:type="character" w:styleId="af4">
    <w:name w:val="endnote reference"/>
    <w:semiHidden/>
    <w:rPr>
      <w:vertAlign w:val="superscript"/>
    </w:rPr>
  </w:style>
  <w:style w:type="character" w:customStyle="1" w:styleId="af">
    <w:name w:val="Текст кінцевої виноски Знак"/>
    <w:link w:val="ae"/>
    <w:semiHidden/>
    <w:rPr>
      <w:sz w:val="20"/>
      <w:szCs w:val="20"/>
    </w:rPr>
  </w:style>
  <w:style w:type="character" w:customStyle="1" w:styleId="FootnoteTextChar">
    <w:name w:val="Footnote Text Char"/>
    <w:semiHidden/>
    <w:rPr>
      <w:sz w:val="20"/>
      <w:szCs w:val="20"/>
    </w:rPr>
  </w:style>
  <w:style w:type="character" w:customStyle="1" w:styleId="EndnoteTextChar">
    <w:name w:val="Endnote Text Char"/>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5">
    <w:name w:val="Table Grid"/>
    <w:basedOn w:val="a1"/>
    <w:pPr>
      <w:spacing w:after="0" w:line="240" w:lineRule="auto"/>
    </w:pPr>
    <w:rPr>
      <w:rFonts w:ascii="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506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11440</Words>
  <Characters>6521</Characters>
  <Application>Microsoft Office Word</Application>
  <DocSecurity>0</DocSecurity>
  <Lines>54</Lines>
  <Paragraphs>35</Paragraphs>
  <ScaleCrop>false</ScaleCrop>
  <Company>Minfin</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Пономаренко Олена Петрівна</cp:lastModifiedBy>
  <cp:revision>21</cp:revision>
  <cp:lastPrinted>2020-10-23T07:19:00Z</cp:lastPrinted>
  <dcterms:created xsi:type="dcterms:W3CDTF">2022-06-23T09:21:00Z</dcterms:created>
  <dcterms:modified xsi:type="dcterms:W3CDTF">2022-08-12T08:15:00Z</dcterms:modified>
</cp:coreProperties>
</file>