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559" w:rsidRPr="00CB4B5F" w:rsidRDefault="007C3EE2" w:rsidP="002E2F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4B5F">
        <w:rPr>
          <w:rFonts w:ascii="Times New Roman" w:eastAsia="Times New Roman" w:hAnsi="Times New Roman" w:cs="Times New Roman"/>
          <w:b/>
          <w:sz w:val="28"/>
          <w:szCs w:val="28"/>
        </w:rPr>
        <w:t>АНАЛІЗ РЕГУЛЯТОРНОГО ВПЛИВУ</w:t>
      </w:r>
    </w:p>
    <w:p w:rsidR="00547BDA" w:rsidRPr="00CB4B5F" w:rsidRDefault="00547BDA" w:rsidP="00547BD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B5F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CB4B5F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CB4B5F">
        <w:rPr>
          <w:rFonts w:ascii="Times New Roman" w:hAnsi="Times New Roman" w:cs="Times New Roman"/>
          <w:b/>
          <w:sz w:val="28"/>
          <w:szCs w:val="28"/>
        </w:rPr>
        <w:t xml:space="preserve"> наказу Міністерства фінансів України </w:t>
      </w:r>
    </w:p>
    <w:p w:rsidR="00547BDA" w:rsidRPr="00CB4B5F" w:rsidRDefault="00547BDA" w:rsidP="00547BDA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B5F"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r w:rsidR="00C45150" w:rsidRPr="00CB4B5F">
        <w:rPr>
          <w:rFonts w:ascii="Times New Roman" w:hAnsi="Times New Roman" w:cs="Times New Roman"/>
          <w:b/>
          <w:sz w:val="28"/>
          <w:szCs w:val="28"/>
        </w:rPr>
        <w:t>внесення змін</w:t>
      </w:r>
      <w:r w:rsidRPr="00CB4B5F">
        <w:rPr>
          <w:rFonts w:ascii="Times New Roman" w:hAnsi="Times New Roman" w:cs="Times New Roman"/>
          <w:b/>
          <w:sz w:val="28"/>
          <w:szCs w:val="28"/>
        </w:rPr>
        <w:t xml:space="preserve"> до Порядку проведення конкурсу з визначення уповноваженого банку на здійснення розрахунків з державним бюджетом за митними </w:t>
      </w:r>
      <w:proofErr w:type="spellStart"/>
      <w:r w:rsidRPr="00CB4B5F">
        <w:rPr>
          <w:rFonts w:ascii="Times New Roman" w:hAnsi="Times New Roman" w:cs="Times New Roman"/>
          <w:b/>
          <w:sz w:val="28"/>
          <w:szCs w:val="28"/>
        </w:rPr>
        <w:t>платежами</w:t>
      </w:r>
      <w:proofErr w:type="spellEnd"/>
      <w:r w:rsidRPr="00CB4B5F">
        <w:rPr>
          <w:rFonts w:ascii="Times New Roman" w:hAnsi="Times New Roman" w:cs="Times New Roman"/>
          <w:b/>
          <w:sz w:val="28"/>
          <w:szCs w:val="28"/>
        </w:rPr>
        <w:t>»</w:t>
      </w:r>
    </w:p>
    <w:p w:rsidR="0049796C" w:rsidRPr="00CB4B5F" w:rsidRDefault="0049796C" w:rsidP="00547BDA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4EE6" w:rsidRPr="00CB4B5F" w:rsidRDefault="007C3EE2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b/>
          <w:sz w:val="28"/>
          <w:szCs w:val="28"/>
        </w:rPr>
        <w:t>І. Визначення проблеми</w:t>
      </w:r>
    </w:p>
    <w:p w:rsidR="00DA2720" w:rsidRPr="00CB4B5F" w:rsidRDefault="00DA2720" w:rsidP="00DA2720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наказу Міністерства фінансів України «Про </w:t>
      </w:r>
      <w:r w:rsidR="00C45150" w:rsidRPr="00CB4B5F">
        <w:rPr>
          <w:rFonts w:ascii="Times New Roman" w:hAnsi="Times New Roman" w:cs="Times New Roman"/>
          <w:sz w:val="28"/>
          <w:szCs w:val="28"/>
        </w:rPr>
        <w:t>внесення змін</w:t>
      </w:r>
      <w:r w:rsidRPr="00CB4B5F">
        <w:rPr>
          <w:rFonts w:ascii="Times New Roman" w:hAnsi="Times New Roman" w:cs="Times New Roman"/>
          <w:sz w:val="28"/>
          <w:szCs w:val="28"/>
        </w:rPr>
        <w:t xml:space="preserve"> до Порядку проведення конкурсу з визначення уповноваженого банку на здійснення розрахунків з державним бюджетом за митними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платежами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» (далі –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наказу) розроблено з метою </w:t>
      </w:r>
      <w:r w:rsidRPr="00CB4B5F">
        <w:rPr>
          <w:rFonts w:ascii="Times New Roman" w:hAnsi="Times New Roman"/>
          <w:spacing w:val="-4"/>
          <w:sz w:val="28"/>
          <w:szCs w:val="28"/>
        </w:rPr>
        <w:t xml:space="preserve">удосконалення окремих процесів під час проведення конкурсу з визначення уповноваженого банку на здійснення розрахунків з державним бюджетом за митними </w:t>
      </w:r>
      <w:proofErr w:type="spellStart"/>
      <w:r w:rsidRPr="00CB4B5F">
        <w:rPr>
          <w:rFonts w:ascii="Times New Roman" w:hAnsi="Times New Roman"/>
          <w:spacing w:val="-4"/>
          <w:sz w:val="28"/>
          <w:szCs w:val="28"/>
        </w:rPr>
        <w:t>платежами</w:t>
      </w:r>
      <w:proofErr w:type="spellEnd"/>
      <w:r w:rsidRPr="00CB4B5F">
        <w:rPr>
          <w:rFonts w:ascii="Times New Roman" w:hAnsi="Times New Roman"/>
          <w:sz w:val="28"/>
          <w:szCs w:val="28"/>
        </w:rPr>
        <w:t>.</w:t>
      </w:r>
    </w:p>
    <w:p w:rsidR="00F24B12" w:rsidRPr="00CB4B5F" w:rsidRDefault="00F24B12" w:rsidP="00DA2720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B4B5F">
        <w:rPr>
          <w:rFonts w:ascii="Times New Roman" w:hAnsi="Times New Roman"/>
          <w:sz w:val="28"/>
          <w:szCs w:val="28"/>
        </w:rPr>
        <w:t xml:space="preserve">На сьогодні Порядок проведення конкурсу з визначення уповноваженого банку на здійснення розрахунків з державним бюджетом за митними </w:t>
      </w:r>
      <w:proofErr w:type="spellStart"/>
      <w:r w:rsidRPr="00CB4B5F">
        <w:rPr>
          <w:rFonts w:ascii="Times New Roman" w:hAnsi="Times New Roman"/>
          <w:sz w:val="28"/>
          <w:szCs w:val="28"/>
        </w:rPr>
        <w:t>платежами</w:t>
      </w:r>
      <w:proofErr w:type="spellEnd"/>
      <w:r w:rsidRPr="00CB4B5F">
        <w:rPr>
          <w:rFonts w:ascii="Times New Roman" w:hAnsi="Times New Roman"/>
          <w:sz w:val="28"/>
          <w:szCs w:val="28"/>
        </w:rPr>
        <w:t xml:space="preserve"> (далі – Порядок) затверджено наказом Міністерств</w:t>
      </w:r>
      <w:r w:rsidR="00B31434" w:rsidRPr="00CB4B5F">
        <w:rPr>
          <w:rFonts w:ascii="Times New Roman" w:hAnsi="Times New Roman"/>
          <w:sz w:val="28"/>
          <w:szCs w:val="28"/>
        </w:rPr>
        <w:t>а</w:t>
      </w:r>
      <w:r w:rsidRPr="00CB4B5F">
        <w:rPr>
          <w:rFonts w:ascii="Times New Roman" w:hAnsi="Times New Roman"/>
          <w:sz w:val="28"/>
          <w:szCs w:val="28"/>
        </w:rPr>
        <w:t xml:space="preserve"> фінансів України</w:t>
      </w:r>
      <w:r w:rsidR="00113FC2" w:rsidRPr="00CB4B5F">
        <w:rPr>
          <w:rFonts w:ascii="Times New Roman" w:hAnsi="Times New Roman"/>
          <w:sz w:val="28"/>
          <w:szCs w:val="28"/>
        </w:rPr>
        <w:br/>
        <w:t xml:space="preserve">від </w:t>
      </w:r>
      <w:r w:rsidR="00CE27A9" w:rsidRPr="00CB4B5F">
        <w:rPr>
          <w:rFonts w:ascii="Times New Roman" w:hAnsi="Times New Roman"/>
          <w:sz w:val="28"/>
          <w:szCs w:val="28"/>
        </w:rPr>
        <w:t xml:space="preserve">29 вересня 2014 року № 984, зареєстрованим </w:t>
      </w:r>
      <w:r w:rsidR="00864601" w:rsidRPr="00CB4B5F">
        <w:rPr>
          <w:rFonts w:ascii="Times New Roman" w:hAnsi="Times New Roman"/>
          <w:sz w:val="28"/>
          <w:szCs w:val="28"/>
        </w:rPr>
        <w:t>у</w:t>
      </w:r>
      <w:r w:rsidR="00CE27A9" w:rsidRPr="00CB4B5F">
        <w:rPr>
          <w:rFonts w:ascii="Times New Roman" w:hAnsi="Times New Roman"/>
          <w:sz w:val="28"/>
          <w:szCs w:val="28"/>
        </w:rPr>
        <w:t xml:space="preserve"> Міністерстві юстиції України</w:t>
      </w:r>
      <w:r w:rsidR="007173BE" w:rsidRPr="00CB4B5F">
        <w:rPr>
          <w:rFonts w:ascii="Times New Roman" w:hAnsi="Times New Roman"/>
          <w:sz w:val="28"/>
          <w:szCs w:val="28"/>
        </w:rPr>
        <w:br/>
      </w:r>
      <w:r w:rsidR="00CE27A9" w:rsidRPr="00CB4B5F">
        <w:rPr>
          <w:rFonts w:ascii="Times New Roman" w:hAnsi="Times New Roman"/>
          <w:sz w:val="28"/>
          <w:szCs w:val="28"/>
        </w:rPr>
        <w:t>26 листопада 2014 року за № 1514/26291.</w:t>
      </w:r>
    </w:p>
    <w:p w:rsidR="00DD6EAA" w:rsidRPr="00CB4B5F" w:rsidRDefault="00DD6EAA" w:rsidP="00DD6EAA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B4B5F">
        <w:rPr>
          <w:rFonts w:ascii="Times New Roman" w:hAnsi="Times New Roman"/>
          <w:sz w:val="28"/>
          <w:szCs w:val="28"/>
        </w:rPr>
        <w:t>Порядок затверджено також із врахуванням підпункту 5 пункту 4 Положення про Міністерство фінансів України, затвердженого постановою Кабінету Міністрів України від 20 серпня 2014 року № 375</w:t>
      </w:r>
      <w:r w:rsidR="00BA118D" w:rsidRPr="00CB4B5F">
        <w:rPr>
          <w:rFonts w:ascii="Times New Roman" w:hAnsi="Times New Roman"/>
          <w:sz w:val="28"/>
          <w:szCs w:val="28"/>
        </w:rPr>
        <w:t>,</w:t>
      </w:r>
      <w:r w:rsidRPr="00CB4B5F">
        <w:rPr>
          <w:rFonts w:ascii="Times New Roman" w:hAnsi="Times New Roman"/>
          <w:sz w:val="28"/>
          <w:szCs w:val="28"/>
        </w:rPr>
        <w:t xml:space="preserve"> та Порядку обліку та перерахування до державного бюджету митних та інших платежів, які вносяться до/або під час митного оформлення, затвердженого наказом Міністерства фінансів України від 01 листопада 2017 року № 898, зареєстрованим </w:t>
      </w:r>
      <w:r w:rsidR="00BA118D" w:rsidRPr="00CB4B5F">
        <w:rPr>
          <w:rFonts w:ascii="Times New Roman" w:hAnsi="Times New Roman"/>
          <w:sz w:val="28"/>
          <w:szCs w:val="28"/>
        </w:rPr>
        <w:t>у</w:t>
      </w:r>
      <w:r w:rsidRPr="00CB4B5F">
        <w:rPr>
          <w:rFonts w:ascii="Times New Roman" w:hAnsi="Times New Roman"/>
          <w:sz w:val="28"/>
          <w:szCs w:val="28"/>
        </w:rPr>
        <w:t xml:space="preserve"> Міністерстві юстиції України 23 листопада 2017 року за №</w:t>
      </w:r>
      <w:r w:rsidR="007173BE" w:rsidRPr="00CB4B5F">
        <w:rPr>
          <w:rFonts w:ascii="Times New Roman" w:hAnsi="Times New Roman"/>
          <w:sz w:val="28"/>
          <w:szCs w:val="28"/>
        </w:rPr>
        <w:t> </w:t>
      </w:r>
      <w:r w:rsidRPr="00CB4B5F">
        <w:rPr>
          <w:rFonts w:ascii="Times New Roman" w:hAnsi="Times New Roman"/>
          <w:sz w:val="28"/>
          <w:szCs w:val="28"/>
        </w:rPr>
        <w:t xml:space="preserve">1429/31297 </w:t>
      </w:r>
      <w:r w:rsidR="00864601" w:rsidRPr="00CB4B5F">
        <w:rPr>
          <w:rFonts w:ascii="Times New Roman" w:hAnsi="Times New Roman"/>
          <w:sz w:val="28"/>
          <w:szCs w:val="28"/>
        </w:rPr>
        <w:br/>
      </w:r>
      <w:r w:rsidRPr="00CB4B5F">
        <w:rPr>
          <w:rFonts w:ascii="Times New Roman" w:hAnsi="Times New Roman"/>
          <w:sz w:val="28"/>
          <w:szCs w:val="28"/>
        </w:rPr>
        <w:t>(у редакції наказу Міністерства фінансів України від 25 жовтня</w:t>
      </w:r>
      <w:r w:rsidR="007173BE" w:rsidRPr="00CB4B5F">
        <w:rPr>
          <w:rFonts w:ascii="Times New Roman" w:hAnsi="Times New Roman"/>
          <w:sz w:val="28"/>
          <w:szCs w:val="28"/>
        </w:rPr>
        <w:br/>
      </w:r>
      <w:r w:rsidRPr="00CB4B5F">
        <w:rPr>
          <w:rFonts w:ascii="Times New Roman" w:hAnsi="Times New Roman"/>
          <w:sz w:val="28"/>
          <w:szCs w:val="28"/>
        </w:rPr>
        <w:t>2019 року № 454).</w:t>
      </w:r>
    </w:p>
    <w:p w:rsidR="00F24B12" w:rsidRPr="00CB4B5F" w:rsidRDefault="00B27F34" w:rsidP="00261D67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B4B5F">
        <w:rPr>
          <w:rFonts w:ascii="Times New Roman" w:hAnsi="Times New Roman"/>
          <w:sz w:val="28"/>
          <w:szCs w:val="28"/>
        </w:rPr>
        <w:t>Порядок</w:t>
      </w:r>
      <w:r w:rsidR="002C6B88" w:rsidRPr="00CB4B5F">
        <w:rPr>
          <w:rFonts w:ascii="Times New Roman" w:hAnsi="Times New Roman"/>
          <w:sz w:val="28"/>
          <w:szCs w:val="28"/>
        </w:rPr>
        <w:t xml:space="preserve"> </w:t>
      </w:r>
      <w:r w:rsidR="00DE66AC" w:rsidRPr="00CB4B5F">
        <w:rPr>
          <w:rFonts w:ascii="Times New Roman" w:hAnsi="Times New Roman"/>
          <w:sz w:val="28"/>
          <w:szCs w:val="28"/>
        </w:rPr>
        <w:t xml:space="preserve">забезпечує здійснення розрахунків за митними та іншими </w:t>
      </w:r>
      <w:proofErr w:type="spellStart"/>
      <w:r w:rsidR="00DE66AC" w:rsidRPr="00CB4B5F">
        <w:rPr>
          <w:rFonts w:ascii="Times New Roman" w:hAnsi="Times New Roman"/>
          <w:sz w:val="28"/>
          <w:szCs w:val="28"/>
        </w:rPr>
        <w:t>платежами</w:t>
      </w:r>
      <w:proofErr w:type="spellEnd"/>
      <w:r w:rsidR="00DE66AC" w:rsidRPr="00CB4B5F">
        <w:rPr>
          <w:rFonts w:ascii="Times New Roman" w:hAnsi="Times New Roman"/>
          <w:sz w:val="28"/>
          <w:szCs w:val="28"/>
        </w:rPr>
        <w:t>, які сплачуються в іноземній валюті, готівкою в національній валюті, унесення грошової застави, а також за іншими надходженнями до державного бюджету під час здійснення державної митної справи</w:t>
      </w:r>
      <w:r w:rsidR="00466EF6" w:rsidRPr="00CB4B5F">
        <w:rPr>
          <w:rFonts w:ascii="Times New Roman" w:hAnsi="Times New Roman"/>
          <w:sz w:val="28"/>
          <w:szCs w:val="28"/>
        </w:rPr>
        <w:t>.</w:t>
      </w:r>
    </w:p>
    <w:p w:rsidR="00547BDA" w:rsidRPr="00CB4B5F" w:rsidRDefault="00547BDA" w:rsidP="00261D67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B4B5F">
        <w:rPr>
          <w:rFonts w:ascii="Times New Roman" w:hAnsi="Times New Roman"/>
          <w:sz w:val="28"/>
          <w:szCs w:val="28"/>
        </w:rPr>
        <w:t xml:space="preserve">У листопаді 2024 року Держмитслужбою вжито організаційних заходів </w:t>
      </w:r>
      <w:r w:rsidR="00864601" w:rsidRPr="00CB4B5F">
        <w:rPr>
          <w:rFonts w:ascii="Times New Roman" w:hAnsi="Times New Roman"/>
          <w:sz w:val="28"/>
          <w:szCs w:val="28"/>
        </w:rPr>
        <w:br/>
      </w:r>
      <w:r w:rsidRPr="00CB4B5F">
        <w:rPr>
          <w:rFonts w:ascii="Times New Roman" w:hAnsi="Times New Roman"/>
          <w:sz w:val="28"/>
          <w:szCs w:val="28"/>
        </w:rPr>
        <w:t xml:space="preserve">з метою проведення конкурсу з визначення уповноваженого банку на здійснення розрахунків з державним бюджетом за митними </w:t>
      </w:r>
      <w:proofErr w:type="spellStart"/>
      <w:r w:rsidRPr="00CB4B5F">
        <w:rPr>
          <w:rFonts w:ascii="Times New Roman" w:hAnsi="Times New Roman"/>
          <w:sz w:val="28"/>
          <w:szCs w:val="28"/>
        </w:rPr>
        <w:t>платежами</w:t>
      </w:r>
      <w:proofErr w:type="spellEnd"/>
      <w:r w:rsidRPr="00CB4B5F">
        <w:rPr>
          <w:rFonts w:ascii="Times New Roman" w:hAnsi="Times New Roman"/>
          <w:sz w:val="28"/>
          <w:szCs w:val="28"/>
        </w:rPr>
        <w:t xml:space="preserve"> (далі – Конкурс) згідно з нормами Порядку.</w:t>
      </w:r>
    </w:p>
    <w:p w:rsidR="00547BDA" w:rsidRPr="00CB4B5F" w:rsidRDefault="00CB4B5F" w:rsidP="00261D67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B4B5F">
        <w:rPr>
          <w:rFonts w:ascii="Times New Roman" w:hAnsi="Times New Roman"/>
          <w:sz w:val="28"/>
          <w:szCs w:val="28"/>
        </w:rPr>
        <w:t>Держмитслужбою отримано лише одну конкурсну пропозицію, що з огляду на положення пункту 5.7 розділу V Порядку та відсутність змагальності претендентів, свідчить про те, що</w:t>
      </w:r>
      <w:r w:rsidR="00547BDA" w:rsidRPr="00CB4B5F">
        <w:rPr>
          <w:rFonts w:ascii="Times New Roman" w:hAnsi="Times New Roman"/>
          <w:sz w:val="28"/>
          <w:szCs w:val="28"/>
        </w:rPr>
        <w:t xml:space="preserve"> Конкурс не відбувся.</w:t>
      </w:r>
    </w:p>
    <w:p w:rsidR="00CA55E0" w:rsidRPr="00CB4B5F" w:rsidRDefault="00864601" w:rsidP="00261D67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B4B5F">
        <w:rPr>
          <w:rFonts w:ascii="Times New Roman" w:hAnsi="Times New Roman"/>
          <w:sz w:val="28"/>
          <w:szCs w:val="28"/>
        </w:rPr>
        <w:t>Водночас</w:t>
      </w:r>
      <w:r w:rsidR="00547BDA" w:rsidRPr="00CB4B5F">
        <w:rPr>
          <w:rFonts w:ascii="Times New Roman" w:hAnsi="Times New Roman"/>
          <w:sz w:val="28"/>
          <w:szCs w:val="28"/>
        </w:rPr>
        <w:t xml:space="preserve"> під час організації проведення Конкурсу виявлені певні прогалини в нормах Порядку</w:t>
      </w:r>
      <w:r w:rsidR="00BC1275" w:rsidRPr="00CB4B5F">
        <w:rPr>
          <w:rFonts w:ascii="Times New Roman" w:hAnsi="Times New Roman"/>
          <w:sz w:val="28"/>
          <w:szCs w:val="28"/>
        </w:rPr>
        <w:t>.</w:t>
      </w:r>
      <w:r w:rsidR="00547BDA" w:rsidRPr="00CB4B5F">
        <w:rPr>
          <w:rFonts w:ascii="Times New Roman" w:hAnsi="Times New Roman"/>
          <w:sz w:val="28"/>
          <w:szCs w:val="28"/>
        </w:rPr>
        <w:t xml:space="preserve"> </w:t>
      </w:r>
    </w:p>
    <w:p w:rsidR="00547BDA" w:rsidRPr="00CB4B5F" w:rsidRDefault="00927C4F" w:rsidP="00261D67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B4B5F">
        <w:rPr>
          <w:rFonts w:ascii="Times New Roman" w:hAnsi="Times New Roman"/>
          <w:sz w:val="28"/>
          <w:szCs w:val="28"/>
        </w:rPr>
        <w:t xml:space="preserve">Так, у Порядку </w:t>
      </w:r>
      <w:r w:rsidR="00864601" w:rsidRPr="00CB4B5F">
        <w:rPr>
          <w:rFonts w:ascii="Times New Roman" w:hAnsi="Times New Roman"/>
          <w:sz w:val="28"/>
          <w:szCs w:val="28"/>
        </w:rPr>
        <w:t xml:space="preserve">немає </w:t>
      </w:r>
      <w:r w:rsidR="00547BDA" w:rsidRPr="00CB4B5F">
        <w:rPr>
          <w:rFonts w:ascii="Times New Roman" w:hAnsi="Times New Roman"/>
          <w:sz w:val="28"/>
          <w:szCs w:val="28"/>
        </w:rPr>
        <w:t>положен</w:t>
      </w:r>
      <w:r w:rsidRPr="00CB4B5F">
        <w:rPr>
          <w:rFonts w:ascii="Times New Roman" w:hAnsi="Times New Roman"/>
          <w:sz w:val="28"/>
          <w:szCs w:val="28"/>
        </w:rPr>
        <w:t>ня</w:t>
      </w:r>
      <w:r w:rsidR="00547BDA" w:rsidRPr="00CB4B5F">
        <w:rPr>
          <w:rFonts w:ascii="Times New Roman" w:hAnsi="Times New Roman"/>
          <w:sz w:val="28"/>
          <w:szCs w:val="28"/>
        </w:rPr>
        <w:t xml:space="preserve"> щодо можливості проведення засідання конкурсної комісії дистанційно </w:t>
      </w:r>
      <w:r w:rsidR="00864601" w:rsidRPr="00CB4B5F">
        <w:rPr>
          <w:rFonts w:ascii="Times New Roman" w:hAnsi="Times New Roman"/>
          <w:sz w:val="28"/>
          <w:szCs w:val="28"/>
        </w:rPr>
        <w:t>в</w:t>
      </w:r>
      <w:r w:rsidR="00547BDA" w:rsidRPr="00CB4B5F">
        <w:rPr>
          <w:rFonts w:ascii="Times New Roman" w:hAnsi="Times New Roman"/>
          <w:sz w:val="28"/>
          <w:szCs w:val="28"/>
        </w:rPr>
        <w:t xml:space="preserve"> режимі відеоконференції, створення протоколу засідання конкурсної комісії у формі електронного документа, структури (складу) конкурсної документації, положень, що визначають подальші дії у разі </w:t>
      </w:r>
      <w:r w:rsidR="00547BDA" w:rsidRPr="00CB4B5F">
        <w:rPr>
          <w:rFonts w:ascii="Times New Roman" w:hAnsi="Times New Roman"/>
          <w:sz w:val="28"/>
          <w:szCs w:val="28"/>
        </w:rPr>
        <w:lastRenderedPageBreak/>
        <w:t>визнання конкурсу таким, що не відбувся</w:t>
      </w:r>
      <w:r w:rsidR="00F1601A" w:rsidRPr="00CB4B5F">
        <w:rPr>
          <w:rFonts w:ascii="Times New Roman" w:hAnsi="Times New Roman"/>
          <w:sz w:val="28"/>
          <w:szCs w:val="28"/>
        </w:rPr>
        <w:t>,</w:t>
      </w:r>
      <w:r w:rsidR="00547BDA" w:rsidRPr="00CB4B5F">
        <w:rPr>
          <w:rFonts w:ascii="Times New Roman" w:hAnsi="Times New Roman"/>
          <w:sz w:val="28"/>
          <w:szCs w:val="28"/>
        </w:rPr>
        <w:t xml:space="preserve"> тощо.</w:t>
      </w:r>
      <w:r w:rsidR="00261D67" w:rsidRPr="00CB4B5F">
        <w:rPr>
          <w:rFonts w:ascii="Times New Roman" w:hAnsi="Times New Roman"/>
          <w:sz w:val="28"/>
          <w:szCs w:val="28"/>
        </w:rPr>
        <w:t xml:space="preserve"> </w:t>
      </w:r>
      <w:r w:rsidR="009D67D5" w:rsidRPr="00CB4B5F">
        <w:rPr>
          <w:rFonts w:ascii="Times New Roman" w:hAnsi="Times New Roman"/>
          <w:sz w:val="28"/>
          <w:szCs w:val="28"/>
        </w:rPr>
        <w:t xml:space="preserve">Крім того, </w:t>
      </w:r>
      <w:r w:rsidR="00261D67" w:rsidRPr="00CB4B5F">
        <w:rPr>
          <w:rFonts w:ascii="Times New Roman" w:hAnsi="Times New Roman"/>
          <w:sz w:val="28"/>
          <w:szCs w:val="28"/>
        </w:rPr>
        <w:t>Порядок</w:t>
      </w:r>
      <w:r w:rsidR="00DA6B29" w:rsidRPr="00CB4B5F">
        <w:rPr>
          <w:rFonts w:ascii="Times New Roman" w:hAnsi="Times New Roman"/>
          <w:sz w:val="28"/>
          <w:szCs w:val="28"/>
        </w:rPr>
        <w:t xml:space="preserve"> </w:t>
      </w:r>
      <w:r w:rsidR="00261D67" w:rsidRPr="00CB4B5F">
        <w:rPr>
          <w:rFonts w:ascii="Times New Roman" w:hAnsi="Times New Roman"/>
          <w:sz w:val="28"/>
          <w:szCs w:val="28"/>
        </w:rPr>
        <w:t xml:space="preserve"> не містить положення щодо строку, на який визначається уповноважений банк.</w:t>
      </w:r>
    </w:p>
    <w:p w:rsidR="00913B58" w:rsidRPr="00CB4B5F" w:rsidRDefault="00A438C0" w:rsidP="00913B58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B4B5F">
        <w:rPr>
          <w:rFonts w:ascii="Times New Roman" w:hAnsi="Times New Roman"/>
          <w:sz w:val="28"/>
          <w:szCs w:val="28"/>
        </w:rPr>
        <w:t xml:space="preserve">Також </w:t>
      </w:r>
      <w:proofErr w:type="spellStart"/>
      <w:r w:rsidR="00913B58" w:rsidRPr="00CB4B5F">
        <w:rPr>
          <w:rFonts w:ascii="Times New Roman" w:hAnsi="Times New Roman"/>
          <w:sz w:val="28"/>
          <w:szCs w:val="28"/>
        </w:rPr>
        <w:t>переглянуто</w:t>
      </w:r>
      <w:proofErr w:type="spellEnd"/>
      <w:r w:rsidR="00913B58" w:rsidRPr="00CB4B5F">
        <w:rPr>
          <w:rFonts w:ascii="Times New Roman" w:hAnsi="Times New Roman"/>
          <w:sz w:val="28"/>
          <w:szCs w:val="28"/>
        </w:rPr>
        <w:t xml:space="preserve"> положення Порядку в частині переліку документів, який мають надати банки для участі </w:t>
      </w:r>
      <w:r w:rsidR="00864601" w:rsidRPr="00CB4B5F">
        <w:rPr>
          <w:rFonts w:ascii="Times New Roman" w:hAnsi="Times New Roman"/>
          <w:sz w:val="28"/>
          <w:szCs w:val="28"/>
        </w:rPr>
        <w:t>в</w:t>
      </w:r>
      <w:r w:rsidR="00913B58" w:rsidRPr="00CB4B5F">
        <w:rPr>
          <w:rFonts w:ascii="Times New Roman" w:hAnsi="Times New Roman"/>
          <w:sz w:val="28"/>
          <w:szCs w:val="28"/>
        </w:rPr>
        <w:t xml:space="preserve"> Конкурсі</w:t>
      </w:r>
      <w:r w:rsidR="00864601" w:rsidRPr="00CB4B5F">
        <w:rPr>
          <w:rFonts w:ascii="Times New Roman" w:hAnsi="Times New Roman"/>
          <w:sz w:val="28"/>
          <w:szCs w:val="28"/>
        </w:rPr>
        <w:t xml:space="preserve">, зокрема </w:t>
      </w:r>
      <w:r w:rsidR="00913B58" w:rsidRPr="00CB4B5F">
        <w:rPr>
          <w:rFonts w:ascii="Times New Roman" w:hAnsi="Times New Roman"/>
          <w:sz w:val="28"/>
          <w:szCs w:val="28"/>
        </w:rPr>
        <w:t>виключено окремі документи, отже</w:t>
      </w:r>
      <w:r w:rsidR="00F1601A" w:rsidRPr="00CB4B5F">
        <w:rPr>
          <w:rFonts w:ascii="Times New Roman" w:hAnsi="Times New Roman"/>
          <w:sz w:val="28"/>
          <w:szCs w:val="28"/>
        </w:rPr>
        <w:t>,</w:t>
      </w:r>
      <w:r w:rsidR="00913B58" w:rsidRPr="00CB4B5F">
        <w:rPr>
          <w:rFonts w:ascii="Times New Roman" w:hAnsi="Times New Roman"/>
          <w:sz w:val="28"/>
          <w:szCs w:val="28"/>
        </w:rPr>
        <w:t xml:space="preserve"> зменшено навантаження під час підготовки до участі </w:t>
      </w:r>
      <w:r w:rsidR="00864601" w:rsidRPr="00CB4B5F">
        <w:rPr>
          <w:rFonts w:ascii="Times New Roman" w:hAnsi="Times New Roman"/>
          <w:sz w:val="28"/>
          <w:szCs w:val="28"/>
        </w:rPr>
        <w:t>в</w:t>
      </w:r>
      <w:r w:rsidR="00913B58" w:rsidRPr="00CB4B5F">
        <w:rPr>
          <w:rFonts w:ascii="Times New Roman" w:hAnsi="Times New Roman"/>
          <w:sz w:val="28"/>
          <w:szCs w:val="28"/>
        </w:rPr>
        <w:t xml:space="preserve"> Конкурсі.</w:t>
      </w:r>
    </w:p>
    <w:p w:rsidR="00547BDA" w:rsidRPr="00CB4B5F" w:rsidRDefault="00864601" w:rsidP="00261D67">
      <w:pPr>
        <w:spacing w:line="240" w:lineRule="auto"/>
        <w:ind w:firstLine="568"/>
        <w:jc w:val="both"/>
        <w:rPr>
          <w:rFonts w:ascii="Times New Roman" w:hAnsi="Times New Roman"/>
          <w:spacing w:val="-4"/>
          <w:sz w:val="28"/>
          <w:szCs w:val="28"/>
        </w:rPr>
      </w:pPr>
      <w:r w:rsidRPr="00CB4B5F">
        <w:rPr>
          <w:rFonts w:ascii="Times New Roman" w:hAnsi="Times New Roman"/>
          <w:sz w:val="28"/>
          <w:szCs w:val="28"/>
        </w:rPr>
        <w:t xml:space="preserve">З огляду на </w:t>
      </w:r>
      <w:r w:rsidR="00547BDA" w:rsidRPr="00CB4B5F">
        <w:rPr>
          <w:rFonts w:ascii="Times New Roman" w:hAnsi="Times New Roman"/>
          <w:sz w:val="28"/>
          <w:szCs w:val="28"/>
        </w:rPr>
        <w:t xml:space="preserve">зазначене, </w:t>
      </w:r>
      <w:r w:rsidRPr="00CB4B5F">
        <w:rPr>
          <w:rFonts w:ascii="Times New Roman" w:hAnsi="Times New Roman"/>
          <w:sz w:val="28"/>
          <w:szCs w:val="28"/>
        </w:rPr>
        <w:t>за</w:t>
      </w:r>
      <w:r w:rsidR="004C4C2B" w:rsidRPr="00CB4B5F">
        <w:rPr>
          <w:rFonts w:ascii="Times New Roman" w:hAnsi="Times New Roman"/>
          <w:sz w:val="28"/>
          <w:szCs w:val="28"/>
        </w:rPr>
        <w:t>пропон</w:t>
      </w:r>
      <w:r w:rsidRPr="00CB4B5F">
        <w:rPr>
          <w:rFonts w:ascii="Times New Roman" w:hAnsi="Times New Roman"/>
          <w:sz w:val="28"/>
          <w:szCs w:val="28"/>
        </w:rPr>
        <w:t>овано</w:t>
      </w:r>
      <w:r w:rsidR="00547BDA" w:rsidRPr="00CB4B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7BDA" w:rsidRPr="00CB4B5F">
        <w:rPr>
          <w:rFonts w:ascii="Times New Roman" w:hAnsi="Times New Roman"/>
          <w:sz w:val="28"/>
          <w:szCs w:val="28"/>
        </w:rPr>
        <w:t>внес</w:t>
      </w:r>
      <w:r w:rsidRPr="00CB4B5F">
        <w:rPr>
          <w:rFonts w:ascii="Times New Roman" w:hAnsi="Times New Roman"/>
          <w:sz w:val="28"/>
          <w:szCs w:val="28"/>
        </w:rPr>
        <w:t>ти</w:t>
      </w:r>
      <w:proofErr w:type="spellEnd"/>
      <w:r w:rsidR="00261D67" w:rsidRPr="00CB4B5F">
        <w:rPr>
          <w:rFonts w:ascii="Times New Roman" w:hAnsi="Times New Roman"/>
          <w:sz w:val="28"/>
          <w:szCs w:val="28"/>
        </w:rPr>
        <w:t xml:space="preserve"> </w:t>
      </w:r>
      <w:r w:rsidR="00547BDA" w:rsidRPr="00CB4B5F">
        <w:rPr>
          <w:rFonts w:ascii="Times New Roman" w:hAnsi="Times New Roman"/>
          <w:sz w:val="28"/>
          <w:szCs w:val="28"/>
        </w:rPr>
        <w:t>змін</w:t>
      </w:r>
      <w:r w:rsidRPr="00CB4B5F">
        <w:rPr>
          <w:rFonts w:ascii="Times New Roman" w:hAnsi="Times New Roman"/>
          <w:sz w:val="28"/>
          <w:szCs w:val="28"/>
        </w:rPr>
        <w:t>и</w:t>
      </w:r>
      <w:r w:rsidR="00547BDA" w:rsidRPr="00CB4B5F">
        <w:rPr>
          <w:rFonts w:ascii="Times New Roman" w:hAnsi="Times New Roman"/>
          <w:sz w:val="28"/>
          <w:szCs w:val="28"/>
        </w:rPr>
        <w:t xml:space="preserve"> до Порядку</w:t>
      </w:r>
      <w:r w:rsidR="00F1601A" w:rsidRPr="00CB4B5F">
        <w:rPr>
          <w:rFonts w:ascii="Times New Roman" w:hAnsi="Times New Roman"/>
          <w:sz w:val="28"/>
          <w:szCs w:val="28"/>
        </w:rPr>
        <w:t xml:space="preserve"> </w:t>
      </w:r>
      <w:r w:rsidRPr="00CB4B5F">
        <w:rPr>
          <w:rFonts w:ascii="Times New Roman" w:hAnsi="Times New Roman"/>
          <w:sz w:val="28"/>
          <w:szCs w:val="28"/>
        </w:rPr>
        <w:t xml:space="preserve">щодо </w:t>
      </w:r>
      <w:r w:rsidR="00547BDA" w:rsidRPr="00CB4B5F">
        <w:rPr>
          <w:rFonts w:ascii="Times New Roman" w:hAnsi="Times New Roman"/>
          <w:sz w:val="28"/>
          <w:szCs w:val="28"/>
        </w:rPr>
        <w:t>організаці</w:t>
      </w:r>
      <w:r w:rsidR="00682041" w:rsidRPr="00CB4B5F">
        <w:rPr>
          <w:rFonts w:ascii="Times New Roman" w:hAnsi="Times New Roman"/>
          <w:sz w:val="28"/>
          <w:szCs w:val="28"/>
        </w:rPr>
        <w:t>ї</w:t>
      </w:r>
      <w:r w:rsidR="006B3984" w:rsidRPr="00CB4B5F">
        <w:rPr>
          <w:rFonts w:ascii="Times New Roman" w:hAnsi="Times New Roman"/>
          <w:sz w:val="28"/>
          <w:szCs w:val="28"/>
        </w:rPr>
        <w:t xml:space="preserve"> проведення</w:t>
      </w:r>
      <w:r w:rsidR="00547BDA" w:rsidRPr="00CB4B5F">
        <w:rPr>
          <w:rFonts w:ascii="Times New Roman" w:hAnsi="Times New Roman"/>
          <w:sz w:val="28"/>
          <w:szCs w:val="28"/>
        </w:rPr>
        <w:t xml:space="preserve"> Конкурсу</w:t>
      </w:r>
      <w:r w:rsidR="00C26DBD" w:rsidRPr="00CB4B5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4B5F">
        <w:rPr>
          <w:rFonts w:ascii="Times New Roman" w:hAnsi="Times New Roman"/>
          <w:spacing w:val="-4"/>
          <w:sz w:val="28"/>
          <w:szCs w:val="28"/>
        </w:rPr>
        <w:t xml:space="preserve">та </w:t>
      </w:r>
      <w:r w:rsidR="00C26DBD" w:rsidRPr="00CB4B5F">
        <w:rPr>
          <w:rFonts w:ascii="Times New Roman" w:hAnsi="Times New Roman"/>
          <w:spacing w:val="-4"/>
          <w:sz w:val="28"/>
          <w:szCs w:val="28"/>
        </w:rPr>
        <w:t>викла</w:t>
      </w:r>
      <w:r w:rsidRPr="00CB4B5F">
        <w:rPr>
          <w:rFonts w:ascii="Times New Roman" w:hAnsi="Times New Roman"/>
          <w:spacing w:val="-4"/>
          <w:sz w:val="28"/>
          <w:szCs w:val="28"/>
        </w:rPr>
        <w:t>сти</w:t>
      </w:r>
      <w:r w:rsidR="00C26DBD" w:rsidRPr="00CB4B5F">
        <w:rPr>
          <w:rFonts w:ascii="Times New Roman" w:hAnsi="Times New Roman"/>
          <w:spacing w:val="-4"/>
          <w:sz w:val="28"/>
          <w:szCs w:val="28"/>
        </w:rPr>
        <w:t xml:space="preserve"> його </w:t>
      </w:r>
      <w:r w:rsidRPr="00CB4B5F">
        <w:rPr>
          <w:rFonts w:ascii="Times New Roman" w:hAnsi="Times New Roman"/>
          <w:spacing w:val="-4"/>
          <w:sz w:val="28"/>
          <w:szCs w:val="28"/>
        </w:rPr>
        <w:t>в</w:t>
      </w:r>
      <w:r w:rsidR="00C26DBD" w:rsidRPr="00CB4B5F">
        <w:rPr>
          <w:rFonts w:ascii="Times New Roman" w:hAnsi="Times New Roman"/>
          <w:spacing w:val="-4"/>
          <w:sz w:val="28"/>
          <w:szCs w:val="28"/>
        </w:rPr>
        <w:t xml:space="preserve"> новій редакції.</w:t>
      </w:r>
    </w:p>
    <w:p w:rsidR="0049796C" w:rsidRPr="00CB4B5F" w:rsidRDefault="0049796C" w:rsidP="001E54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8DC" w:rsidRPr="00CB4B5F" w:rsidRDefault="007A78DC" w:rsidP="002E2F2F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Основні групи, на які </w:t>
      </w:r>
      <w:r w:rsidR="00F1601A" w:rsidRPr="00CB4B5F">
        <w:rPr>
          <w:rFonts w:ascii="Times New Roman" w:eastAsia="Times New Roman" w:hAnsi="Times New Roman" w:cs="Times New Roman"/>
          <w:sz w:val="28"/>
          <w:szCs w:val="28"/>
        </w:rPr>
        <w:t xml:space="preserve">впливає 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>проблема:</w:t>
      </w:r>
    </w:p>
    <w:tbl>
      <w:tblPr>
        <w:tblStyle w:val="a5"/>
        <w:tblW w:w="959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833"/>
        <w:gridCol w:w="851"/>
        <w:gridCol w:w="912"/>
      </w:tblGrid>
      <w:tr w:rsidR="00CB4B5F" w:rsidRPr="00CB4B5F" w:rsidTr="004A1865">
        <w:trPr>
          <w:trHeight w:val="335"/>
        </w:trPr>
        <w:tc>
          <w:tcPr>
            <w:tcW w:w="78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78DC" w:rsidRPr="00CB4B5F" w:rsidRDefault="007A78DC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Групи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78DC" w:rsidRPr="00CB4B5F" w:rsidRDefault="007A78DC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78DC" w:rsidRPr="00CB4B5F" w:rsidRDefault="007A78DC" w:rsidP="002E2F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Ні</w:t>
            </w:r>
          </w:p>
        </w:tc>
      </w:tr>
      <w:tr w:rsidR="00CB4B5F" w:rsidRPr="00CB4B5F" w:rsidTr="004A1865">
        <w:trPr>
          <w:trHeight w:val="145"/>
        </w:trPr>
        <w:tc>
          <w:tcPr>
            <w:tcW w:w="7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8DC" w:rsidRPr="00CB4B5F" w:rsidRDefault="00B44FAC" w:rsidP="00F160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Держава </w:t>
            </w:r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1B10AD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особі Держмитслужби як </w:t>
            </w:r>
            <w:r w:rsidR="00261D67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організатор</w:t>
            </w:r>
            <w:r w:rsidR="001B10AD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="00261D67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C3DF7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Конкурсу</w:t>
            </w:r>
            <w:r w:rsidR="00644289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8DC" w:rsidRPr="00CB4B5F" w:rsidRDefault="007C7616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8DC" w:rsidRPr="00CB4B5F" w:rsidRDefault="007C7616" w:rsidP="002E2F2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CB4B5F" w:rsidRPr="00CB4B5F" w:rsidTr="004A1865">
        <w:trPr>
          <w:trHeight w:val="283"/>
        </w:trPr>
        <w:tc>
          <w:tcPr>
            <w:tcW w:w="7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8DC" w:rsidRPr="00CB4B5F" w:rsidRDefault="00E466B0" w:rsidP="00F1601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Суб’єкти господарювання </w:t>
            </w:r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B44FAC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банки</w:t>
            </w:r>
            <w:r w:rsidR="001A3A74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як</w:t>
            </w:r>
            <w:r w:rsidR="00AC3DF7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учасники Конкурсу</w:t>
            </w:r>
            <w:r w:rsidR="00201ECA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8DC" w:rsidRPr="00CB4B5F" w:rsidRDefault="007C7616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B4B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8DC" w:rsidRPr="00CB4B5F" w:rsidRDefault="007C7616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7A78DC" w:rsidRPr="00CB4B5F" w:rsidTr="004A1865">
        <w:trPr>
          <w:trHeight w:val="279"/>
        </w:trPr>
        <w:tc>
          <w:tcPr>
            <w:tcW w:w="7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8DC" w:rsidRPr="00CB4B5F" w:rsidRDefault="00C3500D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Громадяни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8DC" w:rsidRPr="00CB4B5F" w:rsidRDefault="007C7616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78DC" w:rsidRPr="00CB4B5F" w:rsidRDefault="00810011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+</w:t>
            </w:r>
          </w:p>
        </w:tc>
      </w:tr>
    </w:tbl>
    <w:p w:rsidR="007A78DC" w:rsidRPr="00CB4B5F" w:rsidRDefault="007A78DC" w:rsidP="002E2F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8AB" w:rsidRPr="00CB4B5F" w:rsidRDefault="00CD4EE6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b/>
          <w:sz w:val="28"/>
          <w:szCs w:val="28"/>
        </w:rPr>
        <w:t>ІІ. Цілі державного регулювання</w:t>
      </w:r>
    </w:p>
    <w:p w:rsidR="00834E27" w:rsidRPr="00CB4B5F" w:rsidRDefault="00864601" w:rsidP="002E2F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>Метою</w:t>
      </w:r>
      <w:r w:rsidR="00140CFF" w:rsidRPr="00CB4B5F">
        <w:rPr>
          <w:rFonts w:ascii="Times New Roman" w:hAnsi="Times New Roman" w:cs="Times New Roman"/>
          <w:sz w:val="28"/>
          <w:szCs w:val="28"/>
        </w:rPr>
        <w:t xml:space="preserve"> державного регулювання </w:t>
      </w:r>
      <w:r w:rsidR="009359A0" w:rsidRPr="00CB4B5F">
        <w:rPr>
          <w:rFonts w:ascii="Times New Roman" w:hAnsi="Times New Roman" w:cs="Times New Roman"/>
          <w:sz w:val="28"/>
          <w:szCs w:val="28"/>
        </w:rPr>
        <w:t xml:space="preserve">є </w:t>
      </w:r>
      <w:r w:rsidR="009F3F01" w:rsidRPr="00CB4B5F">
        <w:rPr>
          <w:rFonts w:ascii="Times New Roman" w:hAnsi="Times New Roman" w:cs="Times New Roman"/>
          <w:sz w:val="28"/>
          <w:szCs w:val="28"/>
        </w:rPr>
        <w:t xml:space="preserve">надання чітко </w:t>
      </w:r>
      <w:r w:rsidR="009F3F01" w:rsidRPr="00CB4B5F">
        <w:rPr>
          <w:rFonts w:ascii="Times New Roman" w:hAnsi="Times New Roman" w:cs="Times New Roman"/>
          <w:bCs/>
          <w:sz w:val="28"/>
          <w:szCs w:val="28"/>
        </w:rPr>
        <w:t>визначених</w:t>
      </w:r>
      <w:r w:rsidR="00641590" w:rsidRPr="00CB4B5F">
        <w:rPr>
          <w:rFonts w:ascii="Times New Roman" w:hAnsi="Times New Roman" w:cs="Times New Roman"/>
          <w:bCs/>
          <w:sz w:val="28"/>
          <w:szCs w:val="28"/>
        </w:rPr>
        <w:t xml:space="preserve"> умов </w:t>
      </w:r>
      <w:r w:rsidR="00AC3DF7" w:rsidRPr="00CB4B5F">
        <w:rPr>
          <w:rFonts w:ascii="Times New Roman" w:hAnsi="Times New Roman" w:cs="Times New Roman"/>
          <w:bCs/>
          <w:sz w:val="28"/>
          <w:szCs w:val="28"/>
        </w:rPr>
        <w:t>з</w:t>
      </w:r>
      <w:r w:rsidR="00641590" w:rsidRPr="00CB4B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DF7" w:rsidRPr="00CB4B5F">
        <w:rPr>
          <w:rFonts w:ascii="Times New Roman" w:hAnsi="Times New Roman" w:cs="Times New Roman"/>
          <w:bCs/>
          <w:sz w:val="28"/>
          <w:szCs w:val="28"/>
        </w:rPr>
        <w:t>організаці</w:t>
      </w:r>
      <w:r w:rsidR="009F3F01" w:rsidRPr="00CB4B5F">
        <w:rPr>
          <w:rFonts w:ascii="Times New Roman" w:hAnsi="Times New Roman" w:cs="Times New Roman"/>
          <w:bCs/>
          <w:sz w:val="28"/>
          <w:szCs w:val="28"/>
        </w:rPr>
        <w:t>ї проведення</w:t>
      </w:r>
      <w:r w:rsidR="00AC3DF7" w:rsidRPr="00CB4B5F">
        <w:rPr>
          <w:rFonts w:ascii="Times New Roman" w:hAnsi="Times New Roman" w:cs="Times New Roman"/>
          <w:bCs/>
          <w:sz w:val="28"/>
          <w:szCs w:val="28"/>
        </w:rPr>
        <w:t xml:space="preserve"> Конкурсу</w:t>
      </w:r>
      <w:r w:rsidR="00A32148" w:rsidRPr="00CB4B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DF7" w:rsidRPr="00CB4B5F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r w:rsidR="00281643" w:rsidRPr="00CB4B5F">
        <w:rPr>
          <w:rFonts w:ascii="Times New Roman" w:hAnsi="Times New Roman" w:cs="Times New Roman"/>
          <w:bCs/>
          <w:sz w:val="28"/>
          <w:szCs w:val="28"/>
        </w:rPr>
        <w:t>подальш</w:t>
      </w:r>
      <w:r w:rsidR="00373906" w:rsidRPr="00CB4B5F">
        <w:rPr>
          <w:rFonts w:ascii="Times New Roman" w:hAnsi="Times New Roman" w:cs="Times New Roman"/>
          <w:bCs/>
          <w:sz w:val="28"/>
          <w:szCs w:val="28"/>
        </w:rPr>
        <w:t>е</w:t>
      </w:r>
      <w:r w:rsidR="00281643" w:rsidRPr="00CB4B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DF7" w:rsidRPr="00CB4B5F">
        <w:rPr>
          <w:rFonts w:ascii="Times New Roman" w:hAnsi="Times New Roman" w:cs="Times New Roman"/>
          <w:bCs/>
          <w:sz w:val="28"/>
          <w:szCs w:val="28"/>
        </w:rPr>
        <w:t>визначення переможця</w:t>
      </w:r>
      <w:r w:rsidR="00281643" w:rsidRPr="00CB4B5F">
        <w:rPr>
          <w:rFonts w:ascii="Times New Roman" w:hAnsi="Times New Roman" w:cs="Times New Roman"/>
          <w:bCs/>
          <w:sz w:val="28"/>
          <w:szCs w:val="28"/>
        </w:rPr>
        <w:t xml:space="preserve"> Конкурсу</w:t>
      </w:r>
      <w:r w:rsidR="00834E27" w:rsidRPr="00CB4B5F">
        <w:rPr>
          <w:rFonts w:ascii="Times New Roman" w:hAnsi="Times New Roman" w:cs="Times New Roman"/>
          <w:sz w:val="28"/>
          <w:szCs w:val="28"/>
        </w:rPr>
        <w:t>.</w:t>
      </w:r>
    </w:p>
    <w:p w:rsidR="00477F59" w:rsidRPr="00CB4B5F" w:rsidRDefault="00477F59" w:rsidP="002E2F2F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B4B5F">
        <w:rPr>
          <w:rFonts w:ascii="Times New Roman" w:hAnsi="Times New Roman" w:cs="Times New Roman"/>
          <w:spacing w:val="-4"/>
          <w:sz w:val="28"/>
          <w:szCs w:val="28"/>
        </w:rPr>
        <w:t xml:space="preserve">Крім того, </w:t>
      </w:r>
      <w:proofErr w:type="spellStart"/>
      <w:r w:rsidRPr="00CB4B5F">
        <w:rPr>
          <w:rFonts w:ascii="Times New Roman" w:hAnsi="Times New Roman" w:cs="Times New Roman"/>
          <w:spacing w:val="-4"/>
          <w:sz w:val="28"/>
          <w:szCs w:val="28"/>
        </w:rPr>
        <w:t>про</w:t>
      </w:r>
      <w:r w:rsidR="006D20C7" w:rsidRPr="00CB4B5F">
        <w:rPr>
          <w:rFonts w:ascii="Times New Roman" w:hAnsi="Times New Roman" w:cs="Times New Roman"/>
          <w:spacing w:val="-4"/>
          <w:sz w:val="28"/>
          <w:szCs w:val="28"/>
        </w:rPr>
        <w:t>є</w:t>
      </w:r>
      <w:r w:rsidRPr="00CB4B5F">
        <w:rPr>
          <w:rFonts w:ascii="Times New Roman" w:hAnsi="Times New Roman" w:cs="Times New Roman"/>
          <w:spacing w:val="-4"/>
          <w:sz w:val="28"/>
          <w:szCs w:val="28"/>
        </w:rPr>
        <w:t>ктом</w:t>
      </w:r>
      <w:proofErr w:type="spellEnd"/>
      <w:r w:rsidRPr="00CB4B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0D1888" w:rsidRPr="00CB4B5F">
        <w:rPr>
          <w:rFonts w:ascii="Times New Roman" w:hAnsi="Times New Roman" w:cs="Times New Roman"/>
          <w:spacing w:val="-4"/>
          <w:sz w:val="28"/>
          <w:szCs w:val="28"/>
        </w:rPr>
        <w:t>акта</w:t>
      </w:r>
      <w:proofErr w:type="spellEnd"/>
      <w:r w:rsidRPr="00CB4B5F">
        <w:rPr>
          <w:rFonts w:ascii="Times New Roman" w:hAnsi="Times New Roman" w:cs="Times New Roman"/>
          <w:spacing w:val="-4"/>
          <w:sz w:val="28"/>
          <w:szCs w:val="28"/>
        </w:rPr>
        <w:t xml:space="preserve"> врегульовано питання </w:t>
      </w:r>
      <w:r w:rsidR="000D1888" w:rsidRPr="00CB4B5F">
        <w:rPr>
          <w:rFonts w:ascii="Times New Roman" w:hAnsi="Times New Roman" w:cs="Times New Roman"/>
          <w:spacing w:val="-4"/>
          <w:sz w:val="28"/>
          <w:szCs w:val="28"/>
        </w:rPr>
        <w:t>щодо строку, на який визначається уповноважений банк.</w:t>
      </w:r>
    </w:p>
    <w:p w:rsidR="00DE2D0E" w:rsidRPr="00CB4B5F" w:rsidRDefault="00DE2D0E" w:rsidP="002E2F2F">
      <w:pPr>
        <w:pStyle w:val="HTM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34E27" w:rsidRPr="00CB4B5F" w:rsidRDefault="00DE60E7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b/>
          <w:sz w:val="28"/>
          <w:szCs w:val="28"/>
        </w:rPr>
        <w:t>ІІІ. Визначення та оцінка альтернативних способів досягнення цілей</w:t>
      </w:r>
    </w:p>
    <w:p w:rsidR="00E17BBE" w:rsidRPr="00CB4B5F" w:rsidRDefault="00E17BBE" w:rsidP="002E2F2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C55" w:rsidRPr="00CB4B5F" w:rsidRDefault="00AC3C55" w:rsidP="006A239E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Визначення альтернативних способів</w:t>
      </w:r>
    </w:p>
    <w:tbl>
      <w:tblPr>
        <w:tblStyle w:val="a6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972"/>
        <w:gridCol w:w="6659"/>
      </w:tblGrid>
      <w:tr w:rsidR="00CB4B5F" w:rsidRPr="00CB4B5F" w:rsidTr="004A1865">
        <w:trPr>
          <w:trHeight w:val="520"/>
        </w:trPr>
        <w:tc>
          <w:tcPr>
            <w:tcW w:w="154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3C55" w:rsidRPr="00CB4B5F" w:rsidRDefault="00AC3C55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Вид альтернативи</w:t>
            </w:r>
          </w:p>
        </w:tc>
        <w:tc>
          <w:tcPr>
            <w:tcW w:w="345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3C55" w:rsidRPr="00CB4B5F" w:rsidRDefault="00AC3C55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Опис альтернативи</w:t>
            </w:r>
          </w:p>
        </w:tc>
      </w:tr>
      <w:tr w:rsidR="00CB4B5F" w:rsidRPr="00CB4B5F" w:rsidTr="004A1865">
        <w:trPr>
          <w:trHeight w:val="311"/>
        </w:trPr>
        <w:tc>
          <w:tcPr>
            <w:tcW w:w="15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C55" w:rsidRPr="00CB4B5F" w:rsidRDefault="00AC3C55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345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C55" w:rsidRPr="00CB4B5F" w:rsidRDefault="003E0D39" w:rsidP="004D55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Залишення </w:t>
            </w:r>
            <w:r w:rsidR="004D5514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чинного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нормативно-правового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</w:tr>
      <w:tr w:rsidR="00AC3C55" w:rsidRPr="00CB4B5F" w:rsidTr="004A1865">
        <w:trPr>
          <w:trHeight w:val="347"/>
        </w:trPr>
        <w:tc>
          <w:tcPr>
            <w:tcW w:w="15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C55" w:rsidRPr="00CB4B5F" w:rsidRDefault="00F80A1B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Альтернатива 2 </w:t>
            </w:r>
          </w:p>
        </w:tc>
        <w:tc>
          <w:tcPr>
            <w:tcW w:w="345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C55" w:rsidRPr="00CB4B5F" w:rsidRDefault="003E0D39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Прийняття розробленого нормативно-правового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</w:tr>
    </w:tbl>
    <w:p w:rsidR="0049734E" w:rsidRPr="00CB4B5F" w:rsidRDefault="0049734E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3C55" w:rsidRPr="00CB4B5F" w:rsidRDefault="00AC3C55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2. Оцінка впливу на сферу інтересів держави</w:t>
      </w:r>
    </w:p>
    <w:tbl>
      <w:tblPr>
        <w:tblStyle w:val="a7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406"/>
        <w:gridCol w:w="2978"/>
        <w:gridCol w:w="4247"/>
      </w:tblGrid>
      <w:tr w:rsidR="00CB4B5F" w:rsidRPr="00CB4B5F" w:rsidTr="004A1865">
        <w:trPr>
          <w:trHeight w:val="132"/>
        </w:trPr>
        <w:tc>
          <w:tcPr>
            <w:tcW w:w="124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3C55" w:rsidRPr="00CB4B5F" w:rsidRDefault="00AC3C55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Вид альтернативи</w:t>
            </w:r>
          </w:p>
        </w:tc>
        <w:tc>
          <w:tcPr>
            <w:tcW w:w="154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3C55" w:rsidRPr="00CB4B5F" w:rsidRDefault="00AC3C55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Вигоди</w:t>
            </w:r>
          </w:p>
        </w:tc>
        <w:tc>
          <w:tcPr>
            <w:tcW w:w="220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3C55" w:rsidRPr="00CB4B5F" w:rsidRDefault="00AC3C55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</w:p>
        </w:tc>
      </w:tr>
      <w:tr w:rsidR="00CB4B5F" w:rsidRPr="00CB4B5F" w:rsidTr="004A1865">
        <w:trPr>
          <w:trHeight w:val="745"/>
        </w:trPr>
        <w:tc>
          <w:tcPr>
            <w:tcW w:w="12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C55" w:rsidRPr="00CB4B5F" w:rsidRDefault="00AC3C55" w:rsidP="004A18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15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21CD" w:rsidRPr="00CB4B5F" w:rsidRDefault="00864601" w:rsidP="004A18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r w:rsidR="00176752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, оскільки</w:t>
            </w:r>
            <w:r w:rsidR="009D67D5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76752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21C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як засвідчила практика</w:t>
            </w:r>
            <w:r w:rsidR="009D67D5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E21C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Порядок не враховує певні особливості</w:t>
            </w:r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E21C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пов’язані з організацією Конкурсу, зокрема </w:t>
            </w:r>
            <w:r w:rsidR="00B27E6E" w:rsidRPr="00CB4B5F">
              <w:rPr>
                <w:rFonts w:ascii="Times New Roman" w:hAnsi="Times New Roman"/>
                <w:sz w:val="28"/>
                <w:szCs w:val="28"/>
              </w:rPr>
              <w:lastRenderedPageBreak/>
              <w:t>щодо подальших</w:t>
            </w:r>
            <w:r w:rsidR="000E21CD" w:rsidRPr="00CB4B5F">
              <w:rPr>
                <w:rFonts w:ascii="Times New Roman" w:hAnsi="Times New Roman"/>
                <w:sz w:val="28"/>
                <w:szCs w:val="28"/>
              </w:rPr>
              <w:t xml:space="preserve"> дій організатора Конкурсу </w:t>
            </w:r>
            <w:r w:rsidRPr="00CB4B5F">
              <w:rPr>
                <w:rFonts w:ascii="Times New Roman" w:hAnsi="Times New Roman"/>
                <w:sz w:val="28"/>
                <w:szCs w:val="28"/>
              </w:rPr>
              <w:t>в</w:t>
            </w:r>
            <w:r w:rsidR="000E21CD" w:rsidRPr="00CB4B5F">
              <w:rPr>
                <w:rFonts w:ascii="Times New Roman" w:hAnsi="Times New Roman"/>
                <w:sz w:val="28"/>
                <w:szCs w:val="28"/>
              </w:rPr>
              <w:t xml:space="preserve"> разі визнання </w:t>
            </w:r>
            <w:r w:rsidR="002B4FBE" w:rsidRPr="00CB4B5F">
              <w:rPr>
                <w:rFonts w:ascii="Times New Roman" w:hAnsi="Times New Roman"/>
                <w:sz w:val="28"/>
                <w:szCs w:val="28"/>
              </w:rPr>
              <w:t>К</w:t>
            </w:r>
            <w:r w:rsidR="000E21CD" w:rsidRPr="00CB4B5F">
              <w:rPr>
                <w:rFonts w:ascii="Times New Roman" w:hAnsi="Times New Roman"/>
                <w:sz w:val="28"/>
                <w:szCs w:val="28"/>
              </w:rPr>
              <w:t>онкурсу таким, що не відбувся</w:t>
            </w:r>
          </w:p>
        </w:tc>
        <w:tc>
          <w:tcPr>
            <w:tcW w:w="22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3CF9" w:rsidRPr="00CB4B5F" w:rsidRDefault="000E21CD" w:rsidP="000E21C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Недоцільність проведення нового Конкурсу без внесення змін до Порядку, </w:t>
            </w:r>
            <w:r w:rsidR="007325C9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які</w:t>
            </w:r>
            <w:r w:rsidR="004244BA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врегулю</w:t>
            </w:r>
            <w:r w:rsidR="00122C1D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ють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виявлені недоліки, пов’яза</w:t>
            </w:r>
            <w:r w:rsidR="004E7149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ні 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з організацією Конкурсу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3C55" w:rsidRPr="00CB4B5F" w:rsidTr="004A1865">
        <w:trPr>
          <w:trHeight w:val="547"/>
        </w:trPr>
        <w:tc>
          <w:tcPr>
            <w:tcW w:w="12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3C55" w:rsidRPr="00CB4B5F" w:rsidRDefault="00AC3C55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154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1485" w:rsidRPr="00CB4B5F" w:rsidRDefault="009D67D5" w:rsidP="00175B24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Реалізація </w:t>
            </w:r>
            <w:proofErr w:type="spellStart"/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акта</w:t>
            </w:r>
            <w:proofErr w:type="spellEnd"/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F6AF4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дає</w:t>
            </w:r>
            <w:r w:rsidR="0016709C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змогу </w:t>
            </w:r>
            <w:r w:rsidR="0016709C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встановити </w:t>
            </w:r>
            <w:r w:rsidR="004B2E71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</w:t>
            </w:r>
            <w:r w:rsidR="0016709C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правила </w:t>
            </w:r>
            <w:r w:rsidR="00F834D7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організації та </w:t>
            </w:r>
            <w:r w:rsidR="004B2E71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Конкурсу</w:t>
            </w:r>
          </w:p>
        </w:tc>
        <w:tc>
          <w:tcPr>
            <w:tcW w:w="22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752" w:rsidRPr="00CB4B5F" w:rsidRDefault="00864601" w:rsidP="004B2E7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  <w:r w:rsidR="004A0C48" w:rsidRPr="00CB4B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0C48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оскільки прийняття розробленого нормативно-правового </w:t>
            </w:r>
            <w:proofErr w:type="spellStart"/>
            <w:r w:rsidR="004A0C48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4A0C48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r w:rsidR="00281643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передбачає </w:t>
            </w:r>
            <w:r w:rsidR="00C055F2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необхідності здійснення </w:t>
            </w:r>
            <w:r w:rsidR="00FD6789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державою (</w:t>
            </w:r>
            <w:r w:rsidR="004B2E71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організатором Конкурсу</w:t>
            </w:r>
            <w:r w:rsidR="00FD6789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C055F2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</w:t>
            </w:r>
            <w:r w:rsidR="004A0C48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="004B2E71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впровадження нового регулювання</w:t>
            </w:r>
          </w:p>
        </w:tc>
      </w:tr>
    </w:tbl>
    <w:p w:rsidR="008839EE" w:rsidRPr="00CB4B5F" w:rsidRDefault="008839EE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ED2" w:rsidRPr="00CB4B5F" w:rsidRDefault="00807BFD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3</w:t>
      </w:r>
      <w:r w:rsidR="0063035D" w:rsidRPr="00CB4B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60ED2" w:rsidRPr="00CB4B5F">
        <w:rPr>
          <w:rFonts w:ascii="Times New Roman" w:eastAsia="Times New Roman" w:hAnsi="Times New Roman" w:cs="Times New Roman"/>
          <w:sz w:val="28"/>
          <w:szCs w:val="28"/>
        </w:rPr>
        <w:t>Оцінка впливу на сферу інтересів суб’єктів господарювання</w:t>
      </w:r>
    </w:p>
    <w:p w:rsidR="00463401" w:rsidRPr="00CB4B5F" w:rsidRDefault="00864601" w:rsidP="0046340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З огляду на те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>, що Держмитслужб</w:t>
      </w:r>
      <w:r w:rsidR="00F834D7" w:rsidRPr="00CB4B5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F834D7" w:rsidRPr="00CB4B5F">
        <w:rPr>
          <w:rFonts w:ascii="Times New Roman" w:eastAsia="Times New Roman" w:hAnsi="Times New Roman" w:cs="Times New Roman"/>
          <w:sz w:val="28"/>
          <w:szCs w:val="28"/>
        </w:rPr>
        <w:t xml:space="preserve">голошувала 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281643"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CC3" w:rsidRPr="00CB4B5F">
        <w:rPr>
          <w:rFonts w:ascii="Times New Roman" w:eastAsia="Times New Roman" w:hAnsi="Times New Roman" w:cs="Times New Roman"/>
          <w:sz w:val="28"/>
          <w:szCs w:val="28"/>
        </w:rPr>
        <w:t xml:space="preserve">тільки </w:t>
      </w:r>
      <w:r w:rsidR="00281643" w:rsidRPr="00CB4B5F">
        <w:rPr>
          <w:rFonts w:ascii="Times New Roman" w:eastAsia="Times New Roman" w:hAnsi="Times New Roman" w:cs="Times New Roman"/>
          <w:sz w:val="28"/>
          <w:szCs w:val="28"/>
        </w:rPr>
        <w:t>один раз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643" w:rsidRPr="00CB4B5F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 xml:space="preserve">конкурсну пропозицію </w:t>
      </w:r>
      <w:r w:rsidR="00281643" w:rsidRPr="00CB4B5F">
        <w:rPr>
          <w:rFonts w:ascii="Times New Roman" w:eastAsia="Times New Roman" w:hAnsi="Times New Roman" w:cs="Times New Roman"/>
          <w:sz w:val="28"/>
          <w:szCs w:val="28"/>
        </w:rPr>
        <w:t xml:space="preserve">отримано 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 xml:space="preserve">лише від одного учасника, загальну кількість суб’єктів господарювання, що підпадають під дію регулювання </w:t>
      </w:r>
      <w:proofErr w:type="spellStart"/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86CC3" w:rsidRPr="00CB4B5F">
        <w:rPr>
          <w:rFonts w:ascii="Times New Roman" w:eastAsia="Times New Roman" w:hAnsi="Times New Roman" w:cs="Times New Roman"/>
          <w:sz w:val="28"/>
          <w:szCs w:val="28"/>
        </w:rPr>
        <w:t xml:space="preserve">об’єктивно 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>пі</w:t>
      </w:r>
      <w:r w:rsidR="004E035A" w:rsidRPr="00CB4B5F">
        <w:rPr>
          <w:rFonts w:ascii="Times New Roman" w:eastAsia="Times New Roman" w:hAnsi="Times New Roman" w:cs="Times New Roman"/>
          <w:sz w:val="28"/>
          <w:szCs w:val="28"/>
        </w:rPr>
        <w:t>драхувати неможливо.</w:t>
      </w:r>
      <w:r w:rsidR="00281643"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3401" w:rsidRPr="00CB4B5F" w:rsidRDefault="0042399F" w:rsidP="0046340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>ропонує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 xml:space="preserve">припустити, що дія </w:t>
      </w:r>
      <w:proofErr w:type="spellStart"/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 xml:space="preserve"> поширюватиметься на двох суб’єктів господарювання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, оскільки така 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>кількість учасників Конкурсу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 є мінімальною</w:t>
      </w:r>
      <w:r w:rsidR="00463401" w:rsidRPr="00CB4B5F">
        <w:rPr>
          <w:rFonts w:ascii="Times New Roman" w:eastAsia="Times New Roman" w:hAnsi="Times New Roman" w:cs="Times New Roman"/>
          <w:sz w:val="28"/>
          <w:szCs w:val="28"/>
        </w:rPr>
        <w:t xml:space="preserve"> для його проведення та визначення переможця.</w:t>
      </w:r>
      <w:r w:rsidR="00281643"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A6DB2" w:rsidRPr="00CB4B5F" w:rsidRDefault="00CA6DB2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CE5" w:rsidRPr="00CB4B5F" w:rsidRDefault="00BB5CE5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Кількість суб’єктів господарювання, на яких </w:t>
      </w:r>
      <w:r w:rsidR="0063035D" w:rsidRPr="00CB4B5F">
        <w:rPr>
          <w:rFonts w:ascii="Times New Roman" w:eastAsia="Times New Roman" w:hAnsi="Times New Roman" w:cs="Times New Roman"/>
          <w:sz w:val="28"/>
          <w:szCs w:val="28"/>
        </w:rPr>
        <w:t>поширюва</w:t>
      </w:r>
      <w:r w:rsidR="003B14B4" w:rsidRPr="00CB4B5F">
        <w:rPr>
          <w:rFonts w:ascii="Times New Roman" w:eastAsia="Times New Roman" w:hAnsi="Times New Roman" w:cs="Times New Roman"/>
          <w:sz w:val="28"/>
          <w:szCs w:val="28"/>
        </w:rPr>
        <w:t>тиме</w:t>
      </w:r>
      <w:r w:rsidR="0063035D" w:rsidRPr="00CB4B5F">
        <w:rPr>
          <w:rFonts w:ascii="Times New Roman" w:eastAsia="Times New Roman" w:hAnsi="Times New Roman" w:cs="Times New Roman"/>
          <w:sz w:val="28"/>
          <w:szCs w:val="28"/>
        </w:rPr>
        <w:t>ться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 дія </w:t>
      </w:r>
      <w:proofErr w:type="spellStart"/>
      <w:r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8"/>
        <w:tblW w:w="5000" w:type="pct"/>
        <w:tblLook w:val="0400" w:firstRow="0" w:lastRow="0" w:firstColumn="0" w:lastColumn="0" w:noHBand="0" w:noVBand="1"/>
      </w:tblPr>
      <w:tblGrid>
        <w:gridCol w:w="4070"/>
        <w:gridCol w:w="1031"/>
        <w:gridCol w:w="1162"/>
        <w:gridCol w:w="807"/>
        <w:gridCol w:w="1635"/>
        <w:gridCol w:w="926"/>
      </w:tblGrid>
      <w:tr w:rsidR="00CB4B5F" w:rsidRPr="00CB4B5F" w:rsidTr="004A1865">
        <w:trPr>
          <w:trHeight w:val="400"/>
        </w:trPr>
        <w:tc>
          <w:tcPr>
            <w:tcW w:w="2132" w:type="pct"/>
          </w:tcPr>
          <w:p w:rsidR="00E60ED2" w:rsidRPr="00CB4B5F" w:rsidRDefault="00E60ED2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Показник</w:t>
            </w:r>
          </w:p>
        </w:tc>
        <w:tc>
          <w:tcPr>
            <w:tcW w:w="478" w:type="pct"/>
          </w:tcPr>
          <w:p w:rsidR="0028674B" w:rsidRPr="00CB4B5F" w:rsidRDefault="00E60ED2" w:rsidP="004A18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Великі</w:t>
            </w:r>
          </w:p>
        </w:tc>
        <w:tc>
          <w:tcPr>
            <w:tcW w:w="603" w:type="pct"/>
          </w:tcPr>
          <w:p w:rsidR="0028674B" w:rsidRPr="00CB4B5F" w:rsidRDefault="00E60ED2" w:rsidP="004A1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Середні</w:t>
            </w:r>
          </w:p>
        </w:tc>
        <w:tc>
          <w:tcPr>
            <w:tcW w:w="419" w:type="pct"/>
          </w:tcPr>
          <w:p w:rsidR="0028674B" w:rsidRPr="00CB4B5F" w:rsidRDefault="00E60ED2" w:rsidP="004A18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Малі</w:t>
            </w:r>
          </w:p>
        </w:tc>
        <w:tc>
          <w:tcPr>
            <w:tcW w:w="868" w:type="pct"/>
          </w:tcPr>
          <w:p w:rsidR="00E60ED2" w:rsidRPr="00CB4B5F" w:rsidRDefault="00E60ED2" w:rsidP="002E2F2F">
            <w:pPr>
              <w:ind w:left="-90" w:right="-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У т. ч. мікро</w:t>
            </w:r>
          </w:p>
        </w:tc>
        <w:tc>
          <w:tcPr>
            <w:tcW w:w="500" w:type="pct"/>
          </w:tcPr>
          <w:p w:rsidR="00E60ED2" w:rsidRPr="00CB4B5F" w:rsidRDefault="00E60ED2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Разом</w:t>
            </w:r>
          </w:p>
        </w:tc>
      </w:tr>
      <w:tr w:rsidR="00CB4B5F" w:rsidRPr="00CB4B5F" w:rsidTr="004A1865">
        <w:trPr>
          <w:trHeight w:val="1100"/>
        </w:trPr>
        <w:tc>
          <w:tcPr>
            <w:tcW w:w="2132" w:type="pct"/>
          </w:tcPr>
          <w:p w:rsidR="00E60ED2" w:rsidRPr="00CB4B5F" w:rsidRDefault="00E60ED2" w:rsidP="002E2F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478" w:type="pct"/>
          </w:tcPr>
          <w:p w:rsidR="00E60ED2" w:rsidRPr="00CB4B5F" w:rsidRDefault="00A02F6E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603" w:type="pct"/>
          </w:tcPr>
          <w:p w:rsidR="00E60ED2" w:rsidRPr="00CB4B5F" w:rsidRDefault="00A02F6E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419" w:type="pct"/>
          </w:tcPr>
          <w:p w:rsidR="00E60ED2" w:rsidRPr="00CB4B5F" w:rsidRDefault="00A02F6E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868" w:type="pct"/>
          </w:tcPr>
          <w:p w:rsidR="00E60ED2" w:rsidRPr="00CB4B5F" w:rsidRDefault="0028674B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500" w:type="pct"/>
          </w:tcPr>
          <w:p w:rsidR="00E60ED2" w:rsidRPr="00CB4B5F" w:rsidRDefault="00A02F6E" w:rsidP="00990C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2</w:t>
            </w:r>
          </w:p>
        </w:tc>
      </w:tr>
      <w:tr w:rsidR="00E60ED2" w:rsidRPr="00CB4B5F" w:rsidTr="004A1865">
        <w:tc>
          <w:tcPr>
            <w:tcW w:w="2132" w:type="pct"/>
          </w:tcPr>
          <w:p w:rsidR="00E60ED2" w:rsidRPr="00CB4B5F" w:rsidRDefault="00E60ED2" w:rsidP="002E2F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Питома вага групи у загальній кількості, відсотків</w:t>
            </w:r>
          </w:p>
        </w:tc>
        <w:tc>
          <w:tcPr>
            <w:tcW w:w="478" w:type="pct"/>
          </w:tcPr>
          <w:p w:rsidR="00E60ED2" w:rsidRPr="00CB4B5F" w:rsidRDefault="00990C30" w:rsidP="00A02F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10</w:t>
            </w:r>
            <w:r w:rsidR="00A02F6E"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603" w:type="pct"/>
          </w:tcPr>
          <w:p w:rsidR="00E60ED2" w:rsidRPr="00CB4B5F" w:rsidRDefault="00A02F6E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419" w:type="pct"/>
          </w:tcPr>
          <w:p w:rsidR="00E60ED2" w:rsidRPr="00CB4B5F" w:rsidRDefault="00A02F6E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868" w:type="pct"/>
          </w:tcPr>
          <w:p w:rsidR="00E60ED2" w:rsidRPr="00CB4B5F" w:rsidRDefault="0028674B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0</w:t>
            </w:r>
          </w:p>
        </w:tc>
        <w:tc>
          <w:tcPr>
            <w:tcW w:w="500" w:type="pct"/>
          </w:tcPr>
          <w:p w:rsidR="00E60ED2" w:rsidRPr="00CB4B5F" w:rsidRDefault="004835BC" w:rsidP="002E2F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100</w:t>
            </w:r>
          </w:p>
        </w:tc>
      </w:tr>
    </w:tbl>
    <w:p w:rsidR="00263345" w:rsidRPr="00CB4B5F" w:rsidRDefault="00263345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tbl>
      <w:tblPr>
        <w:tblStyle w:val="a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23"/>
        <w:gridCol w:w="3825"/>
        <w:gridCol w:w="3683"/>
      </w:tblGrid>
      <w:tr w:rsidR="00CB4B5F" w:rsidRPr="00CB4B5F" w:rsidTr="004A1865">
        <w:trPr>
          <w:trHeight w:val="520"/>
        </w:trPr>
        <w:tc>
          <w:tcPr>
            <w:tcW w:w="11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ED2" w:rsidRPr="00CB4B5F" w:rsidRDefault="00E60ED2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Вид альтернативи</w:t>
            </w:r>
          </w:p>
        </w:tc>
        <w:tc>
          <w:tcPr>
            <w:tcW w:w="198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ED2" w:rsidRPr="00CB4B5F" w:rsidRDefault="00E60ED2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Вигоди</w:t>
            </w:r>
          </w:p>
        </w:tc>
        <w:tc>
          <w:tcPr>
            <w:tcW w:w="191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0ED2" w:rsidRPr="00CB4B5F" w:rsidRDefault="00E60ED2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</w:p>
        </w:tc>
      </w:tr>
      <w:tr w:rsidR="00CB4B5F" w:rsidRPr="00CB4B5F" w:rsidTr="004A1865">
        <w:trPr>
          <w:trHeight w:val="365"/>
        </w:trPr>
        <w:tc>
          <w:tcPr>
            <w:tcW w:w="11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ED2" w:rsidRPr="00CB4B5F" w:rsidRDefault="00E60ED2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19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43D7" w:rsidRPr="00CB4B5F" w:rsidRDefault="00983EF1" w:rsidP="004A186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r w:rsidR="00BB60BB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необхідн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B60BB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BB60BB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A6DB2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ознайомлення з новими регуляторними вимогами </w:t>
            </w:r>
          </w:p>
        </w:tc>
        <w:tc>
          <w:tcPr>
            <w:tcW w:w="19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7B8B" w:rsidRPr="00CB4B5F" w:rsidRDefault="003B6C0B" w:rsidP="005D141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Відсутність чітк</w:t>
            </w:r>
            <w:r w:rsidR="00B7253F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</w:t>
            </w:r>
            <w:r w:rsidR="00B7253F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4B5F">
              <w:rPr>
                <w:rFonts w:ascii="Times New Roman" w:hAnsi="Times New Roman"/>
                <w:sz w:val="28"/>
                <w:szCs w:val="28"/>
              </w:rPr>
              <w:t>, на який визначається уповноважений банк</w:t>
            </w:r>
            <w:r w:rsidR="00B7253F" w:rsidRPr="00CB4B5F">
              <w:rPr>
                <w:rFonts w:ascii="Times New Roman" w:hAnsi="Times New Roman"/>
                <w:sz w:val="28"/>
                <w:szCs w:val="28"/>
              </w:rPr>
              <w:t xml:space="preserve">, що потенційно може стримувати банк від прийняття рішення щодо участі </w:t>
            </w:r>
            <w:r w:rsidR="00983EF1" w:rsidRPr="00CB4B5F">
              <w:rPr>
                <w:rFonts w:ascii="Times New Roman" w:hAnsi="Times New Roman"/>
                <w:sz w:val="28"/>
                <w:szCs w:val="28"/>
              </w:rPr>
              <w:t>в</w:t>
            </w:r>
            <w:r w:rsidR="00B7253F" w:rsidRPr="00CB4B5F">
              <w:rPr>
                <w:rFonts w:ascii="Times New Roman" w:hAnsi="Times New Roman"/>
                <w:sz w:val="28"/>
                <w:szCs w:val="28"/>
              </w:rPr>
              <w:t xml:space="preserve"> Конкурсі</w:t>
            </w:r>
            <w:r w:rsidR="00CA55E0" w:rsidRPr="00CB4B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60ED2" w:rsidRPr="00CB4B5F" w:rsidRDefault="005D141D" w:rsidP="005D141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B5F">
              <w:rPr>
                <w:rFonts w:ascii="Times New Roman" w:hAnsi="Times New Roman"/>
                <w:sz w:val="28"/>
                <w:szCs w:val="28"/>
              </w:rPr>
              <w:lastRenderedPageBreak/>
              <w:t>Великий перелік документів, які банки мають надати для участі в Конкурсі.</w:t>
            </w:r>
          </w:p>
          <w:p w:rsidR="007C7B8B" w:rsidRPr="00CB4B5F" w:rsidRDefault="007C7B8B" w:rsidP="007410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/>
                <w:sz w:val="28"/>
                <w:szCs w:val="28"/>
              </w:rPr>
              <w:t>Прогнозні витрати на одного суб’єкта господарювання  становлять 23,8 грив</w:t>
            </w:r>
            <w:r w:rsidR="0074100E" w:rsidRPr="00CB4B5F">
              <w:rPr>
                <w:rFonts w:ascii="Times New Roman" w:hAnsi="Times New Roman"/>
                <w:sz w:val="28"/>
                <w:szCs w:val="28"/>
              </w:rPr>
              <w:t>ні</w:t>
            </w:r>
          </w:p>
        </w:tc>
      </w:tr>
      <w:tr w:rsidR="00E60ED2" w:rsidRPr="00CB4B5F" w:rsidTr="004A1865">
        <w:trPr>
          <w:trHeight w:val="466"/>
        </w:trPr>
        <w:tc>
          <w:tcPr>
            <w:tcW w:w="11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0ED2" w:rsidRPr="00CB4B5F" w:rsidRDefault="00E60ED2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Альтернатива 2</w:t>
            </w:r>
          </w:p>
        </w:tc>
        <w:tc>
          <w:tcPr>
            <w:tcW w:w="19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5D09" w:rsidRPr="00CB4B5F" w:rsidRDefault="00B27E6E" w:rsidP="00F834D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Учасники Конкурсу </w:t>
            </w:r>
            <w:r w:rsidR="00983EF1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разі перемоги можуть розраховувати на </w:t>
            </w:r>
            <w:r w:rsidR="00CE2305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довгострокову </w:t>
            </w:r>
            <w:r w:rsidR="0016154B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співпрац</w:t>
            </w:r>
            <w:r w:rsidR="00CE2305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="0016154B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державою </w:t>
            </w:r>
            <w:r w:rsidR="00B7253F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у частині надання послуг з при</w:t>
            </w:r>
            <w:r w:rsidR="00DA4C20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B7253F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няття </w:t>
            </w:r>
            <w:r w:rsidR="00AC1D9E" w:rsidRPr="00CB4B5F">
              <w:rPr>
                <w:rFonts w:ascii="Times New Roman" w:hAnsi="Times New Roman"/>
                <w:sz w:val="28"/>
                <w:szCs w:val="28"/>
              </w:rPr>
              <w:t>митних платежів у</w:t>
            </w:r>
            <w:r w:rsidR="00B7253F" w:rsidRPr="00CB4B5F">
              <w:rPr>
                <w:rFonts w:ascii="Times New Roman" w:hAnsi="Times New Roman"/>
                <w:sz w:val="28"/>
                <w:szCs w:val="28"/>
              </w:rPr>
              <w:t xml:space="preserve"> місцях митного оформлення</w:t>
            </w:r>
            <w:r w:rsidR="00CE2305" w:rsidRPr="00CB4B5F">
              <w:rPr>
                <w:rFonts w:ascii="Times New Roman" w:hAnsi="Times New Roman"/>
                <w:sz w:val="28"/>
                <w:szCs w:val="28"/>
              </w:rPr>
              <w:t xml:space="preserve"> – мінімум </w:t>
            </w:r>
            <w:r w:rsidR="0042399F" w:rsidRPr="00CB4B5F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CE2305" w:rsidRPr="00CB4B5F">
              <w:rPr>
                <w:rFonts w:ascii="Times New Roman" w:hAnsi="Times New Roman"/>
                <w:sz w:val="28"/>
                <w:szCs w:val="28"/>
              </w:rPr>
              <w:t>5 років</w:t>
            </w:r>
            <w:r w:rsidR="004A2664" w:rsidRPr="00CB4B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D141D" w:rsidRPr="00CB4B5F" w:rsidRDefault="00AB4CD9" w:rsidP="002049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0DBA" w:rsidRPr="00CB4B5F">
              <w:rPr>
                <w:rFonts w:ascii="Times New Roman" w:hAnsi="Times New Roman" w:cs="Times New Roman"/>
                <w:sz w:val="28"/>
                <w:szCs w:val="28"/>
              </w:rPr>
              <w:t xml:space="preserve">меншено </w:t>
            </w:r>
            <w:r w:rsidR="0020492F" w:rsidRPr="00CB4B5F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r w:rsidR="00BB0DBA" w:rsidRPr="00CB4B5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документів, які банки мають надати для участі в Конкурсі. Прогнозується, що витрати на канцелярські товари у порівнян</w:t>
            </w:r>
            <w:r w:rsidR="00983EF1" w:rsidRPr="00CB4B5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0DBA" w:rsidRPr="00CB4B5F">
              <w:rPr>
                <w:rFonts w:ascii="Times New Roman" w:hAnsi="Times New Roman" w:cs="Times New Roman"/>
                <w:sz w:val="28"/>
                <w:szCs w:val="28"/>
              </w:rPr>
              <w:t xml:space="preserve"> з такими витратами за альтернативою 1 </w:t>
            </w:r>
            <w:proofErr w:type="spellStart"/>
            <w:r w:rsidR="00BB0DBA" w:rsidRPr="00CB4B5F">
              <w:rPr>
                <w:rFonts w:ascii="Times New Roman" w:hAnsi="Times New Roman" w:cs="Times New Roman"/>
                <w:sz w:val="28"/>
                <w:szCs w:val="28"/>
              </w:rPr>
              <w:t>зменшаться</w:t>
            </w:r>
            <w:proofErr w:type="spellEnd"/>
          </w:p>
        </w:tc>
        <w:tc>
          <w:tcPr>
            <w:tcW w:w="191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62E" w:rsidRPr="00CB4B5F" w:rsidRDefault="00BB0DBA" w:rsidP="00BB0D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Прогнозуються витрати, які пов’язані з необхідністю ознайомлення з новими регуляторними вимогами (лише в перший рік впровадження), а також витрати на канцелярські товари. Прогнозні витрати на одного суб’єкта господарювання становитимуть 65 гривень</w:t>
            </w:r>
          </w:p>
        </w:tc>
      </w:tr>
    </w:tbl>
    <w:p w:rsidR="00807BFD" w:rsidRPr="00CB4B5F" w:rsidRDefault="00807BFD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2C7A" w:rsidRPr="00CB4B5F" w:rsidRDefault="00EE2C7A" w:rsidP="002E2F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>Будь</w:t>
      </w:r>
      <w:r w:rsidR="00F02715" w:rsidRPr="00CB4B5F">
        <w:rPr>
          <w:rFonts w:ascii="Times New Roman" w:hAnsi="Times New Roman" w:cs="Times New Roman"/>
          <w:sz w:val="28"/>
          <w:szCs w:val="28"/>
        </w:rPr>
        <w:t>-</w:t>
      </w:r>
      <w:r w:rsidR="00215F23" w:rsidRPr="00CB4B5F">
        <w:rPr>
          <w:rFonts w:ascii="Times New Roman" w:hAnsi="Times New Roman" w:cs="Times New Roman"/>
          <w:sz w:val="28"/>
          <w:szCs w:val="28"/>
        </w:rPr>
        <w:t>які відносини</w:t>
      </w:r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  <w:r w:rsidR="00F834D7" w:rsidRPr="00CB4B5F">
        <w:rPr>
          <w:rFonts w:ascii="Times New Roman" w:hAnsi="Times New Roman" w:cs="Times New Roman"/>
          <w:sz w:val="28"/>
          <w:szCs w:val="28"/>
        </w:rPr>
        <w:t xml:space="preserve">переможця Конкурсу з державою </w:t>
      </w:r>
      <w:r w:rsidRPr="00CB4B5F">
        <w:rPr>
          <w:rFonts w:ascii="Times New Roman" w:hAnsi="Times New Roman" w:cs="Times New Roman"/>
          <w:sz w:val="28"/>
          <w:szCs w:val="28"/>
        </w:rPr>
        <w:t xml:space="preserve">будуть регулюватися окремими </w:t>
      </w:r>
      <w:r w:rsidR="00215F23" w:rsidRPr="00CB4B5F">
        <w:rPr>
          <w:rFonts w:ascii="Times New Roman" w:hAnsi="Times New Roman" w:cs="Times New Roman"/>
          <w:sz w:val="28"/>
          <w:szCs w:val="28"/>
        </w:rPr>
        <w:t>генеральними угодами</w:t>
      </w:r>
      <w:r w:rsidRPr="00CB4B5F">
        <w:rPr>
          <w:rFonts w:ascii="Times New Roman" w:hAnsi="Times New Roman" w:cs="Times New Roman"/>
          <w:sz w:val="28"/>
          <w:szCs w:val="28"/>
        </w:rPr>
        <w:t xml:space="preserve">, якими </w:t>
      </w:r>
      <w:r w:rsidR="00F834D7" w:rsidRPr="00CB4B5F">
        <w:rPr>
          <w:rFonts w:ascii="Times New Roman" w:hAnsi="Times New Roman" w:cs="Times New Roman"/>
          <w:sz w:val="28"/>
          <w:szCs w:val="28"/>
        </w:rPr>
        <w:t>будуть</w:t>
      </w:r>
      <w:r w:rsidR="00D64454" w:rsidRPr="00CB4B5F">
        <w:rPr>
          <w:rFonts w:ascii="Times New Roman" w:hAnsi="Times New Roman" w:cs="Times New Roman"/>
          <w:sz w:val="28"/>
          <w:szCs w:val="28"/>
        </w:rPr>
        <w:t xml:space="preserve"> збалансовані всі ризики та </w:t>
      </w:r>
      <w:r w:rsidRPr="00CB4B5F">
        <w:rPr>
          <w:rFonts w:ascii="Times New Roman" w:hAnsi="Times New Roman" w:cs="Times New Roman"/>
          <w:sz w:val="28"/>
          <w:szCs w:val="28"/>
        </w:rPr>
        <w:t xml:space="preserve">вигоди </w:t>
      </w:r>
      <w:r w:rsidR="00D64454" w:rsidRPr="00CB4B5F">
        <w:rPr>
          <w:rFonts w:ascii="Times New Roman" w:hAnsi="Times New Roman" w:cs="Times New Roman"/>
          <w:sz w:val="28"/>
          <w:szCs w:val="28"/>
        </w:rPr>
        <w:t>суб’єкта господарювання (переможця Конкурсу)</w:t>
      </w:r>
      <w:r w:rsidR="00374564" w:rsidRPr="00CB4B5F">
        <w:rPr>
          <w:rFonts w:ascii="Times New Roman" w:hAnsi="Times New Roman" w:cs="Times New Roman"/>
          <w:sz w:val="28"/>
          <w:szCs w:val="28"/>
        </w:rPr>
        <w:t>.</w:t>
      </w:r>
      <w:r w:rsidR="00D1419A" w:rsidRPr="00CB4B5F">
        <w:rPr>
          <w:rFonts w:ascii="Times New Roman" w:hAnsi="Times New Roman" w:cs="Times New Roman"/>
          <w:sz w:val="28"/>
          <w:szCs w:val="28"/>
        </w:rPr>
        <w:t xml:space="preserve"> </w:t>
      </w:r>
      <w:r w:rsidR="008A3D54" w:rsidRPr="00CB4B5F">
        <w:rPr>
          <w:rFonts w:ascii="Times New Roman" w:hAnsi="Times New Roman" w:cs="Times New Roman"/>
          <w:sz w:val="28"/>
          <w:szCs w:val="28"/>
        </w:rPr>
        <w:t>Отже</w:t>
      </w:r>
      <w:r w:rsidR="00983EF1" w:rsidRPr="00CB4B5F">
        <w:rPr>
          <w:rFonts w:ascii="Times New Roman" w:hAnsi="Times New Roman" w:cs="Times New Roman"/>
          <w:sz w:val="28"/>
          <w:szCs w:val="28"/>
        </w:rPr>
        <w:t>,</w:t>
      </w:r>
      <w:r w:rsidRPr="00CB4B5F">
        <w:rPr>
          <w:rFonts w:ascii="Times New Roman" w:hAnsi="Times New Roman" w:cs="Times New Roman"/>
          <w:sz w:val="28"/>
          <w:szCs w:val="28"/>
        </w:rPr>
        <w:t xml:space="preserve"> такий спосіб регулювання</w:t>
      </w:r>
      <w:r w:rsidR="00983EF1" w:rsidRPr="00CB4B5F">
        <w:rPr>
          <w:rFonts w:ascii="Times New Roman" w:hAnsi="Times New Roman" w:cs="Times New Roman"/>
          <w:sz w:val="28"/>
          <w:szCs w:val="28"/>
        </w:rPr>
        <w:t>,</w:t>
      </w:r>
      <w:r w:rsidRPr="00CB4B5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про</w:t>
      </w:r>
      <w:r w:rsidR="006D20C7" w:rsidRPr="00CB4B5F">
        <w:rPr>
          <w:rFonts w:ascii="Times New Roman" w:hAnsi="Times New Roman" w:cs="Times New Roman"/>
          <w:sz w:val="28"/>
          <w:szCs w:val="28"/>
        </w:rPr>
        <w:t>є</w:t>
      </w:r>
      <w:r w:rsidRPr="00CB4B5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F23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не спричинить додаткових незручностей для </w:t>
      </w:r>
      <w:r w:rsidR="00D64454" w:rsidRPr="00CB4B5F">
        <w:rPr>
          <w:rFonts w:ascii="Times New Roman" w:hAnsi="Times New Roman" w:cs="Times New Roman"/>
          <w:sz w:val="28"/>
          <w:szCs w:val="28"/>
        </w:rPr>
        <w:t>відповідних суб’єктів</w:t>
      </w:r>
      <w:r w:rsidRPr="00CB4B5F">
        <w:rPr>
          <w:rFonts w:ascii="Times New Roman" w:hAnsi="Times New Roman" w:cs="Times New Roman"/>
          <w:sz w:val="28"/>
          <w:szCs w:val="28"/>
        </w:rPr>
        <w:t>.</w:t>
      </w:r>
    </w:p>
    <w:p w:rsidR="003325CD" w:rsidRPr="00CB4B5F" w:rsidRDefault="003325CD" w:rsidP="003325C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 xml:space="preserve">Загалом положення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F23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не передбачають </w:t>
      </w:r>
      <w:r w:rsidR="000B7A11" w:rsidRPr="00CB4B5F">
        <w:rPr>
          <w:rFonts w:ascii="Times New Roman" w:hAnsi="Times New Roman" w:cs="Times New Roman"/>
          <w:sz w:val="28"/>
          <w:szCs w:val="28"/>
        </w:rPr>
        <w:t xml:space="preserve">суттєвих </w:t>
      </w:r>
      <w:r w:rsidR="009A35D6" w:rsidRPr="00CB4B5F">
        <w:rPr>
          <w:rFonts w:ascii="Times New Roman" w:eastAsia="Times New Roman" w:hAnsi="Times New Roman" w:cs="Times New Roman"/>
          <w:sz w:val="28"/>
          <w:szCs w:val="28"/>
        </w:rPr>
        <w:t>витрат суб’єктів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 господарювання (</w:t>
      </w:r>
      <w:r w:rsidR="00215F23" w:rsidRPr="00CB4B5F">
        <w:rPr>
          <w:rFonts w:ascii="Times New Roman" w:eastAsia="Times New Roman" w:hAnsi="Times New Roman" w:cs="Times New Roman"/>
          <w:sz w:val="28"/>
          <w:szCs w:val="28"/>
        </w:rPr>
        <w:t>учасників Конкурсу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), зокрема таких, що визначені у додатку 2 до Методики проведення аналізу впливу регуляторного </w:t>
      </w:r>
      <w:proofErr w:type="spellStart"/>
      <w:r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eastAsia="Times New Roman" w:hAnsi="Times New Roman" w:cs="Times New Roman"/>
          <w:sz w:val="28"/>
          <w:szCs w:val="28"/>
        </w:rPr>
        <w:t>, затвердженої постановою Кабінету Міністрів України від 11 березня 2004 року № 308.</w:t>
      </w:r>
    </w:p>
    <w:p w:rsidR="003325CD" w:rsidRPr="00CB4B5F" w:rsidRDefault="00DC2741" w:rsidP="003325C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Насамперед у зв’язку з прийняттям </w:t>
      </w:r>
      <w:proofErr w:type="spellStart"/>
      <w:r w:rsidRPr="00CB4B5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3325CD" w:rsidRPr="00CB4B5F">
        <w:rPr>
          <w:rFonts w:ascii="Times New Roman" w:eastAsia="Times New Roman" w:hAnsi="Times New Roman" w:cs="Times New Roman"/>
          <w:sz w:val="28"/>
          <w:szCs w:val="28"/>
        </w:rPr>
        <w:t xml:space="preserve"> у суб’єкта господарювання (</w:t>
      </w:r>
      <w:r w:rsidR="00215F23" w:rsidRPr="00CB4B5F">
        <w:rPr>
          <w:rFonts w:ascii="Times New Roman" w:eastAsia="Times New Roman" w:hAnsi="Times New Roman" w:cs="Times New Roman"/>
          <w:sz w:val="28"/>
          <w:szCs w:val="28"/>
        </w:rPr>
        <w:t>учасника Конкурсу</w:t>
      </w:r>
      <w:r w:rsidR="003325CD" w:rsidRPr="00CB4B5F">
        <w:rPr>
          <w:rFonts w:ascii="Times New Roman" w:eastAsia="Times New Roman" w:hAnsi="Times New Roman" w:cs="Times New Roman"/>
          <w:sz w:val="28"/>
          <w:szCs w:val="28"/>
        </w:rPr>
        <w:t>) виника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>тиме</w:t>
      </w:r>
      <w:r w:rsidR="003325CD" w:rsidRPr="00CB4B5F">
        <w:rPr>
          <w:rFonts w:ascii="Times New Roman" w:eastAsia="Times New Roman" w:hAnsi="Times New Roman" w:cs="Times New Roman"/>
          <w:sz w:val="28"/>
          <w:szCs w:val="28"/>
        </w:rPr>
        <w:t xml:space="preserve"> необхідність </w:t>
      </w:r>
      <w:r w:rsidR="003325CD" w:rsidRPr="00CB4B5F">
        <w:rPr>
          <w:rFonts w:ascii="Times New Roman" w:hAnsi="Times New Roman" w:cs="Times New Roman"/>
          <w:sz w:val="28"/>
          <w:szCs w:val="28"/>
        </w:rPr>
        <w:t>отрима</w:t>
      </w:r>
      <w:r w:rsidR="00983EF1" w:rsidRPr="00CB4B5F">
        <w:rPr>
          <w:rFonts w:ascii="Times New Roman" w:hAnsi="Times New Roman" w:cs="Times New Roman"/>
          <w:sz w:val="28"/>
          <w:szCs w:val="28"/>
        </w:rPr>
        <w:t>ти</w:t>
      </w:r>
      <w:r w:rsidR="00DB0783" w:rsidRPr="00CB4B5F">
        <w:rPr>
          <w:rFonts w:ascii="Times New Roman" w:hAnsi="Times New Roman" w:cs="Times New Roman"/>
          <w:sz w:val="28"/>
          <w:szCs w:val="28"/>
        </w:rPr>
        <w:t xml:space="preserve"> та опрацюва</w:t>
      </w:r>
      <w:r w:rsidR="00983EF1" w:rsidRPr="00CB4B5F">
        <w:rPr>
          <w:rFonts w:ascii="Times New Roman" w:hAnsi="Times New Roman" w:cs="Times New Roman"/>
          <w:sz w:val="28"/>
          <w:szCs w:val="28"/>
        </w:rPr>
        <w:t xml:space="preserve">ти </w:t>
      </w:r>
      <w:r w:rsidR="003325CD" w:rsidRPr="00CB4B5F">
        <w:rPr>
          <w:rFonts w:ascii="Times New Roman" w:hAnsi="Times New Roman" w:cs="Times New Roman"/>
          <w:sz w:val="28"/>
          <w:szCs w:val="28"/>
        </w:rPr>
        <w:t>первинн</w:t>
      </w:r>
      <w:r w:rsidR="00983EF1" w:rsidRPr="00CB4B5F">
        <w:rPr>
          <w:rFonts w:ascii="Times New Roman" w:hAnsi="Times New Roman" w:cs="Times New Roman"/>
          <w:sz w:val="28"/>
          <w:szCs w:val="28"/>
        </w:rPr>
        <w:t>у</w:t>
      </w:r>
      <w:r w:rsidR="003325CD" w:rsidRPr="00CB4B5F"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983EF1" w:rsidRPr="00CB4B5F">
        <w:rPr>
          <w:rFonts w:ascii="Times New Roman" w:hAnsi="Times New Roman" w:cs="Times New Roman"/>
          <w:sz w:val="28"/>
          <w:szCs w:val="28"/>
        </w:rPr>
        <w:t>ю</w:t>
      </w:r>
      <w:r w:rsidR="003325CD" w:rsidRPr="00CB4B5F">
        <w:rPr>
          <w:rFonts w:ascii="Times New Roman" w:hAnsi="Times New Roman" w:cs="Times New Roman"/>
          <w:sz w:val="28"/>
          <w:szCs w:val="28"/>
        </w:rPr>
        <w:t xml:space="preserve"> про вимоги регулювання.</w:t>
      </w:r>
    </w:p>
    <w:p w:rsidR="00DC2741" w:rsidRPr="00CB4B5F" w:rsidRDefault="00983EF1" w:rsidP="003325CD">
      <w:pPr>
        <w:spacing w:line="240" w:lineRule="auto"/>
        <w:ind w:firstLine="567"/>
        <w:jc w:val="both"/>
        <w:rPr>
          <w:rStyle w:val="spanrvts0"/>
          <w:rFonts w:eastAsiaTheme="minorEastAsia"/>
          <w:b/>
        </w:rPr>
      </w:pPr>
      <w:r w:rsidRPr="00CB4B5F">
        <w:rPr>
          <w:rFonts w:ascii="Times New Roman" w:hAnsi="Times New Roman" w:cs="Times New Roman"/>
          <w:sz w:val="28"/>
          <w:szCs w:val="28"/>
        </w:rPr>
        <w:t>Водночас</w:t>
      </w:r>
      <w:r w:rsidR="00DC2741"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741" w:rsidRPr="00CB4B5F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DC2741"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2741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DC2741" w:rsidRPr="00CB4B5F">
        <w:rPr>
          <w:rFonts w:ascii="Times New Roman" w:hAnsi="Times New Roman" w:cs="Times New Roman"/>
          <w:sz w:val="28"/>
          <w:szCs w:val="28"/>
        </w:rPr>
        <w:t xml:space="preserve"> зменшено </w:t>
      </w:r>
      <w:r w:rsidR="0020492F" w:rsidRPr="00CB4B5F">
        <w:rPr>
          <w:rFonts w:ascii="Times New Roman" w:hAnsi="Times New Roman" w:cs="Times New Roman"/>
          <w:sz w:val="28"/>
          <w:szCs w:val="28"/>
        </w:rPr>
        <w:t>кількість</w:t>
      </w:r>
      <w:r w:rsidR="00DC2741" w:rsidRPr="00CB4B5F">
        <w:rPr>
          <w:rFonts w:ascii="Times New Roman" w:hAnsi="Times New Roman" w:cs="Times New Roman"/>
          <w:sz w:val="28"/>
          <w:szCs w:val="28"/>
        </w:rPr>
        <w:t xml:space="preserve"> документів, які банки мають надати згідно </w:t>
      </w:r>
      <w:r w:rsidR="008A3D54" w:rsidRPr="00CB4B5F">
        <w:rPr>
          <w:rFonts w:ascii="Times New Roman" w:hAnsi="Times New Roman" w:cs="Times New Roman"/>
          <w:sz w:val="28"/>
          <w:szCs w:val="28"/>
        </w:rPr>
        <w:t xml:space="preserve">з </w:t>
      </w:r>
      <w:r w:rsidR="00DC2741" w:rsidRPr="00CB4B5F">
        <w:rPr>
          <w:rFonts w:ascii="Times New Roman" w:hAnsi="Times New Roman" w:cs="Times New Roman"/>
          <w:sz w:val="28"/>
          <w:szCs w:val="28"/>
        </w:rPr>
        <w:t>пункт</w:t>
      </w:r>
      <w:r w:rsidR="008A3D54" w:rsidRPr="00CB4B5F">
        <w:rPr>
          <w:rFonts w:ascii="Times New Roman" w:hAnsi="Times New Roman" w:cs="Times New Roman"/>
          <w:sz w:val="28"/>
          <w:szCs w:val="28"/>
        </w:rPr>
        <w:t>ом</w:t>
      </w:r>
      <w:r w:rsidR="00DC2741" w:rsidRPr="00CB4B5F">
        <w:rPr>
          <w:rFonts w:ascii="Times New Roman" w:hAnsi="Times New Roman" w:cs="Times New Roman"/>
          <w:sz w:val="28"/>
          <w:szCs w:val="28"/>
        </w:rPr>
        <w:t xml:space="preserve"> 4.1 розділу IV </w:t>
      </w:r>
      <w:proofErr w:type="spellStart"/>
      <w:r w:rsidR="005E777D" w:rsidRPr="00CB4B5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E777D"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77D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5E777D" w:rsidRPr="00CB4B5F">
        <w:rPr>
          <w:rFonts w:ascii="Times New Roman" w:hAnsi="Times New Roman" w:cs="Times New Roman"/>
          <w:sz w:val="28"/>
          <w:szCs w:val="28"/>
        </w:rPr>
        <w:t xml:space="preserve"> </w:t>
      </w:r>
      <w:r w:rsidR="00DC2741" w:rsidRPr="00CB4B5F">
        <w:rPr>
          <w:rFonts w:ascii="Times New Roman" w:hAnsi="Times New Roman" w:cs="Times New Roman"/>
          <w:sz w:val="28"/>
          <w:szCs w:val="28"/>
        </w:rPr>
        <w:t xml:space="preserve">для участі в Конкурсі, що </w:t>
      </w:r>
      <w:r w:rsidR="005E777D" w:rsidRPr="00CB4B5F">
        <w:rPr>
          <w:rFonts w:ascii="Times New Roman" w:hAnsi="Times New Roman" w:cs="Times New Roman"/>
          <w:sz w:val="28"/>
          <w:szCs w:val="28"/>
        </w:rPr>
        <w:t>спрощує для потенційних учасників Конкурсу підготовку до участі в ньому</w:t>
      </w:r>
      <w:r w:rsidR="00DC2741" w:rsidRPr="00CB4B5F">
        <w:rPr>
          <w:rFonts w:ascii="Times New Roman" w:hAnsi="Times New Roman" w:cs="Times New Roman"/>
          <w:sz w:val="28"/>
          <w:szCs w:val="28"/>
        </w:rPr>
        <w:t>,</w:t>
      </w:r>
      <w:r w:rsidR="005E777D" w:rsidRPr="00CB4B5F">
        <w:rPr>
          <w:rFonts w:ascii="Times New Roman" w:hAnsi="Times New Roman" w:cs="Times New Roman"/>
          <w:sz w:val="28"/>
          <w:szCs w:val="28"/>
        </w:rPr>
        <w:t xml:space="preserve"> а також зменшує</w:t>
      </w:r>
      <w:r w:rsidR="00DC2741" w:rsidRPr="00CB4B5F">
        <w:rPr>
          <w:rFonts w:ascii="Times New Roman" w:hAnsi="Times New Roman" w:cs="Times New Roman"/>
          <w:sz w:val="28"/>
          <w:szCs w:val="28"/>
        </w:rPr>
        <w:t xml:space="preserve"> витрати на канцелярські товари</w:t>
      </w:r>
      <w:r w:rsidR="005E777D" w:rsidRPr="00CB4B5F">
        <w:rPr>
          <w:rFonts w:ascii="Times New Roman" w:hAnsi="Times New Roman" w:cs="Times New Roman"/>
          <w:sz w:val="28"/>
          <w:szCs w:val="28"/>
        </w:rPr>
        <w:t xml:space="preserve"> (потрібно готувати меншу кількість документів)</w:t>
      </w:r>
      <w:r w:rsidR="00DC2741" w:rsidRPr="00CB4B5F">
        <w:rPr>
          <w:rFonts w:ascii="Times New Roman" w:hAnsi="Times New Roman" w:cs="Times New Roman"/>
          <w:sz w:val="28"/>
          <w:szCs w:val="28"/>
        </w:rPr>
        <w:t>.</w:t>
      </w:r>
    </w:p>
    <w:p w:rsidR="004376F8" w:rsidRPr="00CB4B5F" w:rsidRDefault="00625F24" w:rsidP="003325C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lastRenderedPageBreak/>
        <w:t>Отже</w:t>
      </w:r>
      <w:r w:rsidR="003325CD" w:rsidRPr="00CB4B5F">
        <w:rPr>
          <w:rFonts w:ascii="Times New Roman" w:hAnsi="Times New Roman" w:cs="Times New Roman"/>
          <w:sz w:val="28"/>
          <w:szCs w:val="28"/>
        </w:rPr>
        <w:t xml:space="preserve">, для розрахунку відповідних витрат суб’єкта господарювання </w:t>
      </w:r>
      <w:r w:rsidR="003325CD" w:rsidRPr="00CB4B5F">
        <w:rPr>
          <w:rFonts w:ascii="Times New Roman" w:eastAsia="Times New Roman" w:hAnsi="Times New Roman" w:cs="Times New Roman"/>
          <w:sz w:val="28"/>
          <w:szCs w:val="28"/>
        </w:rPr>
        <w:t>(</w:t>
      </w:r>
      <w:r w:rsidR="00215F23" w:rsidRPr="00CB4B5F">
        <w:rPr>
          <w:rFonts w:ascii="Times New Roman" w:eastAsia="Times New Roman" w:hAnsi="Times New Roman" w:cs="Times New Roman"/>
          <w:sz w:val="28"/>
          <w:szCs w:val="28"/>
        </w:rPr>
        <w:t>учасника Конкурсу</w:t>
      </w:r>
      <w:r w:rsidR="003325CD" w:rsidRPr="00CB4B5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376F8" w:rsidRPr="00CB4B5F">
        <w:rPr>
          <w:rFonts w:ascii="Times New Roman" w:hAnsi="Times New Roman" w:cs="Times New Roman"/>
          <w:sz w:val="28"/>
          <w:szCs w:val="28"/>
        </w:rPr>
        <w:t>застосовую</w:t>
      </w:r>
      <w:r w:rsidR="003325CD" w:rsidRPr="00CB4B5F">
        <w:rPr>
          <w:rFonts w:ascii="Times New Roman" w:hAnsi="Times New Roman" w:cs="Times New Roman"/>
          <w:sz w:val="28"/>
          <w:szCs w:val="28"/>
        </w:rPr>
        <w:t>ться показник</w:t>
      </w:r>
      <w:r w:rsidR="004376F8" w:rsidRPr="00CB4B5F">
        <w:rPr>
          <w:rFonts w:ascii="Times New Roman" w:hAnsi="Times New Roman" w:cs="Times New Roman"/>
          <w:sz w:val="28"/>
          <w:szCs w:val="28"/>
        </w:rPr>
        <w:t>и:</w:t>
      </w:r>
    </w:p>
    <w:p w:rsidR="004376F8" w:rsidRPr="00CB4B5F" w:rsidRDefault="003325CD" w:rsidP="003325C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>витрат</w:t>
      </w:r>
      <w:r w:rsidR="004376F8" w:rsidRPr="00CB4B5F">
        <w:rPr>
          <w:rFonts w:ascii="Times New Roman" w:hAnsi="Times New Roman" w:cs="Times New Roman"/>
          <w:sz w:val="28"/>
          <w:szCs w:val="28"/>
        </w:rPr>
        <w:t>а</w:t>
      </w:r>
      <w:r w:rsidRPr="00CB4B5F">
        <w:rPr>
          <w:rFonts w:ascii="Times New Roman" w:hAnsi="Times New Roman" w:cs="Times New Roman"/>
          <w:sz w:val="28"/>
          <w:szCs w:val="28"/>
        </w:rPr>
        <w:t xml:space="preserve"> часу на ознайомлення</w:t>
      </w:r>
      <w:r w:rsidR="00625F24" w:rsidRPr="00CB4B5F">
        <w:rPr>
          <w:rFonts w:ascii="Times New Roman" w:hAnsi="Times New Roman" w:cs="Times New Roman"/>
          <w:sz w:val="28"/>
          <w:szCs w:val="28"/>
        </w:rPr>
        <w:t xml:space="preserve"> та опрацювання</w:t>
      </w:r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  <w:r w:rsidR="00625F24" w:rsidRPr="00CB4B5F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CB4B5F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625F24" w:rsidRPr="00CB4B5F">
        <w:rPr>
          <w:rFonts w:ascii="Times New Roman" w:hAnsi="Times New Roman" w:cs="Times New Roman"/>
          <w:sz w:val="28"/>
          <w:szCs w:val="28"/>
        </w:rPr>
        <w:t>ь</w:t>
      </w:r>
      <w:r w:rsidRPr="00CB4B5F">
        <w:rPr>
          <w:rFonts w:ascii="Times New Roman" w:hAnsi="Times New Roman" w:cs="Times New Roman"/>
          <w:sz w:val="28"/>
          <w:szCs w:val="28"/>
        </w:rPr>
        <w:t xml:space="preserve"> нормат</w:t>
      </w:r>
      <w:r w:rsidR="00D44543" w:rsidRPr="00CB4B5F">
        <w:rPr>
          <w:rFonts w:ascii="Times New Roman" w:hAnsi="Times New Roman" w:cs="Times New Roman"/>
          <w:sz w:val="28"/>
          <w:szCs w:val="28"/>
        </w:rPr>
        <w:t xml:space="preserve">ивно-правового </w:t>
      </w:r>
      <w:proofErr w:type="spellStart"/>
      <w:r w:rsidR="00D44543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D44543" w:rsidRPr="00CB4B5F">
        <w:rPr>
          <w:rFonts w:ascii="Times New Roman" w:hAnsi="Times New Roman" w:cs="Times New Roman"/>
          <w:sz w:val="28"/>
          <w:szCs w:val="28"/>
        </w:rPr>
        <w:t xml:space="preserve"> –</w:t>
      </w:r>
      <w:r w:rsidR="004376F8" w:rsidRPr="00CB4B5F">
        <w:rPr>
          <w:rFonts w:ascii="Times New Roman" w:hAnsi="Times New Roman" w:cs="Times New Roman"/>
          <w:sz w:val="28"/>
          <w:szCs w:val="28"/>
        </w:rPr>
        <w:t xml:space="preserve"> </w:t>
      </w:r>
      <w:r w:rsidR="00D44543" w:rsidRPr="00CB4B5F">
        <w:rPr>
          <w:rFonts w:ascii="Times New Roman" w:hAnsi="Times New Roman" w:cs="Times New Roman"/>
          <w:sz w:val="28"/>
          <w:szCs w:val="28"/>
        </w:rPr>
        <w:t>1 година</w:t>
      </w:r>
      <w:r w:rsidR="004A1865" w:rsidRPr="00CB4B5F">
        <w:rPr>
          <w:rStyle w:val="aff2"/>
          <w:rFonts w:ascii="Times New Roman" w:hAnsi="Times New Roman" w:cs="Times New Roman"/>
          <w:sz w:val="28"/>
          <w:szCs w:val="28"/>
        </w:rPr>
        <w:footnoteReference w:id="1"/>
      </w:r>
      <w:r w:rsidR="004376F8" w:rsidRPr="00CB4B5F">
        <w:rPr>
          <w:rFonts w:ascii="Times New Roman" w:hAnsi="Times New Roman" w:cs="Times New Roman"/>
          <w:sz w:val="28"/>
          <w:szCs w:val="28"/>
        </w:rPr>
        <w:t>;</w:t>
      </w:r>
    </w:p>
    <w:p w:rsidR="003325CD" w:rsidRPr="00CB4B5F" w:rsidRDefault="004376F8" w:rsidP="003325C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 xml:space="preserve">підготовка документів потрібних для участі </w:t>
      </w:r>
      <w:r w:rsidR="0049636D" w:rsidRPr="00CB4B5F">
        <w:rPr>
          <w:rFonts w:ascii="Times New Roman" w:hAnsi="Times New Roman" w:cs="Times New Roman"/>
          <w:sz w:val="28"/>
          <w:szCs w:val="28"/>
        </w:rPr>
        <w:t>в</w:t>
      </w:r>
      <w:r w:rsidRPr="00CB4B5F">
        <w:rPr>
          <w:rFonts w:ascii="Times New Roman" w:hAnsi="Times New Roman" w:cs="Times New Roman"/>
          <w:sz w:val="28"/>
          <w:szCs w:val="28"/>
        </w:rPr>
        <w:t xml:space="preserve"> конкурсі – </w:t>
      </w:r>
      <w:r w:rsidR="008F5A8C" w:rsidRPr="00CB4B5F">
        <w:rPr>
          <w:rFonts w:ascii="Times New Roman" w:hAnsi="Times New Roman" w:cs="Times New Roman"/>
          <w:sz w:val="28"/>
          <w:szCs w:val="28"/>
        </w:rPr>
        <w:t>дл</w:t>
      </w:r>
      <w:r w:rsidR="009D5CBA" w:rsidRPr="00CB4B5F">
        <w:rPr>
          <w:rFonts w:ascii="Times New Roman" w:hAnsi="Times New Roman" w:cs="Times New Roman"/>
          <w:sz w:val="28"/>
          <w:szCs w:val="28"/>
        </w:rPr>
        <w:t>я</w:t>
      </w:r>
      <w:r w:rsidR="008F5A8C" w:rsidRPr="00CB4B5F">
        <w:rPr>
          <w:rFonts w:ascii="Times New Roman" w:hAnsi="Times New Roman" w:cs="Times New Roman"/>
          <w:sz w:val="28"/>
          <w:szCs w:val="28"/>
        </w:rPr>
        <w:t xml:space="preserve"> розрахунків</w:t>
      </w:r>
      <w:r w:rsidR="009D5CBA" w:rsidRPr="00CB4B5F">
        <w:rPr>
          <w:rFonts w:ascii="Times New Roman" w:hAnsi="Times New Roman" w:cs="Times New Roman"/>
          <w:sz w:val="28"/>
          <w:szCs w:val="28"/>
        </w:rPr>
        <w:t xml:space="preserve"> беремо </w:t>
      </w:r>
      <w:r w:rsidRPr="00CB4B5F">
        <w:rPr>
          <w:rFonts w:ascii="Times New Roman" w:hAnsi="Times New Roman" w:cs="Times New Roman"/>
          <w:sz w:val="28"/>
          <w:szCs w:val="28"/>
        </w:rPr>
        <w:t xml:space="preserve">50 аркушів </w:t>
      </w:r>
      <w:r w:rsidR="008B7034" w:rsidRPr="00CB4B5F">
        <w:rPr>
          <w:rFonts w:ascii="Times New Roman" w:hAnsi="Times New Roman" w:cs="Times New Roman"/>
          <w:sz w:val="28"/>
          <w:szCs w:val="28"/>
        </w:rPr>
        <w:t xml:space="preserve">офісного </w:t>
      </w:r>
      <w:r w:rsidRPr="00CB4B5F">
        <w:rPr>
          <w:rFonts w:ascii="Times New Roman" w:hAnsi="Times New Roman" w:cs="Times New Roman"/>
          <w:sz w:val="28"/>
          <w:szCs w:val="28"/>
        </w:rPr>
        <w:t>паперу формат</w:t>
      </w:r>
      <w:r w:rsidR="008B7034" w:rsidRPr="00CB4B5F">
        <w:rPr>
          <w:rFonts w:ascii="Times New Roman" w:hAnsi="Times New Roman" w:cs="Times New Roman"/>
          <w:sz w:val="28"/>
          <w:szCs w:val="28"/>
        </w:rPr>
        <w:t>у</w:t>
      </w:r>
      <w:r w:rsidRPr="00CB4B5F">
        <w:rPr>
          <w:rFonts w:ascii="Times New Roman" w:hAnsi="Times New Roman" w:cs="Times New Roman"/>
          <w:sz w:val="28"/>
          <w:szCs w:val="28"/>
        </w:rPr>
        <w:t xml:space="preserve"> А4</w:t>
      </w:r>
      <w:r w:rsidR="004A1865" w:rsidRPr="00CB4B5F">
        <w:rPr>
          <w:rStyle w:val="aff2"/>
          <w:rFonts w:ascii="Times New Roman" w:hAnsi="Times New Roman" w:cs="Times New Roman"/>
          <w:sz w:val="28"/>
          <w:szCs w:val="28"/>
        </w:rPr>
        <w:footnoteReference w:id="2"/>
      </w:r>
      <w:r w:rsidR="00D44543" w:rsidRPr="00CB4B5F">
        <w:rPr>
          <w:rFonts w:ascii="Times New Roman" w:hAnsi="Times New Roman" w:cs="Times New Roman"/>
          <w:sz w:val="28"/>
          <w:szCs w:val="28"/>
        </w:rPr>
        <w:t>.</w:t>
      </w:r>
      <w:r w:rsidR="003325CD" w:rsidRPr="00CB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B58" w:rsidRPr="00CB4B5F" w:rsidRDefault="00913B58" w:rsidP="003325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B58" w:rsidRPr="00CB4B5F" w:rsidRDefault="00913B58" w:rsidP="00913B5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B5F">
        <w:rPr>
          <w:rFonts w:ascii="Times New Roman" w:eastAsia="Times New Roman" w:hAnsi="Times New Roman" w:cs="Times New Roman"/>
          <w:b/>
          <w:bCs/>
          <w:sz w:val="28"/>
          <w:szCs w:val="28"/>
        </w:rPr>
        <w:t>ВИТРАТИ</w:t>
      </w:r>
      <w:r w:rsidRPr="00CB4B5F">
        <w:rPr>
          <w:rFonts w:ascii="Times New Roman" w:eastAsia="Times New Roman" w:hAnsi="Times New Roman" w:cs="Times New Roman"/>
          <w:sz w:val="24"/>
          <w:szCs w:val="24"/>
        </w:rPr>
        <w:br/>
      </w:r>
      <w:r w:rsidRPr="00CB4B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одного суб’єкта господарювання великого і середнього підприємництва, які виникають внаслідок дії регуляторного </w:t>
      </w:r>
      <w:proofErr w:type="spellStart"/>
      <w:r w:rsidRPr="00CB4B5F">
        <w:rPr>
          <w:rFonts w:ascii="Times New Roman" w:eastAsia="Times New Roman" w:hAnsi="Times New Roman" w:cs="Times New Roman"/>
          <w:b/>
          <w:bCs/>
          <w:sz w:val="28"/>
          <w:szCs w:val="28"/>
        </w:rPr>
        <w:t>акта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5792"/>
        <w:gridCol w:w="1173"/>
        <w:gridCol w:w="1174"/>
      </w:tblGrid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n178"/>
            <w:bookmarkEnd w:id="1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Порядковий номер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За перший рік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За п’ять років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придбання основних фондів, обладнання та приладів, сервісне обслуговування, навчання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підвищення кваліфікації персоналу тощо,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Податки та збори (зміна розміру податків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зборів, виникнення необхідності у сплаті податків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зборів),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Витрати, пов’язані з веденням обліку, підготовкою та поданням звітності державним органам,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Витрати, пов’язані з адмініструванням заходів державного нагляду (контролю) (перевірок, штрафних санкцій, виконання рішень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приписів тощо),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обов’язкових експертиз, 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сертифікації, атестації тощо) та інших послуг (проведення наукових, інших експертиз, страхування тощо),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оборотні активи (матеріали, канцелярські товари тощо),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D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438C0" w:rsidRPr="00CB4B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D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438C0" w:rsidRPr="00CB4B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Витрати, пов’язані з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наймом</w:t>
            </w:r>
            <w:proofErr w:type="spellEnd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додаткового персоналу,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Інше (уточнити),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D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A438C0" w:rsidRPr="00CB4B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D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A438C0" w:rsidRPr="00CB4B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 (сума рядків: 1 + 2 + 3 + 4 + 5 + 6 + 7 + 8),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D5CBA" w:rsidP="009D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A438C0" w:rsidRPr="00CB4B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D5CBA" w:rsidP="009D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A438C0" w:rsidRPr="00CB4B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B4B5F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суб’єктів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3B58" w:rsidRPr="00CB4B5F" w:rsidTr="00913B58">
        <w:trPr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Сумарні витрати суб’єктів господарювання великого та середнього підприємництва, на виконання регулювання (вартість регулювання) (рядок 9 х рядок 10), гр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D5CBA" w:rsidP="009D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A438C0" w:rsidRPr="00CB4B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D5CBA" w:rsidP="009D5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A438C0" w:rsidRPr="00CB4B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913B58" w:rsidRPr="00CB4B5F" w:rsidRDefault="00913B58" w:rsidP="00913B5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n179"/>
      <w:bookmarkEnd w:id="2"/>
    </w:p>
    <w:p w:rsidR="00913B58" w:rsidRPr="00CB4B5F" w:rsidRDefault="00913B58" w:rsidP="00913B58">
      <w:pPr>
        <w:shd w:val="clear" w:color="auto" w:fill="FFFFFF"/>
        <w:spacing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Розрахунок відповідних витрат на одного суб’єкта господарювання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36"/>
        <w:gridCol w:w="1967"/>
        <w:gridCol w:w="2063"/>
        <w:gridCol w:w="1865"/>
      </w:tblGrid>
      <w:tr w:rsidR="00CB4B5F" w:rsidRPr="00CB4B5F" w:rsidTr="003E7F29"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Вид витрат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За рік (стартовий)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Періодичні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(за наступний рік)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за п’ять років</w:t>
            </w:r>
          </w:p>
        </w:tc>
      </w:tr>
      <w:tr w:rsidR="00CB4B5F" w:rsidRPr="00CB4B5F" w:rsidTr="003E7F29"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913B58" w:rsidP="003E7F29">
            <w:pPr>
              <w:spacing w:before="150" w:after="15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оборотні активи (матеріали, канцелярські товари тощо)</w:t>
            </w:r>
          </w:p>
          <w:p w:rsidR="00143206" w:rsidRPr="00CB4B5F" w:rsidRDefault="00143206" w:rsidP="003E7F29">
            <w:pPr>
              <w:widowControl w:val="0"/>
              <w:tabs>
                <w:tab w:val="left" w:pos="720"/>
              </w:tabs>
              <w:spacing w:line="240" w:lineRule="auto"/>
              <w:ind w:left="127" w:right="-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>Формула:</w:t>
            </w:r>
          </w:p>
          <w:p w:rsidR="00143206" w:rsidRPr="00CB4B5F" w:rsidRDefault="00143206" w:rsidP="003E7F29">
            <w:pPr>
              <w:spacing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>вартість одного аркуша офісного паперу формату А4 Х  кількість аркушів застосованих для розрахунків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143206" w:rsidP="003240FF">
            <w:pPr>
              <w:widowControl w:val="0"/>
              <w:tabs>
                <w:tab w:val="left" w:pos="720"/>
              </w:tabs>
              <w:ind w:left="79" w:righ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0,34 грн 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х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50</w:t>
            </w:r>
            <w:r w:rsidR="003240FF"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 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арк</w:t>
            </w:r>
            <w:proofErr w:type="spellEnd"/>
            <w:r w:rsidR="003240FF"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= 17 грн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3E7F29" w:rsidP="003E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3B58" w:rsidRPr="00CB4B5F" w:rsidRDefault="003E7F29" w:rsidP="003240FF">
            <w:pPr>
              <w:widowControl w:val="0"/>
              <w:tabs>
                <w:tab w:val="left" w:pos="720"/>
              </w:tabs>
              <w:ind w:left="79" w:right="-60"/>
              <w:rPr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0,34 грн 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х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50</w:t>
            </w:r>
            <w:r w:rsidR="003240FF"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 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арк</w:t>
            </w:r>
            <w:proofErr w:type="spellEnd"/>
            <w:r w:rsidR="003240FF"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.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= 17 грн</w:t>
            </w:r>
          </w:p>
        </w:tc>
      </w:tr>
    </w:tbl>
    <w:p w:rsidR="00913B58" w:rsidRPr="00CB4B5F" w:rsidRDefault="00913B58" w:rsidP="003325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3B58" w:rsidRPr="00CB4B5F" w:rsidRDefault="00913B58" w:rsidP="003325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36"/>
        <w:gridCol w:w="1967"/>
        <w:gridCol w:w="2063"/>
        <w:gridCol w:w="1865"/>
      </w:tblGrid>
      <w:tr w:rsidR="00CB4B5F" w:rsidRPr="00CB4B5F" w:rsidTr="003E7F29"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7F29" w:rsidRPr="00CB4B5F" w:rsidRDefault="003E7F2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 витрат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7F29" w:rsidRPr="00CB4B5F" w:rsidRDefault="003E7F2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За рік (стартовий)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7F29" w:rsidRPr="00CB4B5F" w:rsidRDefault="003E7F2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Періодичні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(за наступний рік)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7F29" w:rsidRPr="00CB4B5F" w:rsidRDefault="003E7F2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за п’ять років</w:t>
            </w:r>
          </w:p>
        </w:tc>
      </w:tr>
      <w:tr w:rsidR="00CB4B5F" w:rsidRPr="00CB4B5F" w:rsidTr="003E7F29"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7F29" w:rsidRPr="00CB4B5F" w:rsidRDefault="003E7F29" w:rsidP="003E7F29">
            <w:pPr>
              <w:widowControl w:val="0"/>
              <w:tabs>
                <w:tab w:val="left" w:pos="720"/>
              </w:tabs>
              <w:ind w:left="127" w:right="-60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Інше (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отримання первинної інформації про вимоги регулювання)</w:t>
            </w:r>
          </w:p>
          <w:p w:rsidR="003E7F29" w:rsidRPr="00CB4B5F" w:rsidRDefault="003E7F29" w:rsidP="003E7F29">
            <w:pPr>
              <w:widowControl w:val="0"/>
              <w:tabs>
                <w:tab w:val="left" w:pos="720"/>
              </w:tabs>
              <w:ind w:left="127" w:right="-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</w:pPr>
          </w:p>
          <w:p w:rsidR="003E7F29" w:rsidRPr="00CB4B5F" w:rsidRDefault="003E7F29" w:rsidP="003E7F29">
            <w:pPr>
              <w:widowControl w:val="0"/>
              <w:tabs>
                <w:tab w:val="left" w:pos="720"/>
              </w:tabs>
              <w:spacing w:line="240" w:lineRule="auto"/>
              <w:ind w:left="127" w:right="-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</w:pPr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>Формула:</w:t>
            </w:r>
          </w:p>
          <w:p w:rsidR="003E7F29" w:rsidRPr="00CB4B5F" w:rsidRDefault="003E7F29" w:rsidP="003E7F29">
            <w:pPr>
              <w:spacing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>витрати часу н</w:t>
            </w:r>
            <w:r w:rsid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>а</w:t>
            </w:r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 xml:space="preserve">  ознайомлення з положеннями нормативно-правового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>акта</w:t>
            </w:r>
            <w:proofErr w:type="spellEnd"/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 xml:space="preserve">  </w:t>
            </w:r>
            <w:r w:rsidR="0049636D"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>х</w:t>
            </w:r>
            <w:r w:rsidRPr="00CB4B5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ko-KR"/>
              </w:rPr>
              <w:t xml:space="preserve">  </w:t>
            </w:r>
            <w:r w:rsidRPr="00CB4B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заробітну плату </w:t>
            </w:r>
            <w:r w:rsidR="0049636D" w:rsidRPr="00CB4B5F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CB4B5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погодинному розмірі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7F29" w:rsidRPr="00CB4B5F" w:rsidRDefault="003E7F29" w:rsidP="003240FF">
            <w:pPr>
              <w:widowControl w:val="0"/>
              <w:tabs>
                <w:tab w:val="left" w:pos="720"/>
              </w:tabs>
              <w:ind w:left="79" w:right="-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1 год 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х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48 грн = 48 грн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7F29" w:rsidRPr="00CB4B5F" w:rsidRDefault="003E7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E7F29" w:rsidRPr="00CB4B5F" w:rsidRDefault="003E7F29" w:rsidP="003240FF">
            <w:pPr>
              <w:widowControl w:val="0"/>
              <w:tabs>
                <w:tab w:val="left" w:pos="720"/>
              </w:tabs>
              <w:ind w:left="79" w:right="-60"/>
              <w:rPr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1 год </w:t>
            </w:r>
            <w:r w:rsidR="0049636D"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>х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  <w:t xml:space="preserve"> 48 грн = 48 грн</w:t>
            </w:r>
          </w:p>
        </w:tc>
      </w:tr>
    </w:tbl>
    <w:p w:rsidR="00913B58" w:rsidRPr="00CB4B5F" w:rsidRDefault="00913B58" w:rsidP="003325C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CB4B5F" w:rsidRPr="00CB4B5F" w:rsidTr="003E7F2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CD" w:rsidRPr="00CB4B5F" w:rsidRDefault="00332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Сумарні витрати за альтернативами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CD" w:rsidRPr="00CB4B5F" w:rsidRDefault="003325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Сума витрат, гривень</w:t>
            </w:r>
          </w:p>
        </w:tc>
      </w:tr>
      <w:tr w:rsidR="00CB4B5F" w:rsidRPr="00CB4B5F" w:rsidTr="003E7F2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CD" w:rsidRPr="00CB4B5F" w:rsidRDefault="00332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CD" w:rsidRPr="00CB4B5F" w:rsidRDefault="00352052" w:rsidP="00BD1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 xml:space="preserve">47,60 </w:t>
            </w:r>
            <w:r w:rsidR="00BD1AD9" w:rsidRPr="00CB4B5F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3240FF" w:rsidRPr="00CB4B5F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CB4B5F" w:rsidRPr="00CB4B5F" w:rsidTr="003E7F29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5CD" w:rsidRPr="00CB4B5F" w:rsidRDefault="00332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5CD" w:rsidRPr="00CB4B5F" w:rsidRDefault="00A4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130,00</w:t>
            </w:r>
            <w:r w:rsidR="003325CD" w:rsidRPr="00CB4B5F">
              <w:rPr>
                <w:rFonts w:ascii="Times New Roman" w:hAnsi="Times New Roman" w:cs="Times New Roman"/>
                <w:sz w:val="28"/>
                <w:szCs w:val="28"/>
              </w:rPr>
              <w:t xml:space="preserve"> грн (витрати за 5 років)</w:t>
            </w:r>
          </w:p>
        </w:tc>
      </w:tr>
    </w:tbl>
    <w:p w:rsidR="00EE2C7A" w:rsidRPr="00CB4B5F" w:rsidRDefault="00EE2C7A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7BFD" w:rsidRPr="00CB4B5F" w:rsidRDefault="00F02715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4</w:t>
      </w:r>
      <w:r w:rsidR="00807BFD" w:rsidRPr="00CB4B5F">
        <w:rPr>
          <w:rFonts w:ascii="Times New Roman" w:eastAsia="Times New Roman" w:hAnsi="Times New Roman" w:cs="Times New Roman"/>
          <w:sz w:val="28"/>
          <w:szCs w:val="28"/>
        </w:rPr>
        <w:t>. Оцінка впливу на сферу інтересів громадян</w:t>
      </w:r>
    </w:p>
    <w:p w:rsidR="00807BFD" w:rsidRPr="00CB4B5F" w:rsidRDefault="00807BFD" w:rsidP="002E2F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Про</w:t>
      </w:r>
      <w:r w:rsidR="006D20C7" w:rsidRPr="00CB4B5F">
        <w:rPr>
          <w:rFonts w:ascii="Times New Roman" w:hAnsi="Times New Roman" w:cs="Times New Roman"/>
          <w:sz w:val="28"/>
          <w:szCs w:val="28"/>
        </w:rPr>
        <w:t>є</w:t>
      </w:r>
      <w:r w:rsidRPr="00CB4B5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4D7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не впливає на сферу інтересів громадян.</w:t>
      </w:r>
    </w:p>
    <w:p w:rsidR="00615CF9" w:rsidRPr="00CB4B5F" w:rsidRDefault="00615CF9" w:rsidP="002E2F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6BDA" w:rsidRPr="00CB4B5F" w:rsidRDefault="00A76BDA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b/>
          <w:sz w:val="28"/>
          <w:szCs w:val="28"/>
        </w:rPr>
        <w:t>ІV. Вибір найбільш оптимального альтернат</w:t>
      </w:r>
      <w:r w:rsidR="007177D7" w:rsidRPr="00CB4B5F">
        <w:rPr>
          <w:rFonts w:ascii="Times New Roman" w:eastAsia="Times New Roman" w:hAnsi="Times New Roman" w:cs="Times New Roman"/>
          <w:b/>
          <w:sz w:val="28"/>
          <w:szCs w:val="28"/>
        </w:rPr>
        <w:t>ивного способу досягнення цілей</w:t>
      </w:r>
    </w:p>
    <w:p w:rsidR="00FD1E08" w:rsidRPr="00CB4B5F" w:rsidRDefault="00FD1E08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цілей.</w:t>
      </w:r>
    </w:p>
    <w:p w:rsidR="007F6CE0" w:rsidRPr="00CB4B5F" w:rsidRDefault="00FD1E08" w:rsidP="007F6CE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Вартість балів визначається за чотирибальною системою оцінки ступеня досягнення визначених цілей.</w:t>
      </w:r>
    </w:p>
    <w:p w:rsidR="007F6CE0" w:rsidRPr="00CB4B5F" w:rsidRDefault="00AE5B69" w:rsidP="007F6CE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З наведених вище розрахунків</w:t>
      </w:r>
      <w:r w:rsidR="00C73E28" w:rsidRPr="00CB4B5F">
        <w:rPr>
          <w:rFonts w:ascii="Times New Roman" w:eastAsia="Times New Roman" w:hAnsi="Times New Roman" w:cs="Times New Roman"/>
          <w:sz w:val="28"/>
          <w:szCs w:val="28"/>
        </w:rPr>
        <w:t xml:space="preserve"> сумарні витрати для суб’єктів господарювання за альтернативою 1 є менші ніж витрати за альтернативою 2. </w:t>
      </w:r>
      <w:r w:rsidR="0049636D" w:rsidRPr="00CB4B5F">
        <w:rPr>
          <w:rFonts w:ascii="Times New Roman" w:eastAsia="Times New Roman" w:hAnsi="Times New Roman" w:cs="Times New Roman"/>
          <w:sz w:val="28"/>
          <w:szCs w:val="28"/>
        </w:rPr>
        <w:t>Водночас</w:t>
      </w:r>
      <w:r w:rsidR="00C73E28" w:rsidRPr="00CB4B5F">
        <w:rPr>
          <w:rFonts w:ascii="Times New Roman" w:eastAsia="Times New Roman" w:hAnsi="Times New Roman" w:cs="Times New Roman"/>
          <w:sz w:val="28"/>
          <w:szCs w:val="28"/>
        </w:rPr>
        <w:t xml:space="preserve"> на розмір сумарних витрат за альтер</w:t>
      </w:r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73E28" w:rsidRPr="00CB4B5F">
        <w:rPr>
          <w:rFonts w:ascii="Times New Roman" w:eastAsia="Times New Roman" w:hAnsi="Times New Roman" w:cs="Times New Roman"/>
          <w:sz w:val="28"/>
          <w:szCs w:val="28"/>
        </w:rPr>
        <w:t xml:space="preserve">ативою 2 значно впливає </w:t>
      </w:r>
      <w:r w:rsidR="00C73E28" w:rsidRPr="00CB4B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показник щодо </w:t>
      </w:r>
      <w:r w:rsidR="00C73E28" w:rsidRPr="00CB4B5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отримання первинної інформації про вимоги регулювання, що застосовуватиметься лише один раз та не впливатиме на витрати суб’єктів господарювання в майбутньому. </w:t>
      </w:r>
      <w:r w:rsidR="00C73E28" w:rsidRPr="00CB4B5F">
        <w:rPr>
          <w:rFonts w:ascii="Times New Roman" w:eastAsia="Times New Roman" w:hAnsi="Times New Roman" w:cs="Times New Roman"/>
          <w:sz w:val="28"/>
          <w:szCs w:val="28"/>
        </w:rPr>
        <w:t xml:space="preserve">Але </w:t>
      </w:r>
      <w:r w:rsidR="0049636D" w:rsidRPr="00CB4B5F">
        <w:rPr>
          <w:rFonts w:ascii="Times New Roman" w:eastAsia="Times New Roman" w:hAnsi="Times New Roman" w:cs="Times New Roman"/>
          <w:sz w:val="28"/>
          <w:szCs w:val="28"/>
        </w:rPr>
        <w:t>водночас</w:t>
      </w:r>
      <w:r w:rsidR="00C73E28" w:rsidRPr="00CB4B5F">
        <w:rPr>
          <w:rFonts w:ascii="Times New Roman" w:eastAsia="Times New Roman" w:hAnsi="Times New Roman" w:cs="Times New Roman"/>
          <w:sz w:val="28"/>
          <w:szCs w:val="28"/>
        </w:rPr>
        <w:t xml:space="preserve"> в обох випадках сума витрат є меншою ніж 100 грн</w:t>
      </w:r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>, що</w:t>
      </w:r>
      <w:r w:rsidR="0047194A" w:rsidRPr="00CB4B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 xml:space="preserve"> по суті</w:t>
      </w:r>
      <w:r w:rsidR="0047194A" w:rsidRPr="00CB4B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 xml:space="preserve"> не обтяжує фінансовий стан суб’єкта господарювання. Це, </w:t>
      </w:r>
      <w:r w:rsidR="0047194A" w:rsidRPr="00CB4B5F">
        <w:rPr>
          <w:rFonts w:ascii="Times New Roman" w:eastAsia="Times New Roman" w:hAnsi="Times New Roman" w:cs="Times New Roman"/>
          <w:sz w:val="28"/>
          <w:szCs w:val="28"/>
        </w:rPr>
        <w:t>зі свого боку</w:t>
      </w:r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D1AD9" w:rsidRPr="00CB4B5F">
        <w:rPr>
          <w:rFonts w:ascii="Times New Roman" w:eastAsia="Times New Roman" w:hAnsi="Times New Roman" w:cs="Times New Roman"/>
          <w:sz w:val="28"/>
          <w:szCs w:val="28"/>
        </w:rPr>
        <w:t>дає змогу</w:t>
      </w:r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 xml:space="preserve"> зробити висновок, що </w:t>
      </w:r>
      <w:r w:rsidR="00983B02" w:rsidRPr="00CB4B5F">
        <w:rPr>
          <w:rFonts w:ascii="Times New Roman" w:eastAsia="Times New Roman" w:hAnsi="Times New Roman" w:cs="Times New Roman"/>
          <w:sz w:val="28"/>
          <w:szCs w:val="28"/>
        </w:rPr>
        <w:t>вигоди від впровадження</w:t>
      </w:r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 xml:space="preserve"> є з</w:t>
      </w:r>
      <w:r w:rsidR="00983B02" w:rsidRPr="00CB4B5F">
        <w:rPr>
          <w:rFonts w:ascii="Times New Roman" w:eastAsia="Times New Roman" w:hAnsi="Times New Roman" w:cs="Times New Roman"/>
          <w:sz w:val="28"/>
          <w:szCs w:val="28"/>
        </w:rPr>
        <w:t xml:space="preserve">начно </w:t>
      </w:r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>ціннішими як для суб’єктів господарювання, так і для держави, ніж залишення чинного регулювання</w:t>
      </w:r>
      <w:r w:rsidR="0047194A" w:rsidRPr="00CB4B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E0E85"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94A" w:rsidRPr="00CB4B5F">
        <w:rPr>
          <w:rFonts w:ascii="Times New Roman" w:eastAsia="Times New Roman" w:hAnsi="Times New Roman" w:cs="Times New Roman"/>
          <w:sz w:val="28"/>
          <w:szCs w:val="28"/>
        </w:rPr>
        <w:t>зокрема</w:t>
      </w:r>
      <w:r w:rsidR="009E0E85" w:rsidRPr="00CB4B5F">
        <w:rPr>
          <w:rFonts w:ascii="Times New Roman" w:eastAsia="Times New Roman" w:hAnsi="Times New Roman" w:cs="Times New Roman"/>
          <w:sz w:val="28"/>
          <w:szCs w:val="28"/>
        </w:rPr>
        <w:t xml:space="preserve"> держава і суб’єкти господарювання отримають чіткіший та досконаліший механізм проведення Конкурсу.</w:t>
      </w:r>
      <w:r w:rsidR="007F6CE0"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5E78" w:rsidRPr="00CB4B5F" w:rsidRDefault="00B65E78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118"/>
        <w:gridCol w:w="2823"/>
        <w:gridCol w:w="3682"/>
      </w:tblGrid>
      <w:tr w:rsidR="00CB4B5F" w:rsidRPr="00CB4B5F" w:rsidTr="00E85DBD">
        <w:trPr>
          <w:trHeight w:val="454"/>
        </w:trPr>
        <w:tc>
          <w:tcPr>
            <w:tcW w:w="162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Рейтинг результативності (досягнення цілей під час вирішення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67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Бал результативності (за чотирибальною системою оцінки)</w:t>
            </w:r>
          </w:p>
        </w:tc>
        <w:tc>
          <w:tcPr>
            <w:tcW w:w="1913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Коментарі щодо присвоєння відповідного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бала</w:t>
            </w:r>
            <w:proofErr w:type="spellEnd"/>
          </w:p>
        </w:tc>
      </w:tr>
      <w:tr w:rsidR="00CB4B5F" w:rsidRPr="00CB4B5F" w:rsidTr="004279A9">
        <w:trPr>
          <w:trHeight w:val="910"/>
        </w:trPr>
        <w:tc>
          <w:tcPr>
            <w:tcW w:w="1620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F85A20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215F23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742BB0" w:rsidP="00C756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Проблемне питання продовжуватиме існувати</w:t>
            </w:r>
            <w:r w:rsidR="00C756F0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, оскільки Держмитслужбі н</w:t>
            </w:r>
            <w:r w:rsidR="00C756F0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едоцільно проводити новий Конкурс без внесення змін до Порядку, які врегулю</w:t>
            </w:r>
            <w:r w:rsidR="00861034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ють</w:t>
            </w:r>
            <w:r w:rsidR="00C756F0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виявлені недоліки, пов’яза</w:t>
            </w:r>
            <w:r w:rsidR="00C756F0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ні з організацією Конкурсу</w:t>
            </w:r>
            <w:r w:rsidR="00F65087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6BDA" w:rsidRPr="00CB4B5F" w:rsidTr="00FD7181">
        <w:trPr>
          <w:trHeight w:val="976"/>
        </w:trPr>
        <w:tc>
          <w:tcPr>
            <w:tcW w:w="1620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A76BDA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AB4FA0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3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C756F0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Цілі прийняття регуляторного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можуть бути реалізовані повною мірою, оскільки прийняття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усуне </w:t>
            </w:r>
            <w:r w:rsidRPr="00CB4B5F">
              <w:rPr>
                <w:rFonts w:ascii="Times New Roman" w:hAnsi="Times New Roman"/>
                <w:sz w:val="28"/>
                <w:szCs w:val="28"/>
              </w:rPr>
              <w:t xml:space="preserve">виявлені прогалини в нормах Порядку, 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пов’яза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ні з організацією Конкурсу</w:t>
            </w:r>
            <w:r w:rsidR="00F65087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841EE" w:rsidRPr="00CB4B5F" w:rsidRDefault="008841EE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53"/>
        <w:gridCol w:w="2466"/>
        <w:gridCol w:w="2494"/>
        <w:gridCol w:w="2518"/>
      </w:tblGrid>
      <w:tr w:rsidR="00CB4B5F" w:rsidRPr="00CB4B5F" w:rsidTr="00FD7181">
        <w:trPr>
          <w:trHeight w:val="1249"/>
        </w:trPr>
        <w:tc>
          <w:tcPr>
            <w:tcW w:w="111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Рейтинг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результатив-ності</w:t>
            </w:r>
            <w:proofErr w:type="spellEnd"/>
          </w:p>
        </w:tc>
        <w:tc>
          <w:tcPr>
            <w:tcW w:w="128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Вигоди</w:t>
            </w:r>
          </w:p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(підсумок)</w:t>
            </w:r>
          </w:p>
        </w:tc>
        <w:tc>
          <w:tcPr>
            <w:tcW w:w="129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(підсумок)</w:t>
            </w:r>
          </w:p>
        </w:tc>
        <w:tc>
          <w:tcPr>
            <w:tcW w:w="1307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Обґрунтування відповідного місця альтернативи 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рейтингу</w:t>
            </w:r>
          </w:p>
        </w:tc>
      </w:tr>
      <w:tr w:rsidR="00CB4B5F" w:rsidRPr="00CB4B5F" w:rsidTr="002E2B8B">
        <w:trPr>
          <w:trHeight w:val="1024"/>
        </w:trPr>
        <w:tc>
          <w:tcPr>
            <w:tcW w:w="1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A76BDA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1</w:t>
            </w:r>
          </w:p>
        </w:tc>
        <w:tc>
          <w:tcPr>
            <w:tcW w:w="12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FF1C4F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держави: 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r w:rsidR="005B7E52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B27E6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оскільки</w:t>
            </w:r>
            <w:r w:rsidR="009D67D5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27E6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 засвідчила практика</w:t>
            </w:r>
            <w:r w:rsidR="009D67D5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27E6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Порядок не враховує певні </w:t>
            </w:r>
            <w:r w:rsidR="00B27E6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особливості</w:t>
            </w:r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27E6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пов’язані з організацією Конкурсу, зокрема щодо подальших дій організатора Конкурсу 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27E6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разі визнання конкурсу таким, що не відбувся.</w:t>
            </w:r>
          </w:p>
          <w:p w:rsidR="00FF1C4F" w:rsidRPr="00CB4B5F" w:rsidRDefault="00FF1C4F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суб’єктів господарювання:</w:t>
            </w:r>
          </w:p>
          <w:p w:rsidR="00FF1C4F" w:rsidRPr="00CB4B5F" w:rsidRDefault="0086122A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немає </w:t>
            </w:r>
            <w:r w:rsidR="00B27E6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27E6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B27E6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ознайомлення з новими регуляторними вимогами</w:t>
            </w:r>
          </w:p>
        </w:tc>
        <w:tc>
          <w:tcPr>
            <w:tcW w:w="1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712F1A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держави:</w:t>
            </w:r>
          </w:p>
          <w:p w:rsidR="00C65CF8" w:rsidRPr="00CB4B5F" w:rsidRDefault="00B27E6E" w:rsidP="00C65C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недоцільність проведення нового Конкурсу без внесення змін до 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Порядку, які врегулю</w:t>
            </w:r>
            <w:r w:rsidR="00797B51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ють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виявлені недоліки, пов’яза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ні з організацією Конкурсу.</w:t>
            </w:r>
          </w:p>
          <w:p w:rsidR="00B27E6E" w:rsidRPr="00CB4B5F" w:rsidRDefault="00B27E6E" w:rsidP="00C65C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E6E" w:rsidRPr="00CB4B5F" w:rsidRDefault="00B27E6E" w:rsidP="00C65C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E6E" w:rsidRPr="00CB4B5F" w:rsidRDefault="00B27E6E" w:rsidP="00C65C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7E6E" w:rsidRPr="00CB4B5F" w:rsidRDefault="00B27E6E" w:rsidP="00C65C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4D9D" w:rsidRPr="00CB4B5F" w:rsidRDefault="00E44D9D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суб’єктів господарювання:</w:t>
            </w:r>
          </w:p>
          <w:p w:rsidR="00E44D9D" w:rsidRPr="00CB4B5F" w:rsidRDefault="00B27E6E" w:rsidP="00EE2C7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відсутність чіткого строку, на який визначається уповноважений банк, що потенційно може стримувати банк від прийняття рішення щодо участі 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Конкурсі</w:t>
            </w:r>
            <w:r w:rsidR="00C53E90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62D0E" w:rsidRPr="00CB4B5F" w:rsidRDefault="00462D0E" w:rsidP="00462D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B5F">
              <w:rPr>
                <w:rFonts w:ascii="Times New Roman" w:hAnsi="Times New Roman"/>
                <w:sz w:val="28"/>
                <w:szCs w:val="28"/>
              </w:rPr>
              <w:t>Великий перелік документів, які банки мають надати для участі в Конкурсі.</w:t>
            </w:r>
          </w:p>
          <w:p w:rsidR="00462D0E" w:rsidRPr="00CB4B5F" w:rsidRDefault="00462D0E" w:rsidP="00BD1A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/>
                <w:sz w:val="28"/>
                <w:szCs w:val="28"/>
              </w:rPr>
              <w:t>Прогнозні витрати на одного суб’єкта господарювання  становлять 23,8 грив</w:t>
            </w:r>
            <w:r w:rsidR="00BD1AD9" w:rsidRPr="00CB4B5F">
              <w:rPr>
                <w:rFonts w:ascii="Times New Roman" w:hAnsi="Times New Roman"/>
                <w:sz w:val="28"/>
                <w:szCs w:val="28"/>
              </w:rPr>
              <w:t>ні</w:t>
            </w:r>
            <w:r w:rsidRPr="00CB4B5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0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00D" w:rsidRPr="00CB4B5F" w:rsidRDefault="00B27E6E" w:rsidP="006515DE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Чинне державне регулювання у відповідному напрямі не є досконалим</w:t>
            </w:r>
          </w:p>
        </w:tc>
      </w:tr>
      <w:tr w:rsidR="003D095A" w:rsidRPr="00CB4B5F" w:rsidTr="00BF770C">
        <w:trPr>
          <w:trHeight w:val="316"/>
        </w:trPr>
        <w:tc>
          <w:tcPr>
            <w:tcW w:w="1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A76BDA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</w:t>
            </w:r>
          </w:p>
        </w:tc>
        <w:tc>
          <w:tcPr>
            <w:tcW w:w="128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33E" w:rsidRPr="00CB4B5F" w:rsidRDefault="008F033E" w:rsidP="002E2F2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Для держави:</w:t>
            </w:r>
          </w:p>
          <w:p w:rsidR="002E2B8B" w:rsidRPr="00CB4B5F" w:rsidRDefault="00B27E6E" w:rsidP="002E2B8B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реалізація </w:t>
            </w:r>
            <w:proofErr w:type="spellStart"/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ак</w:t>
            </w:r>
            <w:r w:rsidR="009D67D5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="009D67D5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дасть </w:t>
            </w:r>
            <w:r w:rsidR="009D67D5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змогу 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>встановити послідовні правила</w:t>
            </w:r>
            <w:r w:rsidR="007C5C00"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організації та</w:t>
            </w: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проведення Конкурсу.</w:t>
            </w:r>
          </w:p>
          <w:p w:rsidR="002E2B8B" w:rsidRPr="00CB4B5F" w:rsidRDefault="002E2B8B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7E6E" w:rsidRPr="00CB4B5F" w:rsidRDefault="00B27E6E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7E6E" w:rsidRPr="00CB4B5F" w:rsidRDefault="00B27E6E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7E6E" w:rsidRPr="00CB4B5F" w:rsidRDefault="00B27E6E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7E6E" w:rsidRPr="00CB4B5F" w:rsidRDefault="00B27E6E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7E6E" w:rsidRPr="00CB4B5F" w:rsidRDefault="00B27E6E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7E6E" w:rsidRPr="00CB4B5F" w:rsidRDefault="00B27E6E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7E6E" w:rsidRPr="00CB4B5F" w:rsidRDefault="00B27E6E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7E6E" w:rsidRPr="00CB4B5F" w:rsidRDefault="00B27E6E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430A4" w:rsidRPr="00CB4B5F" w:rsidRDefault="006430A4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430A4" w:rsidRPr="00CB4B5F" w:rsidRDefault="006430A4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430A4" w:rsidRPr="00CB4B5F" w:rsidRDefault="006430A4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27E6E" w:rsidRPr="00CB4B5F" w:rsidRDefault="00B27E6E" w:rsidP="002E2B8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5522E" w:rsidRPr="00CB4B5F" w:rsidRDefault="0095522E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суб’єктів господарювання:</w:t>
            </w:r>
          </w:p>
          <w:p w:rsidR="000E47C8" w:rsidRPr="00CB4B5F" w:rsidRDefault="00B27E6E" w:rsidP="00462D0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учасники Конкурсу 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разі перемоги можуть розраховувати на довг</w:t>
            </w:r>
            <w:r w:rsidR="00462D0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острокову співпрацю з державою 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частині надання послуг з прийняття </w:t>
            </w:r>
            <w:r w:rsidR="00AC1D9E" w:rsidRPr="00CB4B5F">
              <w:rPr>
                <w:rFonts w:ascii="Times New Roman" w:hAnsi="Times New Roman"/>
                <w:sz w:val="28"/>
                <w:szCs w:val="28"/>
              </w:rPr>
              <w:t>митних платежів у</w:t>
            </w:r>
            <w:r w:rsidR="00462D0E" w:rsidRPr="00CB4B5F">
              <w:rPr>
                <w:rFonts w:ascii="Times New Roman" w:hAnsi="Times New Roman"/>
                <w:sz w:val="28"/>
                <w:szCs w:val="28"/>
              </w:rPr>
              <w:t xml:space="preserve"> місцях митного оформлення</w:t>
            </w:r>
            <w:r w:rsidRPr="00CB4B5F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5179D7" w:rsidRPr="00CB4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2D0E" w:rsidRPr="00CB4B5F">
              <w:rPr>
                <w:rFonts w:ascii="Times New Roman" w:hAnsi="Times New Roman"/>
                <w:sz w:val="28"/>
                <w:szCs w:val="28"/>
              </w:rPr>
              <w:t>мінімум на</w:t>
            </w:r>
            <w:r w:rsidRPr="00CB4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24FA" w:rsidRPr="00CB4B5F">
              <w:rPr>
                <w:rFonts w:ascii="Times New Roman" w:hAnsi="Times New Roman"/>
                <w:sz w:val="28"/>
                <w:szCs w:val="28"/>
              </w:rPr>
              <w:br/>
            </w:r>
            <w:r w:rsidRPr="00CB4B5F">
              <w:rPr>
                <w:rFonts w:ascii="Times New Roman" w:hAnsi="Times New Roman"/>
                <w:sz w:val="28"/>
                <w:szCs w:val="28"/>
              </w:rPr>
              <w:t>5 років</w:t>
            </w:r>
            <w:r w:rsidR="005179D7" w:rsidRPr="00CB4B5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2D0E" w:rsidRPr="00CB4B5F" w:rsidRDefault="00AB4CD9" w:rsidP="002049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62D0E" w:rsidRPr="00CB4B5F">
              <w:rPr>
                <w:rFonts w:ascii="Times New Roman" w:hAnsi="Times New Roman" w:cs="Times New Roman"/>
                <w:sz w:val="28"/>
                <w:szCs w:val="28"/>
              </w:rPr>
              <w:t xml:space="preserve">меншено </w:t>
            </w:r>
            <w:r w:rsidR="0020492F" w:rsidRPr="00CB4B5F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r w:rsidR="00462D0E" w:rsidRPr="00CB4B5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документів, які банки мають надати для участі в Конкурсі.</w:t>
            </w:r>
            <w:r w:rsidR="00492C4F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Прогнозується, що витрати на канцелярські товари порівнян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492C4F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такими витратами за альтернативою 1 </w:t>
            </w:r>
            <w:proofErr w:type="spellStart"/>
            <w:r w:rsidR="00492C4F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зменшаться</w:t>
            </w:r>
            <w:proofErr w:type="spellEnd"/>
          </w:p>
        </w:tc>
        <w:tc>
          <w:tcPr>
            <w:tcW w:w="12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74F6" w:rsidRPr="00CB4B5F" w:rsidRDefault="001674F6" w:rsidP="002E2F2F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Для держави:</w:t>
            </w:r>
          </w:p>
          <w:p w:rsidR="000E47C8" w:rsidRPr="00CB4B5F" w:rsidRDefault="00B27E6E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hAnsi="Times New Roman" w:cs="Times New Roman"/>
                <w:sz w:val="28"/>
                <w:szCs w:val="28"/>
              </w:rPr>
              <w:t>відсутні,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оскільки прийняття розробленого нормативно-правового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створює необхідності здійснення державою 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(організатором Конкурсу) витрат на впровадження нового регулювання.</w:t>
            </w:r>
          </w:p>
          <w:p w:rsidR="00B27E6E" w:rsidRPr="00CB4B5F" w:rsidRDefault="00B27E6E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74F6" w:rsidRPr="00CB4B5F" w:rsidRDefault="001674F6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суб’єктів господарювання:</w:t>
            </w:r>
          </w:p>
          <w:p w:rsidR="00A76BDA" w:rsidRPr="00CB4B5F" w:rsidRDefault="00B27E6E" w:rsidP="00492C4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прогнозуються витрати, які пов’язані з необхідністю ознайомлення з новими регуляторними вимогами</w:t>
            </w:r>
            <w:r w:rsidR="00492C4F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(лише в перший рік впровадження), а також витрати на канцелярські товари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62D0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Прогнозні витрати на одного суб’єкта господарювання  становитимуть </w:t>
            </w:r>
            <w:r w:rsidR="001C24F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62D0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65 гр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иве</w:t>
            </w:r>
            <w:r w:rsidR="001C24F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30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B27E6E" w:rsidP="00B27E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Ця альтернатива є оптимальною, оскільки удосконалить механізм проведення Конкурсу</w:t>
            </w:r>
            <w:r w:rsidR="006925A2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06F21" w:rsidRPr="00CB4B5F" w:rsidRDefault="00106F21" w:rsidP="002E2F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130"/>
        <w:gridCol w:w="4099"/>
        <w:gridCol w:w="3402"/>
      </w:tblGrid>
      <w:tr w:rsidR="00CB4B5F" w:rsidRPr="00CB4B5F" w:rsidTr="0011145C">
        <w:trPr>
          <w:trHeight w:val="1030"/>
        </w:trPr>
        <w:tc>
          <w:tcPr>
            <w:tcW w:w="110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Рейтинг</w:t>
            </w:r>
          </w:p>
        </w:tc>
        <w:tc>
          <w:tcPr>
            <w:tcW w:w="212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Аргумент щодо переваг обраної альтернативи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причини відмови від альтернативи</w:t>
            </w:r>
          </w:p>
        </w:tc>
        <w:tc>
          <w:tcPr>
            <w:tcW w:w="176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BDA" w:rsidRPr="00CB4B5F" w:rsidRDefault="00A76BDA" w:rsidP="002E2F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</w:tr>
      <w:tr w:rsidR="00CB4B5F" w:rsidRPr="00CB4B5F" w:rsidTr="00A01C3F">
        <w:trPr>
          <w:trHeight w:val="3717"/>
        </w:trPr>
        <w:tc>
          <w:tcPr>
            <w:tcW w:w="11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A76BDA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Альтернатива 1</w:t>
            </w:r>
          </w:p>
          <w:p w:rsidR="00A76BDA" w:rsidRPr="00CB4B5F" w:rsidRDefault="00A76BDA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1C3F" w:rsidRPr="00CB4B5F" w:rsidRDefault="00DB2813" w:rsidP="009D0F8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 результативності (за чотирибальною системою оцінки – 1). </w:t>
            </w:r>
          </w:p>
          <w:p w:rsidR="00A76BDA" w:rsidRPr="00CB4B5F" w:rsidRDefault="00DB2813" w:rsidP="009D0F8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Переваг 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Цей альтернативний спосіб не </w:t>
            </w:r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враховує певні особливості, пов’язані з організацією</w:t>
            </w:r>
            <w:r w:rsidR="005179D7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проведення</w:t>
            </w:r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Конкурсу, зокрема </w:t>
            </w:r>
            <w:r w:rsidR="0071370B" w:rsidRPr="00CB4B5F">
              <w:rPr>
                <w:rFonts w:ascii="Times New Roman" w:hAnsi="Times New Roman"/>
                <w:sz w:val="28"/>
                <w:szCs w:val="28"/>
              </w:rPr>
              <w:t>щодо подальших</w:t>
            </w:r>
            <w:r w:rsidR="002C009E" w:rsidRPr="00CB4B5F">
              <w:rPr>
                <w:rFonts w:ascii="Times New Roman" w:hAnsi="Times New Roman"/>
                <w:sz w:val="28"/>
                <w:szCs w:val="28"/>
              </w:rPr>
              <w:t xml:space="preserve"> дій організатора Конкурсу </w:t>
            </w:r>
            <w:r w:rsidR="0086122A" w:rsidRPr="00CB4B5F">
              <w:rPr>
                <w:rFonts w:ascii="Times New Roman" w:hAnsi="Times New Roman"/>
                <w:sz w:val="28"/>
                <w:szCs w:val="28"/>
              </w:rPr>
              <w:t>в</w:t>
            </w:r>
            <w:r w:rsidR="002C009E" w:rsidRPr="00CB4B5F">
              <w:rPr>
                <w:rFonts w:ascii="Times New Roman" w:hAnsi="Times New Roman"/>
                <w:sz w:val="28"/>
                <w:szCs w:val="28"/>
              </w:rPr>
              <w:t xml:space="preserve"> разі визнання конкурсу таким, що не відбувся</w:t>
            </w:r>
          </w:p>
        </w:tc>
        <w:tc>
          <w:tcPr>
            <w:tcW w:w="176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B007C5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Ризик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зовнішніх чинників </w:t>
            </w:r>
            <w:r w:rsidR="0086122A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A76BDA" w:rsidRPr="00CB4B5F" w:rsidTr="00FA4E99">
        <w:trPr>
          <w:trHeight w:val="801"/>
        </w:trPr>
        <w:tc>
          <w:tcPr>
            <w:tcW w:w="11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A76BDA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Альтернатива 2</w:t>
            </w:r>
          </w:p>
          <w:p w:rsidR="00A76BDA" w:rsidRPr="00CB4B5F" w:rsidRDefault="00A76BDA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1C3F" w:rsidRPr="00CB4B5F" w:rsidRDefault="00A01C3F" w:rsidP="006D20C7">
            <w:pPr>
              <w:pStyle w:val="afb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 результативності (за чотирибальною системою оцінки – 4). </w:t>
            </w:r>
          </w:p>
          <w:p w:rsidR="00A76BDA" w:rsidRPr="00CB4B5F" w:rsidRDefault="00EA63DB" w:rsidP="002F7107">
            <w:pPr>
              <w:pStyle w:val="afb"/>
              <w:rPr>
                <w:rFonts w:ascii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Така альтернатива є оптимальною, оскільки р</w:t>
            </w:r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еалізація </w:t>
            </w:r>
            <w:proofErr w:type="spellStart"/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надасть</w:t>
            </w:r>
            <w:proofErr w:type="spellEnd"/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можливість встановити </w:t>
            </w:r>
            <w:r w:rsidR="002F7107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чіткіші та досконаліші </w:t>
            </w:r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</w:t>
            </w:r>
            <w:r w:rsidR="0071370B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організації </w:t>
            </w:r>
            <w:r w:rsidR="002C009E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 Конкурсу</w:t>
            </w:r>
          </w:p>
        </w:tc>
        <w:tc>
          <w:tcPr>
            <w:tcW w:w="176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BDA" w:rsidRPr="00CB4B5F" w:rsidRDefault="00495B7B" w:rsidP="002E2F2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Ризик</w:t>
            </w:r>
            <w:r w:rsidR="0040425B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зовнішніх чинників </w:t>
            </w:r>
            <w:r w:rsidR="0040425B" w:rsidRPr="00CB4B5F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</w:p>
        </w:tc>
      </w:tr>
    </w:tbl>
    <w:p w:rsidR="00E60ED2" w:rsidRPr="00CB4B5F" w:rsidRDefault="00E60ED2" w:rsidP="002E2F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786" w:rsidRPr="00CB4B5F" w:rsidRDefault="005F3786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b/>
          <w:sz w:val="28"/>
          <w:szCs w:val="28"/>
        </w:rPr>
        <w:t>V. Механізм та заходи, які забезпечать розв’язання визначеної проблеми</w:t>
      </w:r>
    </w:p>
    <w:p w:rsidR="00DF3C74" w:rsidRPr="00CB4B5F" w:rsidRDefault="00CC4FC3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291C9A" w:rsidRPr="00CB4B5F">
        <w:rPr>
          <w:rFonts w:ascii="Times New Roman" w:eastAsia="Times New Roman" w:hAnsi="Times New Roman" w:cs="Times New Roman"/>
          <w:sz w:val="28"/>
          <w:szCs w:val="28"/>
        </w:rPr>
        <w:t xml:space="preserve">Механізм дії регуляторного </w:t>
      </w:r>
      <w:proofErr w:type="spellStart"/>
      <w:r w:rsidR="00291C9A"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5734A1" w:rsidRPr="00CB4B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3008" w:rsidRPr="00CB4B5F" w:rsidRDefault="00BC3008" w:rsidP="002E2F2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A63DB" w:rsidRPr="00CB4B5F" w:rsidRDefault="0062013E" w:rsidP="00EA63D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>Основним м</w:t>
      </w:r>
      <w:r w:rsidR="005F3786" w:rsidRPr="00CB4B5F">
        <w:rPr>
          <w:rFonts w:ascii="Times New Roman" w:eastAsia="Times New Roman" w:hAnsi="Times New Roman" w:cs="Times New Roman"/>
          <w:sz w:val="28"/>
          <w:szCs w:val="28"/>
        </w:rPr>
        <w:t>еханізмом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5F3786" w:rsidRPr="00CB4B5F">
        <w:rPr>
          <w:rFonts w:ascii="Times New Roman" w:eastAsia="Times New Roman" w:hAnsi="Times New Roman" w:cs="Times New Roman"/>
          <w:sz w:val="28"/>
          <w:szCs w:val="28"/>
        </w:rPr>
        <w:t xml:space="preserve">розв’язання 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визначеної </w:t>
      </w:r>
      <w:r w:rsidR="005F3786" w:rsidRPr="00CB4B5F">
        <w:rPr>
          <w:rFonts w:ascii="Times New Roman" w:eastAsia="Times New Roman" w:hAnsi="Times New Roman" w:cs="Times New Roman"/>
          <w:sz w:val="28"/>
          <w:szCs w:val="28"/>
        </w:rPr>
        <w:t xml:space="preserve">проблеми є прийняття </w:t>
      </w:r>
      <w:proofErr w:type="spellStart"/>
      <w:r w:rsidRPr="00CB4B5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6D20C7" w:rsidRPr="00CB4B5F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CB4B5F">
        <w:rPr>
          <w:rFonts w:ascii="Times New Roman" w:eastAsia="Times New Roman" w:hAnsi="Times New Roman" w:cs="Times New Roman"/>
          <w:sz w:val="28"/>
          <w:szCs w:val="28"/>
        </w:rPr>
        <w:t>кту</w:t>
      </w:r>
      <w:proofErr w:type="spellEnd"/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3786" w:rsidRPr="00CB4B5F">
        <w:rPr>
          <w:rFonts w:ascii="Times New Roman" w:eastAsia="Times New Roman" w:hAnsi="Times New Roman" w:cs="Times New Roman"/>
          <w:sz w:val="28"/>
          <w:szCs w:val="28"/>
        </w:rPr>
        <w:t xml:space="preserve">регуляторного </w:t>
      </w:r>
      <w:proofErr w:type="spellStart"/>
      <w:r w:rsidR="005F3786"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="00EA63DB" w:rsidRPr="00CB4B5F">
        <w:rPr>
          <w:rFonts w:ascii="Times New Roman" w:eastAsia="Times New Roman" w:hAnsi="Times New Roman" w:cs="Times New Roman"/>
          <w:sz w:val="28"/>
          <w:szCs w:val="28"/>
        </w:rPr>
        <w:t>, який удосконалить законодавчі засади щодо проведення Конкурсу, зокрема, в</w:t>
      </w:r>
      <w:r w:rsidR="00EA63DB" w:rsidRPr="00CB4B5F">
        <w:rPr>
          <w:rFonts w:ascii="Times New Roman" w:hAnsi="Times New Roman"/>
          <w:sz w:val="28"/>
          <w:szCs w:val="28"/>
        </w:rPr>
        <w:t xml:space="preserve"> частині можливості проведення засідання конкурсної комісії дистанційно </w:t>
      </w:r>
      <w:r w:rsidR="0040425B" w:rsidRPr="00CB4B5F">
        <w:rPr>
          <w:rFonts w:ascii="Times New Roman" w:hAnsi="Times New Roman"/>
          <w:sz w:val="28"/>
          <w:szCs w:val="28"/>
        </w:rPr>
        <w:t>в</w:t>
      </w:r>
      <w:r w:rsidR="00EA63DB" w:rsidRPr="00CB4B5F">
        <w:rPr>
          <w:rFonts w:ascii="Times New Roman" w:hAnsi="Times New Roman"/>
          <w:sz w:val="28"/>
          <w:szCs w:val="28"/>
        </w:rPr>
        <w:t xml:space="preserve"> режимі відеоконференції, створення протоколу засідання конкурсної комісії у формі електронного документа, структури (складу) конкурсної документації, положень, що визначають подальші дії у разі визнання конкурсу таким, що не відбувся</w:t>
      </w:r>
      <w:r w:rsidR="009146A6" w:rsidRPr="00CB4B5F">
        <w:rPr>
          <w:rFonts w:ascii="Times New Roman" w:hAnsi="Times New Roman"/>
          <w:sz w:val="28"/>
          <w:szCs w:val="28"/>
        </w:rPr>
        <w:t>,</w:t>
      </w:r>
      <w:r w:rsidR="00EA63DB" w:rsidRPr="00CB4B5F">
        <w:rPr>
          <w:rFonts w:ascii="Times New Roman" w:hAnsi="Times New Roman"/>
          <w:sz w:val="28"/>
          <w:szCs w:val="28"/>
        </w:rPr>
        <w:t xml:space="preserve"> тощо. Також </w:t>
      </w:r>
      <w:r w:rsidR="00EA63DB" w:rsidRPr="00CB4B5F">
        <w:rPr>
          <w:rFonts w:ascii="Times New Roman" w:eastAsia="Times New Roman" w:hAnsi="Times New Roman" w:cs="Times New Roman"/>
          <w:sz w:val="28"/>
          <w:szCs w:val="28"/>
        </w:rPr>
        <w:t>регуляторний акт</w:t>
      </w:r>
      <w:r w:rsidR="00EA63DB" w:rsidRPr="00CB4B5F">
        <w:rPr>
          <w:rFonts w:ascii="Times New Roman" w:hAnsi="Times New Roman"/>
          <w:sz w:val="28"/>
          <w:szCs w:val="28"/>
        </w:rPr>
        <w:t xml:space="preserve"> визначить положення щодо строку, на який визначається уповноважений банк</w:t>
      </w:r>
      <w:r w:rsidR="00AB4CD9" w:rsidRPr="00CB4B5F">
        <w:rPr>
          <w:rFonts w:ascii="Times New Roman" w:hAnsi="Times New Roman"/>
          <w:sz w:val="28"/>
          <w:szCs w:val="28"/>
        </w:rPr>
        <w:t xml:space="preserve">, та </w:t>
      </w:r>
      <w:r w:rsidR="00AB4CD9" w:rsidRPr="00CB4B5F">
        <w:rPr>
          <w:rFonts w:ascii="Times New Roman" w:hAnsi="Times New Roman" w:cs="Times New Roman"/>
          <w:sz w:val="28"/>
          <w:szCs w:val="28"/>
        </w:rPr>
        <w:t>зменшить перелік документів, які банки мають надати для участі в Конкурсі</w:t>
      </w:r>
      <w:r w:rsidR="00EA63DB" w:rsidRPr="00CB4B5F">
        <w:rPr>
          <w:rFonts w:ascii="Times New Roman" w:hAnsi="Times New Roman"/>
          <w:sz w:val="28"/>
          <w:szCs w:val="28"/>
        </w:rPr>
        <w:t>.</w:t>
      </w:r>
    </w:p>
    <w:p w:rsidR="001C724A" w:rsidRPr="00CB4B5F" w:rsidRDefault="00700D84" w:rsidP="002E2F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ED2" w:rsidRPr="00CB4B5F" w:rsidRDefault="003C6A81" w:rsidP="00CC4FC3">
      <w:pPr>
        <w:pStyle w:val="ae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>Організаційні заходи впровадження регу</w:t>
      </w:r>
      <w:r w:rsidR="005729D5" w:rsidRPr="00CB4B5F">
        <w:rPr>
          <w:rFonts w:ascii="Times New Roman" w:hAnsi="Times New Roman" w:cs="Times New Roman"/>
          <w:sz w:val="28"/>
          <w:szCs w:val="28"/>
        </w:rPr>
        <w:t>л</w:t>
      </w:r>
      <w:r w:rsidRPr="00CB4B5F">
        <w:rPr>
          <w:rFonts w:ascii="Times New Roman" w:hAnsi="Times New Roman" w:cs="Times New Roman"/>
          <w:sz w:val="28"/>
          <w:szCs w:val="28"/>
        </w:rPr>
        <w:t xml:space="preserve">яторного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в дію</w:t>
      </w:r>
      <w:r w:rsidR="00CC4FC3" w:rsidRPr="00CB4B5F">
        <w:rPr>
          <w:rFonts w:ascii="Times New Roman" w:hAnsi="Times New Roman" w:cs="Times New Roman"/>
          <w:sz w:val="28"/>
          <w:szCs w:val="28"/>
        </w:rPr>
        <w:t>.</w:t>
      </w:r>
    </w:p>
    <w:p w:rsidR="001C724A" w:rsidRPr="00CB4B5F" w:rsidRDefault="001C724A" w:rsidP="002E2F2F">
      <w:pPr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939AC" w:rsidRPr="00C246DD" w:rsidRDefault="001939AC" w:rsidP="001939A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Для впровадження регуляторного </w:t>
      </w:r>
      <w:proofErr w:type="spellStart"/>
      <w:r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 необхідно забезпечити інформування громадськості про вимоги регуляторного </w:t>
      </w:r>
      <w:proofErr w:type="spellStart"/>
      <w:r w:rsidRPr="00CB4B5F"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eastAsia="Times New Roman" w:hAnsi="Times New Roman" w:cs="Times New Roman"/>
          <w:sz w:val="28"/>
          <w:szCs w:val="28"/>
        </w:rPr>
        <w:t xml:space="preserve"> шляхом його оприлюднення на </w:t>
      </w:r>
      <w:r w:rsidRPr="00C246DD">
        <w:rPr>
          <w:rFonts w:ascii="Times New Roman" w:hAnsi="Times New Roman"/>
          <w:sz w:val="28"/>
          <w:szCs w:val="28"/>
          <w:lang w:eastAsia="ru-RU"/>
        </w:rPr>
        <w:t>офіційн</w:t>
      </w:r>
      <w:r w:rsidR="006430A4" w:rsidRPr="00C246DD">
        <w:rPr>
          <w:rFonts w:ascii="Times New Roman" w:hAnsi="Times New Roman"/>
          <w:sz w:val="28"/>
          <w:szCs w:val="28"/>
          <w:lang w:eastAsia="ru-RU"/>
        </w:rPr>
        <w:t>ому</w:t>
      </w:r>
      <w:r w:rsidRPr="00C246D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430A4" w:rsidRPr="00C246DD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C246DD">
        <w:rPr>
          <w:rFonts w:ascii="Times New Roman" w:hAnsi="Times New Roman"/>
          <w:sz w:val="28"/>
          <w:szCs w:val="28"/>
          <w:lang w:eastAsia="ru-RU"/>
        </w:rPr>
        <w:t xml:space="preserve"> Міністерства фінансів України</w:t>
      </w:r>
      <w:r w:rsidR="006430A4" w:rsidRPr="00C246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0F82" w:rsidRPr="00C246DD">
        <w:rPr>
          <w:rFonts w:ascii="Times New Roman" w:hAnsi="Times New Roman"/>
          <w:sz w:val="28"/>
          <w:szCs w:val="28"/>
        </w:rPr>
        <w:t>(</w:t>
      </w:r>
      <w:hyperlink r:id="rId8" w:history="1">
        <w:r w:rsidR="000B3209" w:rsidRPr="00C246DD">
          <w:rPr>
            <w:rStyle w:val="af7"/>
            <w:rFonts w:ascii="Times New Roman" w:hAnsi="Times New Roman"/>
            <w:sz w:val="28"/>
            <w:szCs w:val="28"/>
          </w:rPr>
          <w:t>http://www.mof.gov.ua</w:t>
        </w:r>
      </w:hyperlink>
      <w:r w:rsidR="00250F82" w:rsidRPr="00C246DD">
        <w:rPr>
          <w:rFonts w:ascii="Times New Roman" w:hAnsi="Times New Roman"/>
          <w:sz w:val="28"/>
          <w:szCs w:val="28"/>
        </w:rPr>
        <w:t>).</w:t>
      </w:r>
    </w:p>
    <w:p w:rsidR="00F81563" w:rsidRPr="00CB4B5F" w:rsidRDefault="00F81563" w:rsidP="002E2F2F">
      <w:pPr>
        <w:pStyle w:val="af5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4B5F">
        <w:rPr>
          <w:sz w:val="28"/>
          <w:szCs w:val="28"/>
        </w:rPr>
        <w:t>Ризик</w:t>
      </w:r>
      <w:r w:rsidR="0040425B" w:rsidRPr="00CB4B5F">
        <w:rPr>
          <w:sz w:val="28"/>
          <w:szCs w:val="28"/>
        </w:rPr>
        <w:t>у</w:t>
      </w:r>
      <w:r w:rsidRPr="00CB4B5F">
        <w:rPr>
          <w:sz w:val="28"/>
          <w:szCs w:val="28"/>
        </w:rPr>
        <w:t xml:space="preserve"> впливу зовнішніх факторів на</w:t>
      </w:r>
      <w:r w:rsidR="00EA63DB" w:rsidRPr="00CB4B5F">
        <w:rPr>
          <w:sz w:val="28"/>
          <w:szCs w:val="28"/>
        </w:rPr>
        <w:t xml:space="preserve"> дію регуляторного </w:t>
      </w:r>
      <w:proofErr w:type="spellStart"/>
      <w:r w:rsidR="00EA63DB" w:rsidRPr="00CB4B5F">
        <w:rPr>
          <w:sz w:val="28"/>
          <w:szCs w:val="28"/>
        </w:rPr>
        <w:t>акта</w:t>
      </w:r>
      <w:proofErr w:type="spellEnd"/>
      <w:r w:rsidR="00EA63DB" w:rsidRPr="00CB4B5F">
        <w:rPr>
          <w:sz w:val="28"/>
          <w:szCs w:val="28"/>
        </w:rPr>
        <w:t xml:space="preserve"> </w:t>
      </w:r>
      <w:r w:rsidR="0040425B" w:rsidRPr="00CB4B5F">
        <w:rPr>
          <w:sz w:val="28"/>
          <w:szCs w:val="28"/>
        </w:rPr>
        <w:t>немає</w:t>
      </w:r>
      <w:r w:rsidRPr="00CB4B5F">
        <w:rPr>
          <w:sz w:val="28"/>
          <w:szCs w:val="28"/>
        </w:rPr>
        <w:t>.</w:t>
      </w:r>
    </w:p>
    <w:p w:rsidR="00F81563" w:rsidRPr="00CB4B5F" w:rsidRDefault="00F81563" w:rsidP="002E2F2F">
      <w:pPr>
        <w:pStyle w:val="af5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4B5F">
        <w:rPr>
          <w:sz w:val="28"/>
          <w:szCs w:val="28"/>
        </w:rPr>
        <w:lastRenderedPageBreak/>
        <w:t>Досягнення цілей не передбачає додаткових організаційних заходів.</w:t>
      </w:r>
    </w:p>
    <w:p w:rsidR="00F81563" w:rsidRPr="00CB4B5F" w:rsidRDefault="00F81563" w:rsidP="002E2F2F">
      <w:pPr>
        <w:pStyle w:val="af5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4B5F">
        <w:rPr>
          <w:sz w:val="28"/>
          <w:szCs w:val="28"/>
        </w:rPr>
        <w:t xml:space="preserve">Прийняття </w:t>
      </w:r>
      <w:proofErr w:type="spellStart"/>
      <w:r w:rsidRPr="00CB4B5F">
        <w:rPr>
          <w:sz w:val="28"/>
          <w:szCs w:val="28"/>
        </w:rPr>
        <w:t>про</w:t>
      </w:r>
      <w:r w:rsidR="006D20C7" w:rsidRPr="00CB4B5F">
        <w:rPr>
          <w:sz w:val="28"/>
          <w:szCs w:val="28"/>
        </w:rPr>
        <w:t>є</w:t>
      </w:r>
      <w:r w:rsidRPr="00CB4B5F">
        <w:rPr>
          <w:sz w:val="28"/>
          <w:szCs w:val="28"/>
        </w:rPr>
        <w:t>кту</w:t>
      </w:r>
      <w:proofErr w:type="spellEnd"/>
      <w:r w:rsidRPr="00CB4B5F">
        <w:rPr>
          <w:sz w:val="28"/>
          <w:szCs w:val="28"/>
        </w:rPr>
        <w:t xml:space="preserve"> </w:t>
      </w:r>
      <w:proofErr w:type="spellStart"/>
      <w:r w:rsidR="00EF74D7" w:rsidRPr="00CB4B5F">
        <w:rPr>
          <w:sz w:val="28"/>
          <w:szCs w:val="28"/>
        </w:rPr>
        <w:t>акта</w:t>
      </w:r>
      <w:proofErr w:type="spellEnd"/>
      <w:r w:rsidRPr="00CB4B5F">
        <w:rPr>
          <w:sz w:val="28"/>
          <w:szCs w:val="28"/>
        </w:rPr>
        <w:t xml:space="preserve"> не призведе до неочікуваних результатів і не потребує додаткових витрат з державного бюджету.</w:t>
      </w:r>
    </w:p>
    <w:p w:rsidR="00F81563" w:rsidRPr="00CB4B5F" w:rsidRDefault="00F81563" w:rsidP="002E2F2F">
      <w:pPr>
        <w:pStyle w:val="af5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B4B5F">
        <w:rPr>
          <w:sz w:val="28"/>
          <w:szCs w:val="28"/>
        </w:rPr>
        <w:t xml:space="preserve">Можлива шкода </w:t>
      </w:r>
      <w:r w:rsidR="0040425B" w:rsidRPr="00CB4B5F">
        <w:rPr>
          <w:sz w:val="28"/>
          <w:szCs w:val="28"/>
        </w:rPr>
        <w:t>в</w:t>
      </w:r>
      <w:r w:rsidRPr="00CB4B5F">
        <w:rPr>
          <w:sz w:val="28"/>
          <w:szCs w:val="28"/>
        </w:rPr>
        <w:t xml:space="preserve"> разі очікуваних наслідків дії </w:t>
      </w:r>
      <w:proofErr w:type="spellStart"/>
      <w:r w:rsidRPr="00CB4B5F">
        <w:rPr>
          <w:sz w:val="28"/>
          <w:szCs w:val="28"/>
        </w:rPr>
        <w:t>акта</w:t>
      </w:r>
      <w:proofErr w:type="spellEnd"/>
      <w:r w:rsidRPr="00CB4B5F">
        <w:rPr>
          <w:sz w:val="28"/>
          <w:szCs w:val="28"/>
        </w:rPr>
        <w:t xml:space="preserve"> не прогнозується.</w:t>
      </w:r>
    </w:p>
    <w:p w:rsidR="00B90724" w:rsidRPr="00CB4B5F" w:rsidRDefault="00F81563" w:rsidP="00B90724">
      <w:pPr>
        <w:pStyle w:val="af5"/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eastAsia="Times New Roman"/>
          <w:i/>
          <w:sz w:val="28"/>
          <w:szCs w:val="28"/>
          <w:lang w:eastAsia="ko-KR"/>
        </w:rPr>
      </w:pPr>
      <w:r w:rsidRPr="00CB4B5F">
        <w:rPr>
          <w:sz w:val="28"/>
          <w:szCs w:val="28"/>
        </w:rPr>
        <w:t xml:space="preserve">З боку </w:t>
      </w:r>
      <w:r w:rsidR="001939AC" w:rsidRPr="00CB4B5F">
        <w:rPr>
          <w:rFonts w:eastAsia="Times New Roman"/>
          <w:sz w:val="28"/>
          <w:szCs w:val="28"/>
        </w:rPr>
        <w:t>суб’єктів господарювання (</w:t>
      </w:r>
      <w:r w:rsidR="00027517" w:rsidRPr="00CB4B5F">
        <w:rPr>
          <w:sz w:val="28"/>
          <w:szCs w:val="28"/>
        </w:rPr>
        <w:t>банків</w:t>
      </w:r>
      <w:r w:rsidR="001939AC" w:rsidRPr="00CB4B5F">
        <w:rPr>
          <w:sz w:val="28"/>
          <w:szCs w:val="28"/>
        </w:rPr>
        <w:t xml:space="preserve">, які будуть брати участь у Конкурсі) </w:t>
      </w:r>
      <w:r w:rsidR="0040425B" w:rsidRPr="00CB4B5F">
        <w:rPr>
          <w:sz w:val="28"/>
          <w:szCs w:val="28"/>
        </w:rPr>
        <w:t>немає</w:t>
      </w:r>
      <w:r w:rsidRPr="00CB4B5F">
        <w:rPr>
          <w:sz w:val="28"/>
          <w:szCs w:val="28"/>
        </w:rPr>
        <w:t xml:space="preserve"> необхідн</w:t>
      </w:r>
      <w:r w:rsidR="0040425B" w:rsidRPr="00CB4B5F">
        <w:rPr>
          <w:sz w:val="28"/>
          <w:szCs w:val="28"/>
        </w:rPr>
        <w:t>о</w:t>
      </w:r>
      <w:r w:rsidRPr="00CB4B5F">
        <w:rPr>
          <w:sz w:val="28"/>
          <w:szCs w:val="28"/>
        </w:rPr>
        <w:t>ст</w:t>
      </w:r>
      <w:r w:rsidR="0040425B" w:rsidRPr="00CB4B5F">
        <w:rPr>
          <w:sz w:val="28"/>
          <w:szCs w:val="28"/>
        </w:rPr>
        <w:t>і</w:t>
      </w:r>
      <w:r w:rsidRPr="00CB4B5F">
        <w:rPr>
          <w:sz w:val="28"/>
          <w:szCs w:val="28"/>
        </w:rPr>
        <w:t xml:space="preserve"> вчинення додаткових дій, оскільки </w:t>
      </w:r>
      <w:proofErr w:type="spellStart"/>
      <w:r w:rsidRPr="00CB4B5F">
        <w:rPr>
          <w:sz w:val="28"/>
          <w:szCs w:val="28"/>
        </w:rPr>
        <w:t>про</w:t>
      </w:r>
      <w:r w:rsidR="006D20C7" w:rsidRPr="00CB4B5F">
        <w:rPr>
          <w:sz w:val="28"/>
          <w:szCs w:val="28"/>
        </w:rPr>
        <w:t>є</w:t>
      </w:r>
      <w:r w:rsidRPr="00CB4B5F">
        <w:rPr>
          <w:sz w:val="28"/>
          <w:szCs w:val="28"/>
        </w:rPr>
        <w:t>кт</w:t>
      </w:r>
      <w:proofErr w:type="spellEnd"/>
      <w:r w:rsidRPr="00CB4B5F">
        <w:rPr>
          <w:sz w:val="28"/>
          <w:szCs w:val="28"/>
        </w:rPr>
        <w:t xml:space="preserve"> </w:t>
      </w:r>
      <w:proofErr w:type="spellStart"/>
      <w:r w:rsidRPr="00CB4B5F">
        <w:rPr>
          <w:sz w:val="28"/>
          <w:szCs w:val="28"/>
        </w:rPr>
        <w:t>акта</w:t>
      </w:r>
      <w:proofErr w:type="spellEnd"/>
      <w:r w:rsidRPr="00CB4B5F">
        <w:rPr>
          <w:sz w:val="28"/>
          <w:szCs w:val="28"/>
        </w:rPr>
        <w:t xml:space="preserve"> не </w:t>
      </w:r>
      <w:r w:rsidR="001C724A" w:rsidRPr="00CB4B5F">
        <w:rPr>
          <w:sz w:val="28"/>
          <w:szCs w:val="28"/>
        </w:rPr>
        <w:t>спричиняє</w:t>
      </w:r>
      <w:r w:rsidRPr="00CB4B5F">
        <w:rPr>
          <w:sz w:val="28"/>
          <w:szCs w:val="28"/>
        </w:rPr>
        <w:t xml:space="preserve"> додаткових регуляторних бар’єрів щодо здійснення </w:t>
      </w:r>
      <w:r w:rsidR="00027517" w:rsidRPr="00CB4B5F">
        <w:rPr>
          <w:sz w:val="28"/>
          <w:szCs w:val="28"/>
        </w:rPr>
        <w:t>банківської</w:t>
      </w:r>
      <w:r w:rsidRPr="00CB4B5F">
        <w:rPr>
          <w:sz w:val="28"/>
          <w:szCs w:val="28"/>
        </w:rPr>
        <w:t xml:space="preserve"> діяльності.</w:t>
      </w:r>
      <w:r w:rsidR="00B90724" w:rsidRPr="00CB4B5F">
        <w:rPr>
          <w:sz w:val="28"/>
          <w:szCs w:val="28"/>
        </w:rPr>
        <w:t xml:space="preserve"> </w:t>
      </w:r>
      <w:r w:rsidR="00B13360" w:rsidRPr="00CB4B5F">
        <w:rPr>
          <w:sz w:val="28"/>
          <w:szCs w:val="28"/>
          <w:lang w:val="en-US"/>
        </w:rPr>
        <w:t>C</w:t>
      </w:r>
      <w:proofErr w:type="spellStart"/>
      <w:r w:rsidR="00B13360" w:rsidRPr="00CB4B5F">
        <w:rPr>
          <w:sz w:val="28"/>
          <w:szCs w:val="28"/>
        </w:rPr>
        <w:t>уб’єктам</w:t>
      </w:r>
      <w:proofErr w:type="spellEnd"/>
      <w:r w:rsidR="00B13360" w:rsidRPr="00CB4B5F">
        <w:rPr>
          <w:sz w:val="28"/>
          <w:szCs w:val="28"/>
        </w:rPr>
        <w:t xml:space="preserve"> господарювання необхідно лише отримати первинну інформацію про вимоги регулювання (ознайомитись з положеннями нормативно-правового </w:t>
      </w:r>
      <w:proofErr w:type="spellStart"/>
      <w:r w:rsidR="00B13360" w:rsidRPr="00CB4B5F">
        <w:rPr>
          <w:sz w:val="28"/>
          <w:szCs w:val="28"/>
        </w:rPr>
        <w:t>акта</w:t>
      </w:r>
      <w:proofErr w:type="spellEnd"/>
      <w:r w:rsidR="00B13360" w:rsidRPr="00CB4B5F">
        <w:rPr>
          <w:sz w:val="28"/>
          <w:szCs w:val="28"/>
        </w:rPr>
        <w:t>).</w:t>
      </w:r>
    </w:p>
    <w:p w:rsidR="00F81563" w:rsidRPr="00CB4B5F" w:rsidRDefault="00F81563" w:rsidP="002E2F2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563" w:rsidRPr="00CB4B5F" w:rsidRDefault="00F81563" w:rsidP="002E2F2F">
      <w:pPr>
        <w:pStyle w:val="rvps12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rvts15"/>
          <w:sz w:val="28"/>
          <w:szCs w:val="28"/>
        </w:rPr>
      </w:pPr>
      <w:r w:rsidRPr="00CB4B5F">
        <w:rPr>
          <w:rStyle w:val="rvts15"/>
          <w:b/>
          <w:sz w:val="28"/>
          <w:szCs w:val="28"/>
        </w:rPr>
        <w:t xml:space="preserve">VI. Оцінка виконання вимог регуляторного </w:t>
      </w:r>
      <w:proofErr w:type="spellStart"/>
      <w:r w:rsidRPr="00CB4B5F">
        <w:rPr>
          <w:rStyle w:val="rvts15"/>
          <w:b/>
          <w:sz w:val="28"/>
          <w:szCs w:val="28"/>
        </w:rPr>
        <w:t>акта</w:t>
      </w:r>
      <w:proofErr w:type="spellEnd"/>
      <w:r w:rsidRPr="00CB4B5F">
        <w:rPr>
          <w:rStyle w:val="rvts15"/>
          <w:b/>
          <w:sz w:val="28"/>
          <w:szCs w:val="28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F81563" w:rsidRPr="00CB4B5F" w:rsidRDefault="00F81563" w:rsidP="002E2F2F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 xml:space="preserve">Реалізація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про</w:t>
      </w:r>
      <w:r w:rsidR="006D20C7" w:rsidRPr="00CB4B5F">
        <w:rPr>
          <w:rFonts w:ascii="Times New Roman" w:hAnsi="Times New Roman" w:cs="Times New Roman"/>
          <w:sz w:val="28"/>
          <w:szCs w:val="28"/>
        </w:rPr>
        <w:t>є</w:t>
      </w:r>
      <w:r w:rsidRPr="00CB4B5F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EC4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не передбачає фінансових ви</w:t>
      </w:r>
      <w:r w:rsidR="00184386" w:rsidRPr="00CB4B5F">
        <w:rPr>
          <w:rFonts w:ascii="Times New Roman" w:hAnsi="Times New Roman" w:cs="Times New Roman"/>
          <w:sz w:val="28"/>
          <w:szCs w:val="28"/>
        </w:rPr>
        <w:t>трат з боку державних органів та</w:t>
      </w:r>
      <w:r w:rsidR="001C724A" w:rsidRPr="00CB4B5F">
        <w:rPr>
          <w:rFonts w:ascii="Times New Roman" w:hAnsi="Times New Roman" w:cs="Times New Roman"/>
          <w:sz w:val="28"/>
          <w:szCs w:val="28"/>
        </w:rPr>
        <w:t>,</w:t>
      </w:r>
      <w:r w:rsidRPr="00CB4B5F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="001C724A" w:rsidRPr="00CB4B5F">
        <w:rPr>
          <w:rFonts w:ascii="Times New Roman" w:hAnsi="Times New Roman" w:cs="Times New Roman"/>
          <w:sz w:val="28"/>
          <w:szCs w:val="28"/>
        </w:rPr>
        <w:t>,</w:t>
      </w:r>
      <w:r w:rsidRPr="00CB4B5F">
        <w:rPr>
          <w:rFonts w:ascii="Times New Roman" w:hAnsi="Times New Roman" w:cs="Times New Roman"/>
          <w:sz w:val="28"/>
          <w:szCs w:val="28"/>
        </w:rPr>
        <w:t xml:space="preserve"> додаткових видатків бюджету.</w:t>
      </w:r>
    </w:p>
    <w:p w:rsidR="00124EC4" w:rsidRPr="00CB4B5F" w:rsidRDefault="00124EC4" w:rsidP="00124EC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>Розрахунки витрат суб’єктів господарювання наведено у цьому аналізі.</w:t>
      </w:r>
    </w:p>
    <w:p w:rsidR="00124EC4" w:rsidRPr="00CB4B5F" w:rsidRDefault="00124EC4" w:rsidP="00124EC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 xml:space="preserve">Положення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CB4B5F">
        <w:rPr>
          <w:rFonts w:ascii="Times New Roman" w:hAnsi="Times New Roman" w:cs="Times New Roman"/>
          <w:sz w:val="28"/>
          <w:szCs w:val="28"/>
        </w:rPr>
        <w:t xml:space="preserve"> не передбачають бюджетних витрат безпосередньо на адміністрування процесу регулювання суб’єктів господарювання або утворення нового державного органу (нового структурного підрозділу діючого органу). </w:t>
      </w:r>
    </w:p>
    <w:p w:rsidR="00F81563" w:rsidRPr="00CB4B5F" w:rsidRDefault="00F81563" w:rsidP="002E2F2F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>М-Тест не проводився</w:t>
      </w:r>
      <w:r w:rsidR="0008701A" w:rsidRPr="00CB4B5F">
        <w:rPr>
          <w:rFonts w:ascii="Times New Roman" w:hAnsi="Times New Roman" w:cs="Times New Roman"/>
          <w:sz w:val="28"/>
          <w:szCs w:val="28"/>
        </w:rPr>
        <w:t xml:space="preserve">, оскільки </w:t>
      </w:r>
      <w:r w:rsidRPr="00CB4B5F">
        <w:rPr>
          <w:rFonts w:ascii="Times New Roman" w:hAnsi="Times New Roman" w:cs="Times New Roman"/>
          <w:sz w:val="28"/>
          <w:szCs w:val="28"/>
        </w:rPr>
        <w:t xml:space="preserve">дія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про</w:t>
      </w:r>
      <w:r w:rsidR="006D20C7" w:rsidRPr="00CB4B5F">
        <w:rPr>
          <w:rFonts w:ascii="Times New Roman" w:hAnsi="Times New Roman" w:cs="Times New Roman"/>
          <w:sz w:val="28"/>
          <w:szCs w:val="28"/>
        </w:rPr>
        <w:t>є</w:t>
      </w:r>
      <w:r w:rsidRPr="00CB4B5F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="00497478"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EC4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497478" w:rsidRPr="00CB4B5F">
        <w:rPr>
          <w:rFonts w:ascii="Times New Roman" w:hAnsi="Times New Roman" w:cs="Times New Roman"/>
          <w:sz w:val="28"/>
          <w:szCs w:val="28"/>
        </w:rPr>
        <w:t xml:space="preserve"> однаково впливає на всі</w:t>
      </w:r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  <w:r w:rsidR="00497478" w:rsidRPr="00CB4B5F">
        <w:rPr>
          <w:rFonts w:ascii="Times New Roman" w:hAnsi="Times New Roman" w:cs="Times New Roman"/>
          <w:sz w:val="28"/>
          <w:szCs w:val="28"/>
        </w:rPr>
        <w:t>банки</w:t>
      </w:r>
      <w:r w:rsidRPr="00CB4B5F">
        <w:rPr>
          <w:rFonts w:ascii="Times New Roman" w:hAnsi="Times New Roman" w:cs="Times New Roman"/>
          <w:sz w:val="28"/>
          <w:szCs w:val="28"/>
        </w:rPr>
        <w:t xml:space="preserve"> незалежно від форми власності.</w:t>
      </w:r>
    </w:p>
    <w:p w:rsidR="0008701A" w:rsidRPr="00CB4B5F" w:rsidRDefault="0008701A" w:rsidP="002E2F2F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1563" w:rsidRPr="00CB4B5F" w:rsidRDefault="00F81563" w:rsidP="002E2F2F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B5F">
        <w:rPr>
          <w:rFonts w:ascii="Times New Roman" w:hAnsi="Times New Roman" w:cs="Times New Roman"/>
          <w:b/>
          <w:sz w:val="28"/>
          <w:szCs w:val="28"/>
        </w:rPr>
        <w:t xml:space="preserve">VII. Обґрунтування запропонованого строку дії регуляторного </w:t>
      </w:r>
      <w:proofErr w:type="spellStart"/>
      <w:r w:rsidRPr="00CB4B5F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</w:p>
    <w:p w:rsidR="00124EC4" w:rsidRPr="00CB4B5F" w:rsidRDefault="00124EC4" w:rsidP="00124EC4">
      <w:pPr>
        <w:pStyle w:val="rvps12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bookmarkStart w:id="3" w:name="n167"/>
      <w:bookmarkStart w:id="4" w:name="n168"/>
      <w:bookmarkEnd w:id="3"/>
      <w:bookmarkEnd w:id="4"/>
      <w:r w:rsidRPr="00CB4B5F">
        <w:rPr>
          <w:sz w:val="28"/>
          <w:szCs w:val="28"/>
          <w:lang w:eastAsia="ru-RU"/>
        </w:rPr>
        <w:t>Передбачається, що регуляторний акт набере чинності з дня його офіційного опублікування.</w:t>
      </w:r>
    </w:p>
    <w:p w:rsidR="00124EC4" w:rsidRPr="00CB4B5F" w:rsidRDefault="00124EC4" w:rsidP="00124EC4">
      <w:pPr>
        <w:pStyle w:val="rvps12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B4B5F">
        <w:rPr>
          <w:sz w:val="28"/>
          <w:szCs w:val="28"/>
          <w:lang w:eastAsia="ru-RU"/>
        </w:rPr>
        <w:t xml:space="preserve">Строк дії регуляторного </w:t>
      </w:r>
      <w:proofErr w:type="spellStart"/>
      <w:r w:rsidRPr="00CB4B5F">
        <w:rPr>
          <w:sz w:val="28"/>
          <w:szCs w:val="28"/>
          <w:lang w:eastAsia="ru-RU"/>
        </w:rPr>
        <w:t>акта</w:t>
      </w:r>
      <w:proofErr w:type="spellEnd"/>
      <w:r w:rsidRPr="00CB4B5F">
        <w:rPr>
          <w:sz w:val="28"/>
          <w:szCs w:val="28"/>
          <w:lang w:eastAsia="ru-RU"/>
        </w:rPr>
        <w:t xml:space="preserve"> необмежений. </w:t>
      </w:r>
    </w:p>
    <w:p w:rsidR="005271AA" w:rsidRPr="00CB4B5F" w:rsidRDefault="00124EC4" w:rsidP="00124EC4">
      <w:pPr>
        <w:pStyle w:val="rvps12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CB4B5F">
        <w:rPr>
          <w:sz w:val="28"/>
          <w:szCs w:val="28"/>
          <w:lang w:eastAsia="ru-RU"/>
        </w:rPr>
        <w:t xml:space="preserve">Зміна строку дії </w:t>
      </w:r>
      <w:r w:rsidR="007E35E3" w:rsidRPr="00CB4B5F">
        <w:rPr>
          <w:sz w:val="28"/>
          <w:szCs w:val="28"/>
          <w:lang w:eastAsia="ru-RU"/>
        </w:rPr>
        <w:t xml:space="preserve">регуляторного </w:t>
      </w:r>
      <w:proofErr w:type="spellStart"/>
      <w:r w:rsidRPr="00CB4B5F">
        <w:rPr>
          <w:sz w:val="28"/>
          <w:szCs w:val="28"/>
          <w:lang w:eastAsia="ru-RU"/>
        </w:rPr>
        <w:t>акта</w:t>
      </w:r>
      <w:proofErr w:type="spellEnd"/>
      <w:r w:rsidRPr="00CB4B5F">
        <w:rPr>
          <w:sz w:val="28"/>
          <w:szCs w:val="28"/>
          <w:lang w:eastAsia="ru-RU"/>
        </w:rPr>
        <w:t xml:space="preserve"> можлива </w:t>
      </w:r>
      <w:r w:rsidR="0040425B" w:rsidRPr="00CB4B5F">
        <w:rPr>
          <w:sz w:val="28"/>
          <w:szCs w:val="28"/>
          <w:lang w:eastAsia="ru-RU"/>
        </w:rPr>
        <w:t>в</w:t>
      </w:r>
      <w:r w:rsidRPr="00CB4B5F">
        <w:rPr>
          <w:sz w:val="28"/>
          <w:szCs w:val="28"/>
          <w:lang w:eastAsia="ru-RU"/>
        </w:rPr>
        <w:t xml:space="preserve"> разі зміни законодавчих актів України вищої юридичної сили.</w:t>
      </w:r>
    </w:p>
    <w:p w:rsidR="00124EC4" w:rsidRPr="00CB4B5F" w:rsidRDefault="00124EC4" w:rsidP="00124EC4">
      <w:pPr>
        <w:pStyle w:val="rvps12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rvts15"/>
          <w:b/>
          <w:sz w:val="28"/>
          <w:szCs w:val="28"/>
        </w:rPr>
      </w:pPr>
    </w:p>
    <w:p w:rsidR="00F81563" w:rsidRPr="00CB4B5F" w:rsidRDefault="00F81563" w:rsidP="002E2F2F">
      <w:pPr>
        <w:pStyle w:val="rvps12"/>
        <w:shd w:val="clear" w:color="auto" w:fill="FFFFFF" w:themeFill="background1"/>
        <w:spacing w:before="0" w:beforeAutospacing="0" w:after="0" w:afterAutospacing="0"/>
        <w:ind w:firstLine="567"/>
        <w:jc w:val="center"/>
        <w:rPr>
          <w:rStyle w:val="rvts15"/>
          <w:b/>
          <w:sz w:val="28"/>
          <w:szCs w:val="28"/>
        </w:rPr>
      </w:pPr>
      <w:r w:rsidRPr="00CB4B5F">
        <w:rPr>
          <w:rStyle w:val="rvts15"/>
          <w:b/>
          <w:sz w:val="28"/>
          <w:szCs w:val="28"/>
        </w:rPr>
        <w:t xml:space="preserve">VIII. Визначення показників результативності дії регуляторного </w:t>
      </w:r>
      <w:proofErr w:type="spellStart"/>
      <w:r w:rsidRPr="00CB4B5F">
        <w:rPr>
          <w:rStyle w:val="rvts15"/>
          <w:b/>
          <w:sz w:val="28"/>
          <w:szCs w:val="28"/>
        </w:rPr>
        <w:t>акта</w:t>
      </w:r>
      <w:proofErr w:type="spellEnd"/>
    </w:p>
    <w:p w:rsidR="00F81563" w:rsidRPr="00CB4B5F" w:rsidRDefault="00395EF7" w:rsidP="002E2F2F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>Прогнозними з</w:t>
      </w:r>
      <w:r w:rsidR="00D95FDC" w:rsidRPr="00CB4B5F">
        <w:rPr>
          <w:rFonts w:ascii="Times New Roman" w:hAnsi="Times New Roman" w:cs="Times New Roman"/>
          <w:sz w:val="28"/>
          <w:szCs w:val="28"/>
        </w:rPr>
        <w:t xml:space="preserve">наченнями показників результативності запровадження регуляторного </w:t>
      </w:r>
      <w:proofErr w:type="spellStart"/>
      <w:r w:rsidR="00D95FDC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D95FDC" w:rsidRPr="00CB4B5F">
        <w:rPr>
          <w:rFonts w:ascii="Times New Roman" w:hAnsi="Times New Roman" w:cs="Times New Roman"/>
          <w:sz w:val="28"/>
          <w:szCs w:val="28"/>
        </w:rPr>
        <w:t xml:space="preserve"> з огляду на його цілі </w:t>
      </w:r>
      <w:r w:rsidR="00E33F5B" w:rsidRPr="00CB4B5F">
        <w:rPr>
          <w:rFonts w:ascii="Times New Roman" w:hAnsi="Times New Roman" w:cs="Times New Roman"/>
          <w:sz w:val="28"/>
          <w:szCs w:val="28"/>
        </w:rPr>
        <w:t>є</w:t>
      </w:r>
      <w:r w:rsidR="00D95FDC" w:rsidRPr="00CB4B5F">
        <w:rPr>
          <w:rFonts w:ascii="Times New Roman" w:hAnsi="Times New Roman" w:cs="Times New Roman"/>
          <w:sz w:val="28"/>
          <w:szCs w:val="28"/>
        </w:rPr>
        <w:t>:</w:t>
      </w:r>
    </w:p>
    <w:p w:rsidR="00D95FDC" w:rsidRPr="00CB4B5F" w:rsidRDefault="00E33F5B" w:rsidP="00E649D8">
      <w:pPr>
        <w:pStyle w:val="rvps12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CB4B5F">
        <w:rPr>
          <w:sz w:val="28"/>
          <w:szCs w:val="28"/>
        </w:rPr>
        <w:t xml:space="preserve">розмір надходжень до державного та місцевих бюджетів і державних цільових фондів, пов’язаних з дією </w:t>
      </w:r>
      <w:proofErr w:type="spellStart"/>
      <w:r w:rsidRPr="00CB4B5F">
        <w:rPr>
          <w:sz w:val="28"/>
          <w:szCs w:val="28"/>
        </w:rPr>
        <w:t>акта</w:t>
      </w:r>
      <w:proofErr w:type="spellEnd"/>
      <w:r w:rsidR="008E6D37" w:rsidRPr="00CB4B5F">
        <w:rPr>
          <w:sz w:val="28"/>
          <w:szCs w:val="28"/>
        </w:rPr>
        <w:t xml:space="preserve"> (не прогнозується)</w:t>
      </w:r>
      <w:r w:rsidRPr="00CB4B5F">
        <w:rPr>
          <w:sz w:val="28"/>
          <w:szCs w:val="28"/>
        </w:rPr>
        <w:t>;</w:t>
      </w:r>
    </w:p>
    <w:p w:rsidR="00D95FDC" w:rsidRPr="00CB4B5F" w:rsidRDefault="00D95FDC" w:rsidP="00E649D8">
      <w:pPr>
        <w:pStyle w:val="rvps12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pacing w:val="-4"/>
          <w:sz w:val="28"/>
          <w:szCs w:val="28"/>
        </w:rPr>
      </w:pPr>
      <w:r w:rsidRPr="00CB4B5F">
        <w:rPr>
          <w:spacing w:val="-4"/>
          <w:sz w:val="28"/>
          <w:szCs w:val="28"/>
        </w:rPr>
        <w:t xml:space="preserve">кількість </w:t>
      </w:r>
      <w:r w:rsidR="00557380" w:rsidRPr="00CB4B5F">
        <w:rPr>
          <w:spacing w:val="-4"/>
          <w:sz w:val="28"/>
          <w:szCs w:val="28"/>
        </w:rPr>
        <w:t>суб’єктів</w:t>
      </w:r>
      <w:r w:rsidRPr="00CB4B5F">
        <w:rPr>
          <w:spacing w:val="-4"/>
          <w:sz w:val="28"/>
          <w:szCs w:val="28"/>
        </w:rPr>
        <w:t xml:space="preserve"> господарювання, на яких поширюват</w:t>
      </w:r>
      <w:r w:rsidR="00C8754D" w:rsidRPr="00CB4B5F">
        <w:rPr>
          <w:spacing w:val="-4"/>
          <w:sz w:val="28"/>
          <w:szCs w:val="28"/>
        </w:rPr>
        <w:t xml:space="preserve">иметься дія регуляторного </w:t>
      </w:r>
      <w:proofErr w:type="spellStart"/>
      <w:r w:rsidR="00C8754D" w:rsidRPr="00CB4B5F">
        <w:rPr>
          <w:spacing w:val="-4"/>
          <w:sz w:val="28"/>
          <w:szCs w:val="28"/>
        </w:rPr>
        <w:t>акта</w:t>
      </w:r>
      <w:proofErr w:type="spellEnd"/>
      <w:r w:rsidR="008E6D37" w:rsidRPr="00CB4B5F">
        <w:rPr>
          <w:spacing w:val="-4"/>
          <w:sz w:val="28"/>
          <w:szCs w:val="28"/>
        </w:rPr>
        <w:t xml:space="preserve"> (припущення – 2 суб’єкти</w:t>
      </w:r>
      <w:r w:rsidR="008141A6" w:rsidRPr="00CB4B5F">
        <w:rPr>
          <w:spacing w:val="-4"/>
          <w:sz w:val="28"/>
          <w:szCs w:val="28"/>
        </w:rPr>
        <w:t xml:space="preserve"> господарювання</w:t>
      </w:r>
      <w:r w:rsidR="008E6D37" w:rsidRPr="00CB4B5F">
        <w:rPr>
          <w:spacing w:val="-4"/>
          <w:sz w:val="28"/>
          <w:szCs w:val="28"/>
        </w:rPr>
        <w:t>)</w:t>
      </w:r>
      <w:r w:rsidR="00C8754D" w:rsidRPr="00CB4B5F">
        <w:rPr>
          <w:spacing w:val="-4"/>
          <w:sz w:val="28"/>
          <w:szCs w:val="28"/>
        </w:rPr>
        <w:t>;</w:t>
      </w:r>
    </w:p>
    <w:p w:rsidR="00D95FDC" w:rsidRPr="00CB4B5F" w:rsidRDefault="00D213E2" w:rsidP="00E649D8">
      <w:pPr>
        <w:pStyle w:val="rvps12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CB4B5F">
        <w:rPr>
          <w:sz w:val="28"/>
          <w:szCs w:val="28"/>
        </w:rPr>
        <w:t xml:space="preserve">розмір коштів і </w:t>
      </w:r>
      <w:r w:rsidR="00D43897" w:rsidRPr="00CB4B5F">
        <w:rPr>
          <w:sz w:val="28"/>
          <w:szCs w:val="28"/>
        </w:rPr>
        <w:t>час, що витрачатиму</w:t>
      </w:r>
      <w:r w:rsidR="00D95FDC" w:rsidRPr="00CB4B5F">
        <w:rPr>
          <w:sz w:val="28"/>
          <w:szCs w:val="28"/>
        </w:rPr>
        <w:t xml:space="preserve">ть </w:t>
      </w:r>
      <w:r w:rsidR="00557380" w:rsidRPr="00CB4B5F">
        <w:rPr>
          <w:sz w:val="28"/>
          <w:szCs w:val="28"/>
        </w:rPr>
        <w:t>суб’єкт</w:t>
      </w:r>
      <w:r w:rsidR="0040425B" w:rsidRPr="00CB4B5F">
        <w:rPr>
          <w:sz w:val="28"/>
          <w:szCs w:val="28"/>
        </w:rPr>
        <w:t>и</w:t>
      </w:r>
      <w:r w:rsidR="00D95FDC" w:rsidRPr="00CB4B5F">
        <w:rPr>
          <w:sz w:val="28"/>
          <w:szCs w:val="28"/>
        </w:rPr>
        <w:t xml:space="preserve"> господарювання, </w:t>
      </w:r>
      <w:r w:rsidR="00D43897" w:rsidRPr="00CB4B5F">
        <w:rPr>
          <w:sz w:val="28"/>
          <w:szCs w:val="28"/>
        </w:rPr>
        <w:t xml:space="preserve">які </w:t>
      </w:r>
      <w:r w:rsidR="00557380" w:rsidRPr="00CB4B5F">
        <w:rPr>
          <w:sz w:val="28"/>
          <w:szCs w:val="28"/>
        </w:rPr>
        <w:t>пов’язан</w:t>
      </w:r>
      <w:r w:rsidR="00C30AD2" w:rsidRPr="00CB4B5F">
        <w:rPr>
          <w:sz w:val="28"/>
          <w:szCs w:val="28"/>
        </w:rPr>
        <w:t>і</w:t>
      </w:r>
      <w:r w:rsidR="002E59F1" w:rsidRPr="00CB4B5F">
        <w:rPr>
          <w:sz w:val="28"/>
          <w:szCs w:val="28"/>
        </w:rPr>
        <w:t xml:space="preserve"> з виконанням вимог </w:t>
      </w:r>
      <w:proofErr w:type="spellStart"/>
      <w:r w:rsidR="002E59F1" w:rsidRPr="00CB4B5F">
        <w:rPr>
          <w:sz w:val="28"/>
          <w:szCs w:val="28"/>
        </w:rPr>
        <w:t>акта</w:t>
      </w:r>
      <w:proofErr w:type="spellEnd"/>
      <w:r w:rsidR="008141A6" w:rsidRPr="00CB4B5F">
        <w:rPr>
          <w:sz w:val="28"/>
          <w:szCs w:val="28"/>
        </w:rPr>
        <w:t xml:space="preserve"> </w:t>
      </w:r>
      <w:r w:rsidR="008141A6" w:rsidRPr="00CB4B5F">
        <w:rPr>
          <w:spacing w:val="-4"/>
          <w:sz w:val="28"/>
          <w:szCs w:val="28"/>
        </w:rPr>
        <w:t>(</w:t>
      </w:r>
      <w:r w:rsidR="008141A6" w:rsidRPr="00CB4B5F">
        <w:rPr>
          <w:sz w:val="28"/>
          <w:szCs w:val="28"/>
        </w:rPr>
        <w:t>розмір коштів – вартість офісного паперу формату А4, використаного для пода</w:t>
      </w:r>
      <w:r w:rsidR="0040425B" w:rsidRPr="00CB4B5F">
        <w:rPr>
          <w:sz w:val="28"/>
          <w:szCs w:val="28"/>
        </w:rPr>
        <w:t>ння</w:t>
      </w:r>
      <w:r w:rsidR="008141A6" w:rsidRPr="00CB4B5F">
        <w:rPr>
          <w:sz w:val="28"/>
          <w:szCs w:val="28"/>
        </w:rPr>
        <w:t xml:space="preserve"> конкурсних пропозицій; час – кількість суб’єктів господарювання помножена на 1 годину часу </w:t>
      </w:r>
      <w:r w:rsidR="008141A6" w:rsidRPr="00CB4B5F">
        <w:rPr>
          <w:sz w:val="28"/>
          <w:szCs w:val="28"/>
        </w:rPr>
        <w:lastRenderedPageBreak/>
        <w:t>(час, необхідний для отримання первинної інформації про вимоги регулювання)</w:t>
      </w:r>
      <w:r w:rsidR="002E59F1" w:rsidRPr="00CB4B5F">
        <w:rPr>
          <w:sz w:val="28"/>
          <w:szCs w:val="28"/>
        </w:rPr>
        <w:t>;</w:t>
      </w:r>
    </w:p>
    <w:p w:rsidR="009A0352" w:rsidRPr="00CB4B5F" w:rsidRDefault="009A0352" w:rsidP="00E649D8">
      <w:pPr>
        <w:pStyle w:val="rvps12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CB4B5F">
        <w:rPr>
          <w:sz w:val="28"/>
          <w:szCs w:val="28"/>
        </w:rPr>
        <w:t xml:space="preserve">кількість оголошених </w:t>
      </w:r>
      <w:r w:rsidR="005A0EF4" w:rsidRPr="00CB4B5F">
        <w:rPr>
          <w:sz w:val="28"/>
          <w:szCs w:val="28"/>
        </w:rPr>
        <w:t xml:space="preserve">конкурсів з визначення уповноваженого банку на здійснення розрахунків з державним бюджетом за митними </w:t>
      </w:r>
      <w:proofErr w:type="spellStart"/>
      <w:r w:rsidR="005A0EF4" w:rsidRPr="00CB4B5F">
        <w:rPr>
          <w:sz w:val="28"/>
          <w:szCs w:val="28"/>
        </w:rPr>
        <w:t>платежами</w:t>
      </w:r>
      <w:proofErr w:type="spellEnd"/>
      <w:r w:rsidR="006445F6" w:rsidRPr="00CB4B5F">
        <w:rPr>
          <w:sz w:val="28"/>
          <w:szCs w:val="28"/>
        </w:rPr>
        <w:t xml:space="preserve"> (після </w:t>
      </w:r>
      <w:r w:rsidR="0040425B" w:rsidRPr="00CB4B5F">
        <w:rPr>
          <w:sz w:val="28"/>
          <w:szCs w:val="28"/>
        </w:rPr>
        <w:t>набрання чинності</w:t>
      </w:r>
      <w:r w:rsidR="006445F6" w:rsidRPr="00CB4B5F">
        <w:rPr>
          <w:sz w:val="28"/>
          <w:szCs w:val="28"/>
        </w:rPr>
        <w:t xml:space="preserve"> регуляторн</w:t>
      </w:r>
      <w:r w:rsidR="0040425B" w:rsidRPr="00CB4B5F">
        <w:rPr>
          <w:sz w:val="28"/>
          <w:szCs w:val="28"/>
        </w:rPr>
        <w:t>им</w:t>
      </w:r>
      <w:r w:rsidR="006445F6" w:rsidRPr="00CB4B5F">
        <w:rPr>
          <w:sz w:val="28"/>
          <w:szCs w:val="28"/>
        </w:rPr>
        <w:t xml:space="preserve"> акт</w:t>
      </w:r>
      <w:r w:rsidR="0040425B" w:rsidRPr="00CB4B5F">
        <w:rPr>
          <w:sz w:val="28"/>
          <w:szCs w:val="28"/>
        </w:rPr>
        <w:t>ом</w:t>
      </w:r>
      <w:r w:rsidR="006445F6" w:rsidRPr="00CB4B5F">
        <w:rPr>
          <w:sz w:val="28"/>
          <w:szCs w:val="28"/>
        </w:rPr>
        <w:t>)</w:t>
      </w:r>
      <w:r w:rsidR="008141A6" w:rsidRPr="00CB4B5F">
        <w:rPr>
          <w:sz w:val="28"/>
          <w:szCs w:val="28"/>
        </w:rPr>
        <w:t xml:space="preserve"> (припущення – 1 оголошений конкурс)</w:t>
      </w:r>
      <w:r w:rsidR="005A0EF4" w:rsidRPr="00CB4B5F">
        <w:rPr>
          <w:sz w:val="28"/>
          <w:szCs w:val="28"/>
        </w:rPr>
        <w:t>;</w:t>
      </w:r>
    </w:p>
    <w:p w:rsidR="006445F6" w:rsidRPr="00CB4B5F" w:rsidRDefault="00331E36" w:rsidP="00E649D8">
      <w:pPr>
        <w:pStyle w:val="rvps12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CB4B5F">
        <w:rPr>
          <w:sz w:val="28"/>
          <w:szCs w:val="28"/>
        </w:rPr>
        <w:t>кількість конкурсних пропозицій</w:t>
      </w:r>
      <w:r w:rsidR="006445F6" w:rsidRPr="00CB4B5F">
        <w:rPr>
          <w:sz w:val="28"/>
          <w:szCs w:val="28"/>
        </w:rPr>
        <w:t xml:space="preserve"> </w:t>
      </w:r>
      <w:r w:rsidRPr="00CB4B5F">
        <w:rPr>
          <w:sz w:val="28"/>
          <w:szCs w:val="28"/>
        </w:rPr>
        <w:t xml:space="preserve">для участі </w:t>
      </w:r>
      <w:r w:rsidR="0040425B" w:rsidRPr="00CB4B5F">
        <w:rPr>
          <w:sz w:val="28"/>
          <w:szCs w:val="28"/>
        </w:rPr>
        <w:t>в</w:t>
      </w:r>
      <w:r w:rsidRPr="00CB4B5F">
        <w:rPr>
          <w:sz w:val="28"/>
          <w:szCs w:val="28"/>
        </w:rPr>
        <w:t xml:space="preserve"> конкурсі з визначення уповноваженого банку на здійснення розрахунків з державним бюджетом за митни</w:t>
      </w:r>
      <w:r w:rsidR="006445F6" w:rsidRPr="00CB4B5F">
        <w:rPr>
          <w:sz w:val="28"/>
          <w:szCs w:val="28"/>
        </w:rPr>
        <w:t xml:space="preserve">ми </w:t>
      </w:r>
      <w:proofErr w:type="spellStart"/>
      <w:r w:rsidR="006445F6" w:rsidRPr="00CB4B5F">
        <w:rPr>
          <w:sz w:val="28"/>
          <w:szCs w:val="28"/>
        </w:rPr>
        <w:t>платежами</w:t>
      </w:r>
      <w:proofErr w:type="spellEnd"/>
      <w:r w:rsidR="006445F6" w:rsidRPr="00CB4B5F">
        <w:rPr>
          <w:sz w:val="28"/>
          <w:szCs w:val="28"/>
        </w:rPr>
        <w:t xml:space="preserve"> (після вступу в силу регуляторного </w:t>
      </w:r>
      <w:proofErr w:type="spellStart"/>
      <w:r w:rsidR="006445F6" w:rsidRPr="00CB4B5F">
        <w:rPr>
          <w:sz w:val="28"/>
          <w:szCs w:val="28"/>
        </w:rPr>
        <w:t>акта</w:t>
      </w:r>
      <w:proofErr w:type="spellEnd"/>
      <w:r w:rsidR="006445F6" w:rsidRPr="00CB4B5F">
        <w:rPr>
          <w:sz w:val="28"/>
          <w:szCs w:val="28"/>
        </w:rPr>
        <w:t>)</w:t>
      </w:r>
      <w:r w:rsidR="008141A6" w:rsidRPr="00CB4B5F">
        <w:rPr>
          <w:sz w:val="28"/>
          <w:szCs w:val="28"/>
        </w:rPr>
        <w:t xml:space="preserve"> (припущення – 2 конкурсн</w:t>
      </w:r>
      <w:r w:rsidR="00122B86" w:rsidRPr="00CB4B5F">
        <w:rPr>
          <w:sz w:val="28"/>
          <w:szCs w:val="28"/>
        </w:rPr>
        <w:t>і</w:t>
      </w:r>
      <w:r w:rsidR="008141A6" w:rsidRPr="00CB4B5F">
        <w:rPr>
          <w:sz w:val="28"/>
          <w:szCs w:val="28"/>
        </w:rPr>
        <w:t xml:space="preserve"> пропозиції)</w:t>
      </w:r>
      <w:r w:rsidR="006445F6" w:rsidRPr="00CB4B5F">
        <w:rPr>
          <w:sz w:val="28"/>
          <w:szCs w:val="28"/>
        </w:rPr>
        <w:t>;</w:t>
      </w:r>
    </w:p>
    <w:p w:rsidR="006445F6" w:rsidRPr="00CB4B5F" w:rsidRDefault="00FE0C9A" w:rsidP="00E649D8">
      <w:pPr>
        <w:pStyle w:val="rvps12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CB4B5F">
        <w:rPr>
          <w:spacing w:val="-4"/>
          <w:sz w:val="28"/>
          <w:szCs w:val="28"/>
        </w:rPr>
        <w:t>кількість звернень суб’єктів господарювання</w:t>
      </w:r>
      <w:r w:rsidR="00B9396F" w:rsidRPr="00CB4B5F">
        <w:rPr>
          <w:spacing w:val="-4"/>
          <w:sz w:val="28"/>
          <w:szCs w:val="28"/>
        </w:rPr>
        <w:t xml:space="preserve"> щодо необхідності удосконалення </w:t>
      </w:r>
      <w:r w:rsidRPr="00CB4B5F">
        <w:rPr>
          <w:spacing w:val="-4"/>
          <w:sz w:val="28"/>
          <w:szCs w:val="28"/>
        </w:rPr>
        <w:t>окремих</w:t>
      </w:r>
      <w:r w:rsidR="00B9396F" w:rsidRPr="00CB4B5F">
        <w:rPr>
          <w:spacing w:val="-4"/>
          <w:sz w:val="28"/>
          <w:szCs w:val="28"/>
        </w:rPr>
        <w:t xml:space="preserve"> організаційних</w:t>
      </w:r>
      <w:r w:rsidR="0071370B" w:rsidRPr="00CB4B5F">
        <w:rPr>
          <w:spacing w:val="-4"/>
          <w:sz w:val="28"/>
          <w:szCs w:val="28"/>
        </w:rPr>
        <w:t xml:space="preserve"> процедур</w:t>
      </w:r>
      <w:r w:rsidRPr="00CB4B5F">
        <w:rPr>
          <w:spacing w:val="-4"/>
          <w:sz w:val="28"/>
          <w:szCs w:val="28"/>
        </w:rPr>
        <w:t xml:space="preserve"> стосовно проведення </w:t>
      </w:r>
      <w:r w:rsidR="00AE2B6D" w:rsidRPr="00CB4B5F">
        <w:rPr>
          <w:spacing w:val="-4"/>
          <w:sz w:val="28"/>
          <w:szCs w:val="28"/>
        </w:rPr>
        <w:t xml:space="preserve">конкурсу з визначення уповноваженого банку на здійснення розрахунків </w:t>
      </w:r>
      <w:r w:rsidR="0040425B" w:rsidRPr="00CB4B5F">
        <w:rPr>
          <w:spacing w:val="-4"/>
          <w:sz w:val="28"/>
          <w:szCs w:val="28"/>
        </w:rPr>
        <w:br/>
      </w:r>
      <w:r w:rsidR="00AE2B6D" w:rsidRPr="00CB4B5F">
        <w:rPr>
          <w:spacing w:val="-4"/>
          <w:sz w:val="28"/>
          <w:szCs w:val="28"/>
        </w:rPr>
        <w:t xml:space="preserve">з державним бюджетом за митними </w:t>
      </w:r>
      <w:proofErr w:type="spellStart"/>
      <w:r w:rsidR="00AE2B6D" w:rsidRPr="00CB4B5F">
        <w:rPr>
          <w:spacing w:val="-4"/>
          <w:sz w:val="28"/>
          <w:szCs w:val="28"/>
        </w:rPr>
        <w:t>платежами</w:t>
      </w:r>
      <w:proofErr w:type="spellEnd"/>
      <w:r w:rsidR="006445F6" w:rsidRPr="00CB4B5F">
        <w:rPr>
          <w:spacing w:val="-4"/>
          <w:sz w:val="28"/>
          <w:szCs w:val="28"/>
        </w:rPr>
        <w:t xml:space="preserve"> </w:t>
      </w:r>
      <w:r w:rsidR="006445F6" w:rsidRPr="00CB4B5F">
        <w:rPr>
          <w:sz w:val="28"/>
          <w:szCs w:val="28"/>
        </w:rPr>
        <w:t xml:space="preserve">(після </w:t>
      </w:r>
      <w:r w:rsidR="0040425B" w:rsidRPr="00CB4B5F">
        <w:rPr>
          <w:sz w:val="28"/>
          <w:szCs w:val="28"/>
        </w:rPr>
        <w:t>набрання чинності регуляторним актом</w:t>
      </w:r>
      <w:r w:rsidR="006445F6" w:rsidRPr="00CB4B5F">
        <w:rPr>
          <w:sz w:val="28"/>
          <w:szCs w:val="28"/>
        </w:rPr>
        <w:t>)</w:t>
      </w:r>
      <w:r w:rsidR="008141A6" w:rsidRPr="00CB4B5F">
        <w:rPr>
          <w:sz w:val="28"/>
          <w:szCs w:val="28"/>
        </w:rPr>
        <w:t xml:space="preserve"> (припущення – 0 звернень)</w:t>
      </w:r>
      <w:r w:rsidR="006445F6" w:rsidRPr="00CB4B5F">
        <w:rPr>
          <w:sz w:val="28"/>
          <w:szCs w:val="28"/>
        </w:rPr>
        <w:t>;</w:t>
      </w:r>
    </w:p>
    <w:p w:rsidR="00D95FDC" w:rsidRPr="00C246DD" w:rsidRDefault="00D95FDC" w:rsidP="00E649D8">
      <w:pPr>
        <w:pStyle w:val="a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5F">
        <w:rPr>
          <w:rFonts w:ascii="Times New Roman" w:hAnsi="Times New Roman" w:cs="Times New Roman"/>
          <w:sz w:val="28"/>
          <w:szCs w:val="28"/>
        </w:rPr>
        <w:t xml:space="preserve">рівень поінформованості </w:t>
      </w:r>
      <w:r w:rsidR="00557380" w:rsidRPr="00CB4B5F">
        <w:rPr>
          <w:rFonts w:ascii="Times New Roman" w:hAnsi="Times New Roman" w:cs="Times New Roman"/>
          <w:sz w:val="28"/>
          <w:szCs w:val="28"/>
        </w:rPr>
        <w:t>суб’єктів</w:t>
      </w:r>
      <w:r w:rsidRPr="00CB4B5F">
        <w:rPr>
          <w:rFonts w:ascii="Times New Roman" w:hAnsi="Times New Roman" w:cs="Times New Roman"/>
          <w:sz w:val="28"/>
          <w:szCs w:val="28"/>
        </w:rPr>
        <w:t xml:space="preserve"> господарювання </w:t>
      </w:r>
      <w:r w:rsidRPr="00CB4B5F">
        <w:rPr>
          <w:rFonts w:ascii="Times New Roman" w:hAnsi="Times New Roman" w:cs="Times New Roman"/>
          <w:strike/>
          <w:sz w:val="28"/>
          <w:szCs w:val="28"/>
        </w:rPr>
        <w:t>з</w:t>
      </w:r>
      <w:r w:rsidRPr="00CB4B5F">
        <w:rPr>
          <w:rFonts w:ascii="Times New Roman" w:hAnsi="Times New Roman" w:cs="Times New Roman"/>
          <w:sz w:val="28"/>
          <w:szCs w:val="28"/>
        </w:rPr>
        <w:t xml:space="preserve"> </w:t>
      </w:r>
      <w:r w:rsidR="0040425B" w:rsidRPr="00CB4B5F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CB4B5F">
        <w:rPr>
          <w:rFonts w:ascii="Times New Roman" w:hAnsi="Times New Roman" w:cs="Times New Roman"/>
          <w:sz w:val="28"/>
          <w:szCs w:val="28"/>
        </w:rPr>
        <w:t xml:space="preserve">основних положень </w:t>
      </w:r>
      <w:r w:rsidR="00942A9D" w:rsidRPr="00CB4B5F">
        <w:rPr>
          <w:rFonts w:ascii="Times New Roman" w:hAnsi="Times New Roman" w:cs="Times New Roman"/>
          <w:sz w:val="28"/>
          <w:szCs w:val="28"/>
        </w:rPr>
        <w:t xml:space="preserve">регуляторного </w:t>
      </w:r>
      <w:proofErr w:type="spellStart"/>
      <w:r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D028E4" w:rsidRPr="00CB4B5F">
        <w:rPr>
          <w:rFonts w:ascii="Times New Roman" w:hAnsi="Times New Roman" w:cs="Times New Roman"/>
          <w:sz w:val="28"/>
          <w:szCs w:val="28"/>
        </w:rPr>
        <w:t xml:space="preserve"> високий</w:t>
      </w:r>
      <w:r w:rsidRPr="00CB4B5F">
        <w:rPr>
          <w:rFonts w:ascii="Times New Roman" w:hAnsi="Times New Roman" w:cs="Times New Roman"/>
          <w:sz w:val="28"/>
          <w:szCs w:val="28"/>
        </w:rPr>
        <w:t>.</w:t>
      </w:r>
      <w:r w:rsidR="00463B15"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594" w:rsidRPr="00CB4B5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915594" w:rsidRPr="00CB4B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594" w:rsidRPr="00CB4B5F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915594" w:rsidRPr="00CB4B5F">
        <w:rPr>
          <w:rFonts w:ascii="Times New Roman" w:hAnsi="Times New Roman" w:cs="Times New Roman"/>
          <w:sz w:val="28"/>
          <w:szCs w:val="28"/>
        </w:rPr>
        <w:t xml:space="preserve"> оприлюднено </w:t>
      </w:r>
      <w:r w:rsidR="006B2687" w:rsidRPr="00CB4B5F">
        <w:rPr>
          <w:rFonts w:ascii="Times New Roman" w:hAnsi="Times New Roman" w:cs="Times New Roman"/>
          <w:sz w:val="28"/>
          <w:szCs w:val="28"/>
        </w:rPr>
        <w:t xml:space="preserve">на </w:t>
      </w:r>
      <w:r w:rsidR="006B2687" w:rsidRPr="00CB4B5F">
        <w:rPr>
          <w:rFonts w:ascii="Times New Roman" w:hAnsi="Times New Roman" w:cs="Times New Roman"/>
          <w:sz w:val="28"/>
          <w:szCs w:val="28"/>
          <w:lang w:eastAsia="ru-RU"/>
        </w:rPr>
        <w:t xml:space="preserve">офіційному </w:t>
      </w:r>
      <w:proofErr w:type="spellStart"/>
      <w:r w:rsidR="006B2687" w:rsidRPr="00CB4B5F">
        <w:rPr>
          <w:rFonts w:ascii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="006B2687" w:rsidRPr="00CB4B5F">
        <w:rPr>
          <w:rFonts w:ascii="Times New Roman" w:hAnsi="Times New Roman" w:cs="Times New Roman"/>
          <w:sz w:val="28"/>
          <w:szCs w:val="28"/>
          <w:lang w:eastAsia="ru-RU"/>
        </w:rPr>
        <w:t xml:space="preserve"> Міністерства фінансів України </w:t>
      </w:r>
      <w:r w:rsidR="006B2687" w:rsidRPr="00C246D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6B2687" w:rsidRPr="00C246DD">
          <w:rPr>
            <w:rStyle w:val="af7"/>
            <w:rFonts w:ascii="Times New Roman" w:hAnsi="Times New Roman" w:cs="Times New Roman"/>
            <w:sz w:val="28"/>
            <w:szCs w:val="28"/>
          </w:rPr>
          <w:t>http://www.mof.gov.ua</w:t>
        </w:r>
      </w:hyperlink>
      <w:r w:rsidR="006B2687" w:rsidRPr="00C246DD">
        <w:rPr>
          <w:rFonts w:ascii="Times New Roman" w:hAnsi="Times New Roman" w:cs="Times New Roman"/>
          <w:sz w:val="28"/>
          <w:szCs w:val="28"/>
        </w:rPr>
        <w:t>)</w:t>
      </w:r>
      <w:r w:rsidR="001474FE" w:rsidRPr="00C246DD">
        <w:rPr>
          <w:rFonts w:ascii="Times New Roman" w:hAnsi="Times New Roman" w:cs="Times New Roman"/>
          <w:sz w:val="28"/>
          <w:szCs w:val="28"/>
        </w:rPr>
        <w:t xml:space="preserve"> </w:t>
      </w:r>
      <w:r w:rsidR="00915594" w:rsidRPr="00C246DD">
        <w:rPr>
          <w:rFonts w:ascii="Times New Roman" w:hAnsi="Times New Roman" w:cs="Times New Roman"/>
          <w:sz w:val="28"/>
          <w:szCs w:val="28"/>
        </w:rPr>
        <w:t>для громадського обговорення.</w:t>
      </w:r>
    </w:p>
    <w:p w:rsidR="00D95FDC" w:rsidRPr="00C246DD" w:rsidRDefault="00D95FDC" w:rsidP="002E2F2F">
      <w:pPr>
        <w:pStyle w:val="rvps12"/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F674F2" w:rsidRPr="00C246DD" w:rsidRDefault="00F674F2" w:rsidP="002E2F2F">
      <w:pPr>
        <w:pStyle w:val="rvps12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rvts15"/>
          <w:b/>
          <w:sz w:val="28"/>
          <w:szCs w:val="28"/>
        </w:rPr>
      </w:pPr>
      <w:r w:rsidRPr="00C246DD">
        <w:rPr>
          <w:rStyle w:val="rvts15"/>
          <w:b/>
          <w:sz w:val="28"/>
          <w:szCs w:val="28"/>
        </w:rPr>
        <w:t xml:space="preserve">IX. Визначення заходів, за допомогою яких здійснюватиметься відстеження результативності дії регуляторного </w:t>
      </w:r>
      <w:proofErr w:type="spellStart"/>
      <w:r w:rsidRPr="00C246DD">
        <w:rPr>
          <w:rStyle w:val="rvts15"/>
          <w:b/>
          <w:sz w:val="28"/>
          <w:szCs w:val="28"/>
        </w:rPr>
        <w:t>акта</w:t>
      </w:r>
      <w:proofErr w:type="spellEnd"/>
    </w:p>
    <w:p w:rsidR="0011057E" w:rsidRPr="00C246DD" w:rsidRDefault="0011057E" w:rsidP="002E2F2F">
      <w:pPr>
        <w:pStyle w:val="rvps12"/>
        <w:shd w:val="clear" w:color="auto" w:fill="FFFFFF" w:themeFill="background1"/>
        <w:spacing w:before="0" w:beforeAutospacing="0" w:after="0" w:afterAutospacing="0"/>
        <w:ind w:firstLine="567"/>
        <w:jc w:val="both"/>
        <w:rPr>
          <w:spacing w:val="-2"/>
          <w:sz w:val="28"/>
          <w:szCs w:val="28"/>
        </w:rPr>
      </w:pPr>
      <w:r w:rsidRPr="00C246DD">
        <w:rPr>
          <w:spacing w:val="-2"/>
          <w:sz w:val="28"/>
          <w:szCs w:val="28"/>
        </w:rPr>
        <w:t>Виконавцем заходів із відстеження є Міністерство фінансів України, Державна митна служба України.</w:t>
      </w:r>
    </w:p>
    <w:p w:rsidR="000026A5" w:rsidRPr="00C246DD" w:rsidRDefault="000026A5" w:rsidP="000026A5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6DD">
        <w:rPr>
          <w:rFonts w:ascii="Times New Roman" w:hAnsi="Times New Roman" w:cs="Times New Roman"/>
          <w:bCs/>
          <w:iCs/>
          <w:sz w:val="28"/>
          <w:szCs w:val="28"/>
        </w:rPr>
        <w:t xml:space="preserve">Відстеження результативності дії регуляторного </w:t>
      </w:r>
      <w:proofErr w:type="spellStart"/>
      <w:r w:rsidRPr="00C246DD">
        <w:rPr>
          <w:rFonts w:ascii="Times New Roman" w:hAnsi="Times New Roman" w:cs="Times New Roman"/>
          <w:bCs/>
          <w:iCs/>
          <w:sz w:val="28"/>
          <w:szCs w:val="28"/>
        </w:rPr>
        <w:t>акта</w:t>
      </w:r>
      <w:proofErr w:type="spellEnd"/>
      <w:r w:rsidRPr="00C246DD">
        <w:rPr>
          <w:rFonts w:ascii="Times New Roman" w:hAnsi="Times New Roman" w:cs="Times New Roman"/>
          <w:bCs/>
          <w:iCs/>
          <w:sz w:val="28"/>
          <w:szCs w:val="28"/>
        </w:rPr>
        <w:t xml:space="preserve"> буде проводитись статистичним методом шляхом аналізу </w:t>
      </w:r>
      <w:r w:rsidRPr="00C246DD">
        <w:rPr>
          <w:rFonts w:ascii="Times New Roman" w:hAnsi="Times New Roman" w:cs="Times New Roman"/>
          <w:sz w:val="28"/>
          <w:szCs w:val="28"/>
        </w:rPr>
        <w:t>інформації, отримано</w:t>
      </w:r>
      <w:r w:rsidR="009146A6">
        <w:rPr>
          <w:rFonts w:ascii="Times New Roman" w:hAnsi="Times New Roman" w:cs="Times New Roman"/>
          <w:sz w:val="28"/>
          <w:szCs w:val="28"/>
        </w:rPr>
        <w:t xml:space="preserve">ї </w:t>
      </w:r>
      <w:r w:rsidRPr="00C246DD">
        <w:rPr>
          <w:rFonts w:ascii="Times New Roman" w:hAnsi="Times New Roman" w:cs="Times New Roman"/>
          <w:sz w:val="28"/>
          <w:szCs w:val="28"/>
        </w:rPr>
        <w:t xml:space="preserve">Держмитслужбою з порушеного питання. </w:t>
      </w:r>
    </w:p>
    <w:p w:rsidR="00915594" w:rsidRPr="00C246DD" w:rsidRDefault="00915594" w:rsidP="00915594">
      <w:pPr>
        <w:spacing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46DD">
        <w:rPr>
          <w:rFonts w:ascii="Times New Roman" w:hAnsi="Times New Roman" w:cs="Times New Roman"/>
          <w:spacing w:val="-2"/>
          <w:sz w:val="28"/>
          <w:szCs w:val="28"/>
        </w:rPr>
        <w:t xml:space="preserve">Базове відстеження результативності регуляторного </w:t>
      </w:r>
      <w:proofErr w:type="spellStart"/>
      <w:r w:rsidRPr="00C246DD">
        <w:rPr>
          <w:rFonts w:ascii="Times New Roman" w:hAnsi="Times New Roman" w:cs="Times New Roman"/>
          <w:spacing w:val="-2"/>
          <w:sz w:val="28"/>
          <w:szCs w:val="28"/>
        </w:rPr>
        <w:t>акта</w:t>
      </w:r>
      <w:proofErr w:type="spellEnd"/>
      <w:r w:rsidRPr="00C246DD">
        <w:rPr>
          <w:rFonts w:ascii="Times New Roman" w:hAnsi="Times New Roman" w:cs="Times New Roman"/>
          <w:spacing w:val="-2"/>
          <w:sz w:val="28"/>
          <w:szCs w:val="28"/>
        </w:rPr>
        <w:t xml:space="preserve"> здійснюватиметься </w:t>
      </w:r>
      <w:r w:rsidR="00492571" w:rsidRPr="00C246DD">
        <w:rPr>
          <w:rFonts w:ascii="Times New Roman" w:hAnsi="Times New Roman" w:cs="Times New Roman"/>
          <w:spacing w:val="-2"/>
          <w:sz w:val="28"/>
          <w:szCs w:val="28"/>
        </w:rPr>
        <w:t>у І</w:t>
      </w:r>
      <w:r w:rsidR="00492571" w:rsidRPr="00C246DD">
        <w:rPr>
          <w:rFonts w:ascii="Times New Roman" w:hAnsi="Times New Roman" w:cs="Times New Roman"/>
          <w:spacing w:val="-2"/>
          <w:sz w:val="28"/>
          <w:szCs w:val="28"/>
          <w:lang w:val="en-US"/>
        </w:rPr>
        <w:t>V</w:t>
      </w:r>
      <w:r w:rsidR="00492571" w:rsidRPr="00C246DD">
        <w:rPr>
          <w:rFonts w:ascii="Times New Roman" w:hAnsi="Times New Roman" w:cs="Times New Roman"/>
          <w:spacing w:val="-2"/>
          <w:sz w:val="28"/>
          <w:szCs w:val="28"/>
        </w:rPr>
        <w:t xml:space="preserve"> кварталі 2026 року</w:t>
      </w:r>
      <w:r w:rsidRPr="00C246DD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915594" w:rsidRPr="00C246DD" w:rsidRDefault="00915594" w:rsidP="00915594">
      <w:pPr>
        <w:spacing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246DD">
        <w:rPr>
          <w:rFonts w:ascii="Times New Roman" w:hAnsi="Times New Roman" w:cs="Times New Roman"/>
          <w:spacing w:val="-2"/>
          <w:sz w:val="28"/>
          <w:szCs w:val="28"/>
        </w:rPr>
        <w:t xml:space="preserve">Повторне відстеження результативності </w:t>
      </w:r>
      <w:r w:rsidR="00492571" w:rsidRPr="00C246DD">
        <w:rPr>
          <w:rFonts w:ascii="Times New Roman" w:hAnsi="Times New Roman" w:cs="Times New Roman"/>
          <w:spacing w:val="-2"/>
          <w:sz w:val="28"/>
          <w:szCs w:val="28"/>
        </w:rPr>
        <w:t>здійснюватиметься у ІV кварталі 2027 року</w:t>
      </w:r>
      <w:r w:rsidRPr="00C246D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30AD2" w:rsidRPr="00C246DD" w:rsidRDefault="00D213E2" w:rsidP="00C30AD2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246DD">
        <w:rPr>
          <w:rFonts w:ascii="Times New Roman" w:hAnsi="Times New Roman" w:cs="Times New Roman"/>
          <w:spacing w:val="-2"/>
          <w:sz w:val="28"/>
          <w:szCs w:val="28"/>
        </w:rPr>
        <w:t>Періодичне відстеження здійснюватиметься кожні три роки після повторного.</w:t>
      </w:r>
    </w:p>
    <w:p w:rsidR="0005614F" w:rsidRPr="00C246DD" w:rsidRDefault="0005614F" w:rsidP="0005614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614F" w:rsidRPr="00C246DD" w:rsidRDefault="0005614F" w:rsidP="0005614F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88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63"/>
        <w:gridCol w:w="5122"/>
      </w:tblGrid>
      <w:tr w:rsidR="0005614F" w:rsidRPr="00D93078" w:rsidTr="00492C4F">
        <w:trPr>
          <w:trHeight w:val="107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5614F" w:rsidRPr="00C246DD" w:rsidRDefault="0005614F" w:rsidP="00492C4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5" w:name="n1999"/>
            <w:bookmarkEnd w:id="5"/>
            <w:r w:rsidRPr="00C246DD">
              <w:rPr>
                <w:rFonts w:ascii="Times New Roman" w:hAnsi="Times New Roman"/>
                <w:b/>
                <w:bCs/>
                <w:sz w:val="28"/>
                <w:szCs w:val="28"/>
              </w:rPr>
              <w:t>Міністр фінансів України</w:t>
            </w:r>
          </w:p>
          <w:p w:rsidR="0005614F" w:rsidRPr="00C246DD" w:rsidRDefault="0005614F" w:rsidP="00492C4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614F" w:rsidRPr="00C246DD" w:rsidRDefault="0005614F" w:rsidP="00492C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246DD">
              <w:rPr>
                <w:rFonts w:ascii="Times New Roman" w:eastAsia="Calibri" w:hAnsi="Times New Roman" w:cs="Times New Roman"/>
                <w:sz w:val="28"/>
                <w:szCs w:val="28"/>
              </w:rPr>
              <w:t>_____ ____________ 202</w:t>
            </w:r>
            <w:r w:rsidR="00496F5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C246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  <w:p w:rsidR="0005614F" w:rsidRPr="00C246DD" w:rsidRDefault="0005614F" w:rsidP="00492C4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4" w:type="dxa"/>
            <w:tcBorders>
              <w:top w:val="nil"/>
              <w:left w:val="nil"/>
              <w:bottom w:val="nil"/>
              <w:right w:val="nil"/>
            </w:tcBorders>
          </w:tcPr>
          <w:p w:rsidR="0005614F" w:rsidRPr="00D93078" w:rsidRDefault="0005614F" w:rsidP="00492C4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6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Pr="00C246D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C246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Сергій МАРЧЕНКО</w:t>
            </w:r>
          </w:p>
          <w:p w:rsidR="0005614F" w:rsidRPr="00D93078" w:rsidRDefault="0005614F" w:rsidP="00492C4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614F" w:rsidRPr="00D93078" w:rsidRDefault="0005614F" w:rsidP="00492C4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307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4F6583" w:rsidRPr="00C83F64" w:rsidRDefault="004F6583" w:rsidP="003240FF">
      <w:pPr>
        <w:shd w:val="clear" w:color="auto" w:fill="FFFFFF" w:themeFill="background1"/>
        <w:tabs>
          <w:tab w:val="right" w:pos="963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F6583" w:rsidRPr="00C83F64" w:rsidSect="004A1865">
      <w:headerReference w:type="default" r:id="rId10"/>
      <w:headerReference w:type="first" r:id="rId11"/>
      <w:pgSz w:w="11909" w:h="16834"/>
      <w:pgMar w:top="1134" w:right="567" w:bottom="1418" w:left="1701" w:header="709" w:footer="141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4B" w:rsidRDefault="00722E4B" w:rsidP="0005782A">
      <w:pPr>
        <w:spacing w:line="240" w:lineRule="auto"/>
      </w:pPr>
      <w:r>
        <w:separator/>
      </w:r>
    </w:p>
  </w:endnote>
  <w:endnote w:type="continuationSeparator" w:id="0">
    <w:p w:rsidR="00722E4B" w:rsidRDefault="00722E4B" w:rsidP="00057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4B" w:rsidRDefault="00722E4B" w:rsidP="0005782A">
      <w:pPr>
        <w:spacing w:line="240" w:lineRule="auto"/>
      </w:pPr>
      <w:r>
        <w:separator/>
      </w:r>
    </w:p>
  </w:footnote>
  <w:footnote w:type="continuationSeparator" w:id="0">
    <w:p w:rsidR="00722E4B" w:rsidRDefault="00722E4B" w:rsidP="0005782A">
      <w:pPr>
        <w:spacing w:line="240" w:lineRule="auto"/>
      </w:pPr>
      <w:r>
        <w:continuationSeparator/>
      </w:r>
    </w:p>
  </w:footnote>
  <w:footnote w:id="1">
    <w:p w:rsidR="004A1865" w:rsidRDefault="004A1865" w:rsidP="004A1865">
      <w:pPr>
        <w:pStyle w:val="aff0"/>
        <w:jc w:val="both"/>
      </w:pPr>
      <w:r w:rsidRPr="00CB4B5F">
        <w:rPr>
          <w:rStyle w:val="aff2"/>
        </w:rPr>
        <w:footnoteRef/>
      </w:r>
      <w:r w:rsidRPr="00CB4B5F">
        <w:t xml:space="preserve"> </w:t>
      </w:r>
      <w:r w:rsidRPr="00CB4B5F">
        <w:rPr>
          <w:rFonts w:ascii="Times New Roman" w:hAnsi="Times New Roman" w:cs="Times New Roman"/>
          <w:sz w:val="24"/>
          <w:szCs w:val="24"/>
        </w:rPr>
        <w:t xml:space="preserve">Для розрахунку вартості 1 години роботи використано мінімальну заробітну плату </w:t>
      </w:r>
      <w:r w:rsidR="0049636D" w:rsidRPr="00CB4B5F">
        <w:rPr>
          <w:rFonts w:ascii="Times New Roman" w:hAnsi="Times New Roman" w:cs="Times New Roman"/>
          <w:sz w:val="24"/>
          <w:szCs w:val="24"/>
        </w:rPr>
        <w:t>в</w:t>
      </w:r>
      <w:r w:rsidRPr="00CB4B5F">
        <w:rPr>
          <w:rFonts w:ascii="Times New Roman" w:hAnsi="Times New Roman" w:cs="Times New Roman"/>
          <w:sz w:val="24"/>
          <w:szCs w:val="24"/>
        </w:rPr>
        <w:t xml:space="preserve"> </w:t>
      </w:r>
      <w:r w:rsidRPr="00C246DD">
        <w:rPr>
          <w:rFonts w:ascii="Times New Roman" w:hAnsi="Times New Roman" w:cs="Times New Roman"/>
          <w:sz w:val="24"/>
          <w:szCs w:val="24"/>
        </w:rPr>
        <w:t>погодинному розмірі, яка відповідно до Закону України «Про Державний бюджет України на 2025 рік» з 1 січня 2025 року становить 48 гривень.</w:t>
      </w:r>
    </w:p>
  </w:footnote>
  <w:footnote w:id="2">
    <w:p w:rsidR="004A1865" w:rsidRDefault="004A1865" w:rsidP="004A1865">
      <w:pPr>
        <w:pStyle w:val="aff0"/>
        <w:jc w:val="both"/>
      </w:pPr>
      <w:r>
        <w:rPr>
          <w:rStyle w:val="aff2"/>
        </w:rPr>
        <w:footnoteRef/>
      </w:r>
      <w:r>
        <w:t xml:space="preserve"> </w:t>
      </w:r>
      <w:r w:rsidRPr="00C246DD">
        <w:rPr>
          <w:rFonts w:ascii="Times New Roman" w:hAnsi="Times New Roman" w:cs="Times New Roman"/>
          <w:sz w:val="24"/>
          <w:szCs w:val="24"/>
        </w:rPr>
        <w:t>Вартість одного аркуша офісного паперу формату А4, що використовується для розрахунків, становить 0,34 грн, та розрахована шляхом співвідношення вартості однієї упаковки такого паперу (170 грн) та загальної кількості в ній аркушів (500 шт</w:t>
      </w:r>
      <w:r>
        <w:rPr>
          <w:rFonts w:ascii="Times New Roman" w:hAnsi="Times New Roman" w:cs="Times New Roman"/>
          <w:sz w:val="24"/>
          <w:szCs w:val="24"/>
        </w:rPr>
        <w:t>ук</w:t>
      </w:r>
      <w:r w:rsidRPr="00C246DD">
        <w:rPr>
          <w:rFonts w:ascii="Times New Roman" w:hAnsi="Times New Roman" w:cs="Times New Roman"/>
          <w:sz w:val="24"/>
          <w:szCs w:val="24"/>
        </w:rPr>
        <w:t>).</w:t>
      </w:r>
    </w:p>
  </w:footnote>
  <w:footnote w:id="3">
    <w:p w:rsidR="003240FF" w:rsidRPr="00CB4B5F" w:rsidRDefault="003240FF" w:rsidP="003240F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2"/>
        </w:rPr>
        <w:footnoteRef/>
      </w:r>
      <w:r>
        <w:t xml:space="preserve"> </w:t>
      </w:r>
      <w:r w:rsidRPr="003240FF">
        <w:rPr>
          <w:rFonts w:ascii="Times New Roman" w:hAnsi="Times New Roman" w:cs="Times New Roman"/>
          <w:sz w:val="24"/>
          <w:szCs w:val="24"/>
        </w:rPr>
        <w:t xml:space="preserve">Для розрахунку сумарних витрат суб’єктів господарювання (учасників Конкурсу) за </w:t>
      </w:r>
      <w:r w:rsidRPr="00CB4B5F">
        <w:rPr>
          <w:rFonts w:ascii="Times New Roman" w:hAnsi="Times New Roman" w:cs="Times New Roman"/>
          <w:sz w:val="24"/>
          <w:szCs w:val="24"/>
        </w:rPr>
        <w:t>альтернативою 1 застосовано:</w:t>
      </w:r>
    </w:p>
    <w:p w:rsidR="003240FF" w:rsidRPr="00CB4B5F" w:rsidRDefault="003240FF" w:rsidP="003240F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B5F">
        <w:rPr>
          <w:rFonts w:ascii="Times New Roman" w:hAnsi="Times New Roman" w:cs="Times New Roman"/>
          <w:sz w:val="24"/>
          <w:szCs w:val="24"/>
        </w:rPr>
        <w:t xml:space="preserve">припускається, що за чинного державного регулювання для підготовки необхідного переліку документів для участі в Конкурсі потрібно не 50 аркушів офісного паперу формату А4, а 70 аркушів ((0,34 грн </w:t>
      </w:r>
      <w:r w:rsidR="0049636D" w:rsidRPr="00CB4B5F">
        <w:rPr>
          <w:rFonts w:ascii="Times New Roman" w:hAnsi="Times New Roman" w:cs="Times New Roman"/>
          <w:sz w:val="24"/>
          <w:szCs w:val="24"/>
        </w:rPr>
        <w:t>х</w:t>
      </w:r>
      <w:r w:rsidRPr="00CB4B5F">
        <w:rPr>
          <w:rFonts w:ascii="Times New Roman" w:hAnsi="Times New Roman" w:cs="Times New Roman"/>
          <w:sz w:val="24"/>
          <w:szCs w:val="24"/>
        </w:rPr>
        <w:t xml:space="preserve"> 70 </w:t>
      </w:r>
      <w:r w:rsidRPr="00CB4B5F">
        <w:rPr>
          <w:rFonts w:ascii="Times New Roman" w:hAnsi="Times New Roman" w:cs="Times New Roman"/>
          <w:sz w:val="24"/>
          <w:szCs w:val="24"/>
        </w:rPr>
        <w:t xml:space="preserve">арк.) </w:t>
      </w:r>
      <w:r w:rsidR="0049636D" w:rsidRPr="00CB4B5F">
        <w:rPr>
          <w:rFonts w:ascii="Times New Roman" w:hAnsi="Times New Roman" w:cs="Times New Roman"/>
          <w:sz w:val="24"/>
          <w:szCs w:val="24"/>
        </w:rPr>
        <w:t>х</w:t>
      </w:r>
      <w:r w:rsidRPr="00CB4B5F">
        <w:rPr>
          <w:rFonts w:ascii="Times New Roman" w:hAnsi="Times New Roman" w:cs="Times New Roman"/>
          <w:sz w:val="24"/>
          <w:szCs w:val="24"/>
        </w:rPr>
        <w:t xml:space="preserve"> 2 суб’єкти = 47,60 гр</w:t>
      </w:r>
      <w:r w:rsidR="0049636D" w:rsidRPr="00CB4B5F">
        <w:rPr>
          <w:rFonts w:ascii="Times New Roman" w:hAnsi="Times New Roman" w:cs="Times New Roman"/>
          <w:sz w:val="24"/>
          <w:szCs w:val="24"/>
        </w:rPr>
        <w:t>иве</w:t>
      </w:r>
      <w:r w:rsidRPr="00CB4B5F">
        <w:rPr>
          <w:rFonts w:ascii="Times New Roman" w:hAnsi="Times New Roman" w:cs="Times New Roman"/>
          <w:sz w:val="24"/>
          <w:szCs w:val="24"/>
        </w:rPr>
        <w:t>н</w:t>
      </w:r>
      <w:r w:rsidR="0049636D" w:rsidRPr="00CB4B5F">
        <w:rPr>
          <w:rFonts w:ascii="Times New Roman" w:hAnsi="Times New Roman" w:cs="Times New Roman"/>
          <w:sz w:val="24"/>
          <w:szCs w:val="24"/>
        </w:rPr>
        <w:t>ь</w:t>
      </w:r>
      <w:r w:rsidRPr="00CB4B5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240FF" w:rsidRPr="00CB4B5F" w:rsidRDefault="003240FF" w:rsidP="003240FF">
      <w:pPr>
        <w:pStyle w:val="aff0"/>
        <w:ind w:firstLine="567"/>
        <w:jc w:val="both"/>
        <w:rPr>
          <w:sz w:val="24"/>
          <w:szCs w:val="24"/>
        </w:rPr>
      </w:pPr>
      <w:r w:rsidRPr="00CB4B5F">
        <w:rPr>
          <w:rFonts w:ascii="Times New Roman" w:eastAsia="Times New Roman" w:hAnsi="Times New Roman" w:cs="Times New Roman"/>
          <w:sz w:val="24"/>
          <w:szCs w:val="24"/>
          <w:lang w:eastAsia="ko-KR"/>
        </w:rPr>
        <w:t>витрат на отримання первинної інформації про вимоги регулювання</w:t>
      </w:r>
      <w:r w:rsidRPr="00CB4B5F">
        <w:rPr>
          <w:rFonts w:ascii="Times New Roman" w:hAnsi="Times New Roman" w:cs="Times New Roman"/>
          <w:sz w:val="24"/>
          <w:szCs w:val="24"/>
        </w:rPr>
        <w:t xml:space="preserve"> не передбач</w:t>
      </w:r>
      <w:r w:rsidR="0049636D" w:rsidRPr="00CB4B5F">
        <w:rPr>
          <w:rFonts w:ascii="Times New Roman" w:hAnsi="Times New Roman" w:cs="Times New Roman"/>
          <w:sz w:val="24"/>
          <w:szCs w:val="24"/>
        </w:rPr>
        <w:t>ено</w:t>
      </w:r>
      <w:r w:rsidRPr="00CB4B5F">
        <w:rPr>
          <w:rFonts w:ascii="Times New Roman" w:hAnsi="Times New Roman" w:cs="Times New Roman"/>
          <w:sz w:val="24"/>
          <w:szCs w:val="24"/>
        </w:rPr>
        <w:t xml:space="preserve">, оскільки чинне державне регулювання з порушеного питання діє з 2014 року, отже, </w:t>
      </w:r>
      <w:r w:rsidR="0049636D" w:rsidRPr="00CB4B5F">
        <w:rPr>
          <w:rFonts w:ascii="Times New Roman" w:hAnsi="Times New Roman" w:cs="Times New Roman"/>
          <w:sz w:val="24"/>
          <w:szCs w:val="24"/>
        </w:rPr>
        <w:t xml:space="preserve">немає </w:t>
      </w:r>
      <w:r w:rsidRPr="00CB4B5F">
        <w:rPr>
          <w:rFonts w:ascii="Times New Roman" w:hAnsi="Times New Roman" w:cs="Times New Roman"/>
          <w:sz w:val="24"/>
          <w:szCs w:val="24"/>
        </w:rPr>
        <w:t>потреб</w:t>
      </w:r>
      <w:r w:rsidR="0049636D" w:rsidRPr="00CB4B5F">
        <w:rPr>
          <w:rFonts w:ascii="Times New Roman" w:hAnsi="Times New Roman" w:cs="Times New Roman"/>
          <w:sz w:val="24"/>
          <w:szCs w:val="24"/>
        </w:rPr>
        <w:t>и</w:t>
      </w:r>
      <w:r w:rsidRPr="00CB4B5F">
        <w:rPr>
          <w:rFonts w:ascii="Times New Roman" w:hAnsi="Times New Roman" w:cs="Times New Roman"/>
          <w:sz w:val="24"/>
          <w:szCs w:val="24"/>
        </w:rPr>
        <w:t xml:space="preserve"> в ознайомленні з новими положеннями нормативно-правового акта.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1914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2C4F" w:rsidRPr="00446D55" w:rsidRDefault="00492C4F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6D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6D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6D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010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46D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2C4F" w:rsidRDefault="00492C4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C4F" w:rsidRDefault="00492C4F">
    <w:pPr>
      <w:pStyle w:val="af"/>
      <w:jc w:val="center"/>
    </w:pPr>
  </w:p>
  <w:p w:rsidR="00492C4F" w:rsidRDefault="00492C4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C6FF1"/>
    <w:multiLevelType w:val="hybridMultilevel"/>
    <w:tmpl w:val="F95611A2"/>
    <w:lvl w:ilvl="0" w:tplc="0E88D2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AA7FCB"/>
    <w:multiLevelType w:val="hybridMultilevel"/>
    <w:tmpl w:val="3852E9BE"/>
    <w:lvl w:ilvl="0" w:tplc="01E64A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765F40"/>
    <w:multiLevelType w:val="hybridMultilevel"/>
    <w:tmpl w:val="AAB8093E"/>
    <w:lvl w:ilvl="0" w:tplc="DA383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C0120"/>
    <w:multiLevelType w:val="hybridMultilevel"/>
    <w:tmpl w:val="3448F9D8"/>
    <w:lvl w:ilvl="0" w:tplc="5762B09E">
      <w:start w:val="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E8E6E77"/>
    <w:multiLevelType w:val="multilevel"/>
    <w:tmpl w:val="4218FEB0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59"/>
    <w:rsid w:val="000015FC"/>
    <w:rsid w:val="000026A5"/>
    <w:rsid w:val="00005F46"/>
    <w:rsid w:val="0000697F"/>
    <w:rsid w:val="00006DE6"/>
    <w:rsid w:val="00010266"/>
    <w:rsid w:val="000131F9"/>
    <w:rsid w:val="000155DD"/>
    <w:rsid w:val="00015F76"/>
    <w:rsid w:val="000162CA"/>
    <w:rsid w:val="00020C0B"/>
    <w:rsid w:val="00022C6D"/>
    <w:rsid w:val="00024B2B"/>
    <w:rsid w:val="00026AA1"/>
    <w:rsid w:val="00026EF2"/>
    <w:rsid w:val="00027517"/>
    <w:rsid w:val="000302EA"/>
    <w:rsid w:val="00036335"/>
    <w:rsid w:val="000367D9"/>
    <w:rsid w:val="000448A6"/>
    <w:rsid w:val="00045099"/>
    <w:rsid w:val="00046735"/>
    <w:rsid w:val="00046C04"/>
    <w:rsid w:val="00051AE6"/>
    <w:rsid w:val="00052350"/>
    <w:rsid w:val="000535B5"/>
    <w:rsid w:val="00054A82"/>
    <w:rsid w:val="0005614F"/>
    <w:rsid w:val="0005782A"/>
    <w:rsid w:val="000627D9"/>
    <w:rsid w:val="0007172D"/>
    <w:rsid w:val="00072759"/>
    <w:rsid w:val="000727FF"/>
    <w:rsid w:val="00073A7A"/>
    <w:rsid w:val="0007417A"/>
    <w:rsid w:val="00076A3A"/>
    <w:rsid w:val="00077561"/>
    <w:rsid w:val="00077C0A"/>
    <w:rsid w:val="00080D36"/>
    <w:rsid w:val="00085A7E"/>
    <w:rsid w:val="00086500"/>
    <w:rsid w:val="0008701A"/>
    <w:rsid w:val="00094A27"/>
    <w:rsid w:val="00095178"/>
    <w:rsid w:val="00095F20"/>
    <w:rsid w:val="0009737B"/>
    <w:rsid w:val="000A0B01"/>
    <w:rsid w:val="000A1C59"/>
    <w:rsid w:val="000A3206"/>
    <w:rsid w:val="000A748D"/>
    <w:rsid w:val="000A7ECA"/>
    <w:rsid w:val="000B0049"/>
    <w:rsid w:val="000B0560"/>
    <w:rsid w:val="000B3209"/>
    <w:rsid w:val="000B43CF"/>
    <w:rsid w:val="000B6EE1"/>
    <w:rsid w:val="000B7A11"/>
    <w:rsid w:val="000C0533"/>
    <w:rsid w:val="000C132D"/>
    <w:rsid w:val="000C2FD7"/>
    <w:rsid w:val="000C36CC"/>
    <w:rsid w:val="000D1888"/>
    <w:rsid w:val="000D297A"/>
    <w:rsid w:val="000D5902"/>
    <w:rsid w:val="000E086D"/>
    <w:rsid w:val="000E21CD"/>
    <w:rsid w:val="000E2EAB"/>
    <w:rsid w:val="000E3572"/>
    <w:rsid w:val="000E47C8"/>
    <w:rsid w:val="000E7C6B"/>
    <w:rsid w:val="000F06AB"/>
    <w:rsid w:val="000F3C8B"/>
    <w:rsid w:val="000F6252"/>
    <w:rsid w:val="000F7835"/>
    <w:rsid w:val="001015AA"/>
    <w:rsid w:val="00102383"/>
    <w:rsid w:val="00103572"/>
    <w:rsid w:val="00105357"/>
    <w:rsid w:val="001057C8"/>
    <w:rsid w:val="0010606E"/>
    <w:rsid w:val="00106F21"/>
    <w:rsid w:val="0011057E"/>
    <w:rsid w:val="0011145C"/>
    <w:rsid w:val="0011192B"/>
    <w:rsid w:val="001136F9"/>
    <w:rsid w:val="00113FC2"/>
    <w:rsid w:val="0011517C"/>
    <w:rsid w:val="0011624E"/>
    <w:rsid w:val="0011641D"/>
    <w:rsid w:val="00120863"/>
    <w:rsid w:val="00122B86"/>
    <w:rsid w:val="00122C1D"/>
    <w:rsid w:val="001230A0"/>
    <w:rsid w:val="00123200"/>
    <w:rsid w:val="00123638"/>
    <w:rsid w:val="00124620"/>
    <w:rsid w:val="00124EC4"/>
    <w:rsid w:val="00125488"/>
    <w:rsid w:val="00125ACC"/>
    <w:rsid w:val="00126481"/>
    <w:rsid w:val="00131E9E"/>
    <w:rsid w:val="0013215D"/>
    <w:rsid w:val="001331F6"/>
    <w:rsid w:val="00134316"/>
    <w:rsid w:val="00140CFF"/>
    <w:rsid w:val="00141A5B"/>
    <w:rsid w:val="00143206"/>
    <w:rsid w:val="00144A0F"/>
    <w:rsid w:val="001474FE"/>
    <w:rsid w:val="00151BBF"/>
    <w:rsid w:val="00153AFC"/>
    <w:rsid w:val="00154FB2"/>
    <w:rsid w:val="00161005"/>
    <w:rsid w:val="00161529"/>
    <w:rsid w:val="0016154B"/>
    <w:rsid w:val="0016179D"/>
    <w:rsid w:val="00162C11"/>
    <w:rsid w:val="00163327"/>
    <w:rsid w:val="00163C29"/>
    <w:rsid w:val="0016709C"/>
    <w:rsid w:val="001674F6"/>
    <w:rsid w:val="00171285"/>
    <w:rsid w:val="0017395D"/>
    <w:rsid w:val="00175B24"/>
    <w:rsid w:val="00176752"/>
    <w:rsid w:val="00184386"/>
    <w:rsid w:val="00186CC3"/>
    <w:rsid w:val="0019340E"/>
    <w:rsid w:val="001939AC"/>
    <w:rsid w:val="001A0305"/>
    <w:rsid w:val="001A086E"/>
    <w:rsid w:val="001A1AFC"/>
    <w:rsid w:val="001A2503"/>
    <w:rsid w:val="001A31B4"/>
    <w:rsid w:val="001A3A74"/>
    <w:rsid w:val="001A5DD6"/>
    <w:rsid w:val="001B0BE1"/>
    <w:rsid w:val="001B10AD"/>
    <w:rsid w:val="001B1BAE"/>
    <w:rsid w:val="001B3FA4"/>
    <w:rsid w:val="001B3FE4"/>
    <w:rsid w:val="001B4FDF"/>
    <w:rsid w:val="001B609F"/>
    <w:rsid w:val="001B7FFE"/>
    <w:rsid w:val="001C24FA"/>
    <w:rsid w:val="001C5BB2"/>
    <w:rsid w:val="001C6CBE"/>
    <w:rsid w:val="001C724A"/>
    <w:rsid w:val="001D018F"/>
    <w:rsid w:val="001D214A"/>
    <w:rsid w:val="001D4C8F"/>
    <w:rsid w:val="001D54EC"/>
    <w:rsid w:val="001D5BC5"/>
    <w:rsid w:val="001E1F3C"/>
    <w:rsid w:val="001E2C50"/>
    <w:rsid w:val="001E546B"/>
    <w:rsid w:val="001E5C91"/>
    <w:rsid w:val="001E6969"/>
    <w:rsid w:val="001F441B"/>
    <w:rsid w:val="001F713B"/>
    <w:rsid w:val="00201ECA"/>
    <w:rsid w:val="002034BA"/>
    <w:rsid w:val="0020492F"/>
    <w:rsid w:val="00210ECF"/>
    <w:rsid w:val="002119FF"/>
    <w:rsid w:val="00213C84"/>
    <w:rsid w:val="0021474E"/>
    <w:rsid w:val="00215F23"/>
    <w:rsid w:val="00216FFC"/>
    <w:rsid w:val="00220A4E"/>
    <w:rsid w:val="00221ABD"/>
    <w:rsid w:val="00222342"/>
    <w:rsid w:val="00223A98"/>
    <w:rsid w:val="00225472"/>
    <w:rsid w:val="002268C1"/>
    <w:rsid w:val="00234ABD"/>
    <w:rsid w:val="0023584C"/>
    <w:rsid w:val="0024196C"/>
    <w:rsid w:val="002452FA"/>
    <w:rsid w:val="002453A2"/>
    <w:rsid w:val="002471AE"/>
    <w:rsid w:val="00247FAB"/>
    <w:rsid w:val="00250F82"/>
    <w:rsid w:val="00252500"/>
    <w:rsid w:val="002600A2"/>
    <w:rsid w:val="00260109"/>
    <w:rsid w:val="0026043B"/>
    <w:rsid w:val="002604D8"/>
    <w:rsid w:val="00261D67"/>
    <w:rsid w:val="00263345"/>
    <w:rsid w:val="002643D7"/>
    <w:rsid w:val="00264C30"/>
    <w:rsid w:val="00265A25"/>
    <w:rsid w:val="002675FE"/>
    <w:rsid w:val="002717D6"/>
    <w:rsid w:val="002719D4"/>
    <w:rsid w:val="00275B84"/>
    <w:rsid w:val="00275C76"/>
    <w:rsid w:val="00281643"/>
    <w:rsid w:val="00281B22"/>
    <w:rsid w:val="002821D5"/>
    <w:rsid w:val="00282B88"/>
    <w:rsid w:val="00282F9B"/>
    <w:rsid w:val="002832A5"/>
    <w:rsid w:val="0028362D"/>
    <w:rsid w:val="0028674B"/>
    <w:rsid w:val="0029147E"/>
    <w:rsid w:val="00291C9A"/>
    <w:rsid w:val="0029397E"/>
    <w:rsid w:val="002960B5"/>
    <w:rsid w:val="0029686F"/>
    <w:rsid w:val="002A01F8"/>
    <w:rsid w:val="002A11D4"/>
    <w:rsid w:val="002A1210"/>
    <w:rsid w:val="002A14A0"/>
    <w:rsid w:val="002A31CB"/>
    <w:rsid w:val="002A3252"/>
    <w:rsid w:val="002A3AE0"/>
    <w:rsid w:val="002B0538"/>
    <w:rsid w:val="002B4FBE"/>
    <w:rsid w:val="002B604A"/>
    <w:rsid w:val="002C009E"/>
    <w:rsid w:val="002C0E11"/>
    <w:rsid w:val="002C1485"/>
    <w:rsid w:val="002C159B"/>
    <w:rsid w:val="002C268A"/>
    <w:rsid w:val="002C2D96"/>
    <w:rsid w:val="002C42C3"/>
    <w:rsid w:val="002C53B5"/>
    <w:rsid w:val="002C6B88"/>
    <w:rsid w:val="002D03C0"/>
    <w:rsid w:val="002D0935"/>
    <w:rsid w:val="002D2286"/>
    <w:rsid w:val="002D473E"/>
    <w:rsid w:val="002D5C88"/>
    <w:rsid w:val="002D7733"/>
    <w:rsid w:val="002E2AA9"/>
    <w:rsid w:val="002E2B8B"/>
    <w:rsid w:val="002E2F2F"/>
    <w:rsid w:val="002E44C3"/>
    <w:rsid w:val="002E59F1"/>
    <w:rsid w:val="002E702B"/>
    <w:rsid w:val="002E7968"/>
    <w:rsid w:val="002F16D9"/>
    <w:rsid w:val="002F1DAF"/>
    <w:rsid w:val="002F5D96"/>
    <w:rsid w:val="002F7107"/>
    <w:rsid w:val="0030036B"/>
    <w:rsid w:val="00300D7E"/>
    <w:rsid w:val="003019D9"/>
    <w:rsid w:val="00304C3C"/>
    <w:rsid w:val="00305C2A"/>
    <w:rsid w:val="00306922"/>
    <w:rsid w:val="00310107"/>
    <w:rsid w:val="003119C1"/>
    <w:rsid w:val="0031257E"/>
    <w:rsid w:val="00316CDA"/>
    <w:rsid w:val="003171A5"/>
    <w:rsid w:val="00320873"/>
    <w:rsid w:val="00320B27"/>
    <w:rsid w:val="003214B2"/>
    <w:rsid w:val="003228D2"/>
    <w:rsid w:val="003240FF"/>
    <w:rsid w:val="003255B1"/>
    <w:rsid w:val="003274B0"/>
    <w:rsid w:val="0033021C"/>
    <w:rsid w:val="003306F4"/>
    <w:rsid w:val="00331E36"/>
    <w:rsid w:val="003325CD"/>
    <w:rsid w:val="0033292F"/>
    <w:rsid w:val="00332BB3"/>
    <w:rsid w:val="003338A7"/>
    <w:rsid w:val="0033682B"/>
    <w:rsid w:val="003425E6"/>
    <w:rsid w:val="00343431"/>
    <w:rsid w:val="0034386B"/>
    <w:rsid w:val="003509BD"/>
    <w:rsid w:val="00352052"/>
    <w:rsid w:val="00356586"/>
    <w:rsid w:val="00356C45"/>
    <w:rsid w:val="003572A5"/>
    <w:rsid w:val="0036071C"/>
    <w:rsid w:val="00363356"/>
    <w:rsid w:val="00367740"/>
    <w:rsid w:val="00373906"/>
    <w:rsid w:val="00374564"/>
    <w:rsid w:val="00380FF5"/>
    <w:rsid w:val="00383F42"/>
    <w:rsid w:val="00387068"/>
    <w:rsid w:val="0039203D"/>
    <w:rsid w:val="00395DAE"/>
    <w:rsid w:val="00395EF7"/>
    <w:rsid w:val="003A3BC2"/>
    <w:rsid w:val="003A3E97"/>
    <w:rsid w:val="003A3F68"/>
    <w:rsid w:val="003A7D3E"/>
    <w:rsid w:val="003B14B4"/>
    <w:rsid w:val="003B2F60"/>
    <w:rsid w:val="003B3A58"/>
    <w:rsid w:val="003B4BF7"/>
    <w:rsid w:val="003B51D2"/>
    <w:rsid w:val="003B5EC2"/>
    <w:rsid w:val="003B6C0B"/>
    <w:rsid w:val="003B753C"/>
    <w:rsid w:val="003B7688"/>
    <w:rsid w:val="003C0FF7"/>
    <w:rsid w:val="003C1E0B"/>
    <w:rsid w:val="003C5953"/>
    <w:rsid w:val="003C6A81"/>
    <w:rsid w:val="003D095A"/>
    <w:rsid w:val="003D22F6"/>
    <w:rsid w:val="003D36B1"/>
    <w:rsid w:val="003D74FE"/>
    <w:rsid w:val="003E0D39"/>
    <w:rsid w:val="003E3960"/>
    <w:rsid w:val="003E6C15"/>
    <w:rsid w:val="003E7F29"/>
    <w:rsid w:val="003F3957"/>
    <w:rsid w:val="003F3ACA"/>
    <w:rsid w:val="003F3CF9"/>
    <w:rsid w:val="0040124A"/>
    <w:rsid w:val="004013F5"/>
    <w:rsid w:val="00401607"/>
    <w:rsid w:val="0040407D"/>
    <w:rsid w:val="0040425B"/>
    <w:rsid w:val="00410559"/>
    <w:rsid w:val="0041093D"/>
    <w:rsid w:val="00413558"/>
    <w:rsid w:val="004138B1"/>
    <w:rsid w:val="004149A7"/>
    <w:rsid w:val="00417CB3"/>
    <w:rsid w:val="0042399F"/>
    <w:rsid w:val="00423FFE"/>
    <w:rsid w:val="0042417D"/>
    <w:rsid w:val="004244BA"/>
    <w:rsid w:val="00424ACE"/>
    <w:rsid w:val="004279A9"/>
    <w:rsid w:val="00432954"/>
    <w:rsid w:val="00432B4C"/>
    <w:rsid w:val="004361A7"/>
    <w:rsid w:val="004365C5"/>
    <w:rsid w:val="004365DB"/>
    <w:rsid w:val="00436C81"/>
    <w:rsid w:val="004376F8"/>
    <w:rsid w:val="004402AE"/>
    <w:rsid w:val="00441EA5"/>
    <w:rsid w:val="004421F0"/>
    <w:rsid w:val="00443FFB"/>
    <w:rsid w:val="00446D55"/>
    <w:rsid w:val="0045028B"/>
    <w:rsid w:val="004527EB"/>
    <w:rsid w:val="00453028"/>
    <w:rsid w:val="00453548"/>
    <w:rsid w:val="00456AF5"/>
    <w:rsid w:val="004572FF"/>
    <w:rsid w:val="004577C3"/>
    <w:rsid w:val="004617F3"/>
    <w:rsid w:val="00461EAD"/>
    <w:rsid w:val="00462D0E"/>
    <w:rsid w:val="00463049"/>
    <w:rsid w:val="00463322"/>
    <w:rsid w:val="00463401"/>
    <w:rsid w:val="00463B15"/>
    <w:rsid w:val="004650F0"/>
    <w:rsid w:val="00466EF6"/>
    <w:rsid w:val="0047194A"/>
    <w:rsid w:val="00472AE6"/>
    <w:rsid w:val="004744A8"/>
    <w:rsid w:val="004745F6"/>
    <w:rsid w:val="00474A51"/>
    <w:rsid w:val="00476C4A"/>
    <w:rsid w:val="004779CF"/>
    <w:rsid w:val="00477F59"/>
    <w:rsid w:val="0048342E"/>
    <w:rsid w:val="004835BC"/>
    <w:rsid w:val="00486620"/>
    <w:rsid w:val="00490069"/>
    <w:rsid w:val="00490F57"/>
    <w:rsid w:val="00492571"/>
    <w:rsid w:val="00492C4F"/>
    <w:rsid w:val="00492FA0"/>
    <w:rsid w:val="00495077"/>
    <w:rsid w:val="004958FB"/>
    <w:rsid w:val="00495B7B"/>
    <w:rsid w:val="0049636D"/>
    <w:rsid w:val="004965F4"/>
    <w:rsid w:val="00496F54"/>
    <w:rsid w:val="0049734E"/>
    <w:rsid w:val="00497478"/>
    <w:rsid w:val="0049796C"/>
    <w:rsid w:val="004A0C48"/>
    <w:rsid w:val="004A1865"/>
    <w:rsid w:val="004A1940"/>
    <w:rsid w:val="004A1FE2"/>
    <w:rsid w:val="004A2664"/>
    <w:rsid w:val="004A3B30"/>
    <w:rsid w:val="004A4E43"/>
    <w:rsid w:val="004A4FAF"/>
    <w:rsid w:val="004A67C1"/>
    <w:rsid w:val="004A717C"/>
    <w:rsid w:val="004B2E71"/>
    <w:rsid w:val="004C148F"/>
    <w:rsid w:val="004C2732"/>
    <w:rsid w:val="004C4C2B"/>
    <w:rsid w:val="004C518B"/>
    <w:rsid w:val="004C644C"/>
    <w:rsid w:val="004C7359"/>
    <w:rsid w:val="004D5514"/>
    <w:rsid w:val="004E035A"/>
    <w:rsid w:val="004E0F3B"/>
    <w:rsid w:val="004E4243"/>
    <w:rsid w:val="004E4490"/>
    <w:rsid w:val="004E538D"/>
    <w:rsid w:val="004E593D"/>
    <w:rsid w:val="004E7149"/>
    <w:rsid w:val="004E7ECE"/>
    <w:rsid w:val="004F070E"/>
    <w:rsid w:val="004F08FC"/>
    <w:rsid w:val="004F6137"/>
    <w:rsid w:val="004F6583"/>
    <w:rsid w:val="004F6B19"/>
    <w:rsid w:val="005064DD"/>
    <w:rsid w:val="00507759"/>
    <w:rsid w:val="00511192"/>
    <w:rsid w:val="00512469"/>
    <w:rsid w:val="00514913"/>
    <w:rsid w:val="005174A7"/>
    <w:rsid w:val="005179D7"/>
    <w:rsid w:val="00521B4D"/>
    <w:rsid w:val="0052313A"/>
    <w:rsid w:val="00525BBC"/>
    <w:rsid w:val="0052698B"/>
    <w:rsid w:val="00526BD2"/>
    <w:rsid w:val="005271AA"/>
    <w:rsid w:val="00527651"/>
    <w:rsid w:val="00531D94"/>
    <w:rsid w:val="00533B3D"/>
    <w:rsid w:val="005346B9"/>
    <w:rsid w:val="00535FB0"/>
    <w:rsid w:val="0054044D"/>
    <w:rsid w:val="0054100B"/>
    <w:rsid w:val="005412BC"/>
    <w:rsid w:val="0054242C"/>
    <w:rsid w:val="005444E5"/>
    <w:rsid w:val="00547BDA"/>
    <w:rsid w:val="0055596B"/>
    <w:rsid w:val="00555DA1"/>
    <w:rsid w:val="00557380"/>
    <w:rsid w:val="00560150"/>
    <w:rsid w:val="00561FF4"/>
    <w:rsid w:val="005655D3"/>
    <w:rsid w:val="005665B1"/>
    <w:rsid w:val="00567026"/>
    <w:rsid w:val="0056796D"/>
    <w:rsid w:val="005727F9"/>
    <w:rsid w:val="005729D5"/>
    <w:rsid w:val="005734A1"/>
    <w:rsid w:val="00576006"/>
    <w:rsid w:val="005763EB"/>
    <w:rsid w:val="0058102E"/>
    <w:rsid w:val="00581623"/>
    <w:rsid w:val="00581CAA"/>
    <w:rsid w:val="0058282A"/>
    <w:rsid w:val="0058528A"/>
    <w:rsid w:val="00592F14"/>
    <w:rsid w:val="005966A1"/>
    <w:rsid w:val="005A0EF4"/>
    <w:rsid w:val="005A1296"/>
    <w:rsid w:val="005A2B47"/>
    <w:rsid w:val="005A3E70"/>
    <w:rsid w:val="005A42A5"/>
    <w:rsid w:val="005A5506"/>
    <w:rsid w:val="005A5D09"/>
    <w:rsid w:val="005B149D"/>
    <w:rsid w:val="005B15D6"/>
    <w:rsid w:val="005B1A37"/>
    <w:rsid w:val="005B2C96"/>
    <w:rsid w:val="005B54C0"/>
    <w:rsid w:val="005B59D7"/>
    <w:rsid w:val="005B61D8"/>
    <w:rsid w:val="005B7E52"/>
    <w:rsid w:val="005C573B"/>
    <w:rsid w:val="005D141D"/>
    <w:rsid w:val="005D186B"/>
    <w:rsid w:val="005D4392"/>
    <w:rsid w:val="005D4720"/>
    <w:rsid w:val="005D6D5E"/>
    <w:rsid w:val="005E21C9"/>
    <w:rsid w:val="005E5925"/>
    <w:rsid w:val="005E777D"/>
    <w:rsid w:val="005F10E3"/>
    <w:rsid w:val="005F3786"/>
    <w:rsid w:val="005F40B3"/>
    <w:rsid w:val="005F58AB"/>
    <w:rsid w:val="0060237A"/>
    <w:rsid w:val="00603172"/>
    <w:rsid w:val="00604728"/>
    <w:rsid w:val="006057B7"/>
    <w:rsid w:val="00606F69"/>
    <w:rsid w:val="006106DA"/>
    <w:rsid w:val="006122D0"/>
    <w:rsid w:val="00614F04"/>
    <w:rsid w:val="00615284"/>
    <w:rsid w:val="00615CF9"/>
    <w:rsid w:val="006160C3"/>
    <w:rsid w:val="0062013E"/>
    <w:rsid w:val="00623786"/>
    <w:rsid w:val="0062431E"/>
    <w:rsid w:val="00625C8A"/>
    <w:rsid w:val="00625F24"/>
    <w:rsid w:val="00626192"/>
    <w:rsid w:val="0062764F"/>
    <w:rsid w:val="0063035D"/>
    <w:rsid w:val="006325EC"/>
    <w:rsid w:val="00632BF6"/>
    <w:rsid w:val="00634527"/>
    <w:rsid w:val="00640D59"/>
    <w:rsid w:val="00641590"/>
    <w:rsid w:val="006430A4"/>
    <w:rsid w:val="00644289"/>
    <w:rsid w:val="006445F6"/>
    <w:rsid w:val="00644CB8"/>
    <w:rsid w:val="00646902"/>
    <w:rsid w:val="0064773D"/>
    <w:rsid w:val="006507D8"/>
    <w:rsid w:val="006515DE"/>
    <w:rsid w:val="00655387"/>
    <w:rsid w:val="0065684F"/>
    <w:rsid w:val="00657F49"/>
    <w:rsid w:val="00663DF8"/>
    <w:rsid w:val="006666AA"/>
    <w:rsid w:val="00671BBD"/>
    <w:rsid w:val="00671FBF"/>
    <w:rsid w:val="00672900"/>
    <w:rsid w:val="00672C99"/>
    <w:rsid w:val="0067397D"/>
    <w:rsid w:val="00674C8F"/>
    <w:rsid w:val="00675DCB"/>
    <w:rsid w:val="00677443"/>
    <w:rsid w:val="00682041"/>
    <w:rsid w:val="0068257D"/>
    <w:rsid w:val="00683F38"/>
    <w:rsid w:val="006853A0"/>
    <w:rsid w:val="006925A2"/>
    <w:rsid w:val="00694028"/>
    <w:rsid w:val="00694923"/>
    <w:rsid w:val="00694974"/>
    <w:rsid w:val="006961DA"/>
    <w:rsid w:val="00697897"/>
    <w:rsid w:val="006A239E"/>
    <w:rsid w:val="006A2517"/>
    <w:rsid w:val="006A2A23"/>
    <w:rsid w:val="006A2AD8"/>
    <w:rsid w:val="006A3053"/>
    <w:rsid w:val="006A3309"/>
    <w:rsid w:val="006A5826"/>
    <w:rsid w:val="006A5B2B"/>
    <w:rsid w:val="006A5C97"/>
    <w:rsid w:val="006B0016"/>
    <w:rsid w:val="006B14D3"/>
    <w:rsid w:val="006B2687"/>
    <w:rsid w:val="006B3984"/>
    <w:rsid w:val="006B6E71"/>
    <w:rsid w:val="006B7BD9"/>
    <w:rsid w:val="006B7DDC"/>
    <w:rsid w:val="006C389A"/>
    <w:rsid w:val="006C7D11"/>
    <w:rsid w:val="006D20C7"/>
    <w:rsid w:val="006D3054"/>
    <w:rsid w:val="006E1B26"/>
    <w:rsid w:val="006E3544"/>
    <w:rsid w:val="006E4C00"/>
    <w:rsid w:val="006F5684"/>
    <w:rsid w:val="006F5DED"/>
    <w:rsid w:val="007003EF"/>
    <w:rsid w:val="00700D84"/>
    <w:rsid w:val="00701782"/>
    <w:rsid w:val="007042E3"/>
    <w:rsid w:val="0070562D"/>
    <w:rsid w:val="007064BA"/>
    <w:rsid w:val="00712203"/>
    <w:rsid w:val="00712F1A"/>
    <w:rsid w:val="0071370B"/>
    <w:rsid w:val="00714837"/>
    <w:rsid w:val="00715559"/>
    <w:rsid w:val="00716CF5"/>
    <w:rsid w:val="007173BE"/>
    <w:rsid w:val="007177D7"/>
    <w:rsid w:val="00721D1A"/>
    <w:rsid w:val="00722E4B"/>
    <w:rsid w:val="007244EA"/>
    <w:rsid w:val="007263B6"/>
    <w:rsid w:val="00726DA5"/>
    <w:rsid w:val="00730337"/>
    <w:rsid w:val="00730BEA"/>
    <w:rsid w:val="007325C9"/>
    <w:rsid w:val="00734F9C"/>
    <w:rsid w:val="007357BE"/>
    <w:rsid w:val="0074100E"/>
    <w:rsid w:val="0074138C"/>
    <w:rsid w:val="00742BB0"/>
    <w:rsid w:val="00743808"/>
    <w:rsid w:val="00752979"/>
    <w:rsid w:val="00752B42"/>
    <w:rsid w:val="00753275"/>
    <w:rsid w:val="0075475B"/>
    <w:rsid w:val="00754F7E"/>
    <w:rsid w:val="00756390"/>
    <w:rsid w:val="00765077"/>
    <w:rsid w:val="00766D0D"/>
    <w:rsid w:val="0077044A"/>
    <w:rsid w:val="007705FC"/>
    <w:rsid w:val="00773DF4"/>
    <w:rsid w:val="00774F31"/>
    <w:rsid w:val="00776634"/>
    <w:rsid w:val="00777242"/>
    <w:rsid w:val="00780501"/>
    <w:rsid w:val="00782C85"/>
    <w:rsid w:val="00787E56"/>
    <w:rsid w:val="00790416"/>
    <w:rsid w:val="00790766"/>
    <w:rsid w:val="00793C2F"/>
    <w:rsid w:val="007976F3"/>
    <w:rsid w:val="007978B7"/>
    <w:rsid w:val="00797B51"/>
    <w:rsid w:val="007A1D79"/>
    <w:rsid w:val="007A663F"/>
    <w:rsid w:val="007A78DC"/>
    <w:rsid w:val="007B08B9"/>
    <w:rsid w:val="007B260F"/>
    <w:rsid w:val="007B26F0"/>
    <w:rsid w:val="007C062E"/>
    <w:rsid w:val="007C252F"/>
    <w:rsid w:val="007C3EE2"/>
    <w:rsid w:val="007C5C00"/>
    <w:rsid w:val="007C71A5"/>
    <w:rsid w:val="007C72C4"/>
    <w:rsid w:val="007C75FF"/>
    <w:rsid w:val="007C7616"/>
    <w:rsid w:val="007C7B8B"/>
    <w:rsid w:val="007D2728"/>
    <w:rsid w:val="007D3549"/>
    <w:rsid w:val="007D3CDA"/>
    <w:rsid w:val="007E0C5F"/>
    <w:rsid w:val="007E26BE"/>
    <w:rsid w:val="007E28D7"/>
    <w:rsid w:val="007E35E3"/>
    <w:rsid w:val="007E72D7"/>
    <w:rsid w:val="007F19BD"/>
    <w:rsid w:val="007F2871"/>
    <w:rsid w:val="007F34F4"/>
    <w:rsid w:val="007F4178"/>
    <w:rsid w:val="007F6CE0"/>
    <w:rsid w:val="007F7BEB"/>
    <w:rsid w:val="0080157A"/>
    <w:rsid w:val="00802119"/>
    <w:rsid w:val="008021B6"/>
    <w:rsid w:val="00803A7D"/>
    <w:rsid w:val="00804B20"/>
    <w:rsid w:val="00806E77"/>
    <w:rsid w:val="00807AF3"/>
    <w:rsid w:val="00807BFD"/>
    <w:rsid w:val="00810011"/>
    <w:rsid w:val="00813967"/>
    <w:rsid w:val="008141A6"/>
    <w:rsid w:val="008143DF"/>
    <w:rsid w:val="00815B93"/>
    <w:rsid w:val="00821FE8"/>
    <w:rsid w:val="00822E27"/>
    <w:rsid w:val="008236C2"/>
    <w:rsid w:val="008252C8"/>
    <w:rsid w:val="00825893"/>
    <w:rsid w:val="008277CE"/>
    <w:rsid w:val="00831760"/>
    <w:rsid w:val="00834B96"/>
    <w:rsid w:val="00834E27"/>
    <w:rsid w:val="00835582"/>
    <w:rsid w:val="00836E8A"/>
    <w:rsid w:val="0083737B"/>
    <w:rsid w:val="0083747E"/>
    <w:rsid w:val="00844B56"/>
    <w:rsid w:val="00845CE8"/>
    <w:rsid w:val="008475A5"/>
    <w:rsid w:val="00847C48"/>
    <w:rsid w:val="008513D2"/>
    <w:rsid w:val="00853E94"/>
    <w:rsid w:val="00856298"/>
    <w:rsid w:val="00861034"/>
    <w:rsid w:val="0086122A"/>
    <w:rsid w:val="00861BCE"/>
    <w:rsid w:val="00861F16"/>
    <w:rsid w:val="00862F65"/>
    <w:rsid w:val="00864338"/>
    <w:rsid w:val="00864601"/>
    <w:rsid w:val="00864E85"/>
    <w:rsid w:val="00867F7C"/>
    <w:rsid w:val="00871F27"/>
    <w:rsid w:val="00875425"/>
    <w:rsid w:val="00875AB8"/>
    <w:rsid w:val="00881370"/>
    <w:rsid w:val="008839EE"/>
    <w:rsid w:val="00883C45"/>
    <w:rsid w:val="008841EE"/>
    <w:rsid w:val="008872B8"/>
    <w:rsid w:val="008919BC"/>
    <w:rsid w:val="00893768"/>
    <w:rsid w:val="00896761"/>
    <w:rsid w:val="00896D3F"/>
    <w:rsid w:val="008A2543"/>
    <w:rsid w:val="008A3D54"/>
    <w:rsid w:val="008A4130"/>
    <w:rsid w:val="008A4463"/>
    <w:rsid w:val="008B430B"/>
    <w:rsid w:val="008B4971"/>
    <w:rsid w:val="008B4CB0"/>
    <w:rsid w:val="008B5284"/>
    <w:rsid w:val="008B7034"/>
    <w:rsid w:val="008B7A4E"/>
    <w:rsid w:val="008C0853"/>
    <w:rsid w:val="008C0899"/>
    <w:rsid w:val="008C7B9C"/>
    <w:rsid w:val="008D222F"/>
    <w:rsid w:val="008D24E6"/>
    <w:rsid w:val="008D292D"/>
    <w:rsid w:val="008D3F94"/>
    <w:rsid w:val="008D556E"/>
    <w:rsid w:val="008D7400"/>
    <w:rsid w:val="008D77CA"/>
    <w:rsid w:val="008E0EF8"/>
    <w:rsid w:val="008E0F06"/>
    <w:rsid w:val="008E5ED0"/>
    <w:rsid w:val="008E6D37"/>
    <w:rsid w:val="008F0078"/>
    <w:rsid w:val="008F033E"/>
    <w:rsid w:val="008F03AB"/>
    <w:rsid w:val="008F0A19"/>
    <w:rsid w:val="008F0B19"/>
    <w:rsid w:val="008F1626"/>
    <w:rsid w:val="008F2F41"/>
    <w:rsid w:val="008F3731"/>
    <w:rsid w:val="008F524E"/>
    <w:rsid w:val="008F5282"/>
    <w:rsid w:val="008F5A8C"/>
    <w:rsid w:val="00900371"/>
    <w:rsid w:val="00900CA3"/>
    <w:rsid w:val="00904B89"/>
    <w:rsid w:val="0090632C"/>
    <w:rsid w:val="00910193"/>
    <w:rsid w:val="0091025C"/>
    <w:rsid w:val="00910D46"/>
    <w:rsid w:val="00913B58"/>
    <w:rsid w:val="00913BFC"/>
    <w:rsid w:val="009146A6"/>
    <w:rsid w:val="00915594"/>
    <w:rsid w:val="00916583"/>
    <w:rsid w:val="00917BA0"/>
    <w:rsid w:val="00923904"/>
    <w:rsid w:val="00923A0C"/>
    <w:rsid w:val="00923B5A"/>
    <w:rsid w:val="00925246"/>
    <w:rsid w:val="00926FA5"/>
    <w:rsid w:val="00926FD3"/>
    <w:rsid w:val="0092702F"/>
    <w:rsid w:val="00927C4F"/>
    <w:rsid w:val="00930D76"/>
    <w:rsid w:val="00931FA2"/>
    <w:rsid w:val="00932B9A"/>
    <w:rsid w:val="00933BEF"/>
    <w:rsid w:val="009359A0"/>
    <w:rsid w:val="00942A9D"/>
    <w:rsid w:val="009430BC"/>
    <w:rsid w:val="00945C8E"/>
    <w:rsid w:val="009466FD"/>
    <w:rsid w:val="00950238"/>
    <w:rsid w:val="0095080C"/>
    <w:rsid w:val="00951317"/>
    <w:rsid w:val="0095522E"/>
    <w:rsid w:val="009553A0"/>
    <w:rsid w:val="0096084C"/>
    <w:rsid w:val="009642B5"/>
    <w:rsid w:val="00966890"/>
    <w:rsid w:val="00970F0F"/>
    <w:rsid w:val="00971E65"/>
    <w:rsid w:val="0097404D"/>
    <w:rsid w:val="00975BB3"/>
    <w:rsid w:val="00981007"/>
    <w:rsid w:val="00981C41"/>
    <w:rsid w:val="00982F32"/>
    <w:rsid w:val="00983B02"/>
    <w:rsid w:val="00983EF1"/>
    <w:rsid w:val="00985174"/>
    <w:rsid w:val="00985D47"/>
    <w:rsid w:val="009869C4"/>
    <w:rsid w:val="009871AE"/>
    <w:rsid w:val="00990C30"/>
    <w:rsid w:val="00993DF6"/>
    <w:rsid w:val="009947E5"/>
    <w:rsid w:val="00994C8F"/>
    <w:rsid w:val="0099774F"/>
    <w:rsid w:val="009A0352"/>
    <w:rsid w:val="009A1C28"/>
    <w:rsid w:val="009A1FE3"/>
    <w:rsid w:val="009A35D6"/>
    <w:rsid w:val="009A5E5E"/>
    <w:rsid w:val="009B102B"/>
    <w:rsid w:val="009B6083"/>
    <w:rsid w:val="009C12DB"/>
    <w:rsid w:val="009C4AEC"/>
    <w:rsid w:val="009C4E0E"/>
    <w:rsid w:val="009D0F8D"/>
    <w:rsid w:val="009D283F"/>
    <w:rsid w:val="009D2A07"/>
    <w:rsid w:val="009D5CBA"/>
    <w:rsid w:val="009D6238"/>
    <w:rsid w:val="009D67D5"/>
    <w:rsid w:val="009E0769"/>
    <w:rsid w:val="009E0E85"/>
    <w:rsid w:val="009E1BBC"/>
    <w:rsid w:val="009E5949"/>
    <w:rsid w:val="009E5D43"/>
    <w:rsid w:val="009E683E"/>
    <w:rsid w:val="009F3F01"/>
    <w:rsid w:val="009F6A55"/>
    <w:rsid w:val="009F6AF4"/>
    <w:rsid w:val="00A00304"/>
    <w:rsid w:val="00A01C3F"/>
    <w:rsid w:val="00A02F6E"/>
    <w:rsid w:val="00A03BEA"/>
    <w:rsid w:val="00A05EF3"/>
    <w:rsid w:val="00A1442C"/>
    <w:rsid w:val="00A1558F"/>
    <w:rsid w:val="00A1738D"/>
    <w:rsid w:val="00A279C9"/>
    <w:rsid w:val="00A317B2"/>
    <w:rsid w:val="00A32148"/>
    <w:rsid w:val="00A375E1"/>
    <w:rsid w:val="00A438C0"/>
    <w:rsid w:val="00A50554"/>
    <w:rsid w:val="00A526D3"/>
    <w:rsid w:val="00A53F17"/>
    <w:rsid w:val="00A5537B"/>
    <w:rsid w:val="00A608DF"/>
    <w:rsid w:val="00A60FAD"/>
    <w:rsid w:val="00A6350F"/>
    <w:rsid w:val="00A65609"/>
    <w:rsid w:val="00A66A15"/>
    <w:rsid w:val="00A709FE"/>
    <w:rsid w:val="00A71354"/>
    <w:rsid w:val="00A76BDA"/>
    <w:rsid w:val="00A8161D"/>
    <w:rsid w:val="00A823D0"/>
    <w:rsid w:val="00A8384D"/>
    <w:rsid w:val="00A841BE"/>
    <w:rsid w:val="00A864D6"/>
    <w:rsid w:val="00A9079D"/>
    <w:rsid w:val="00A911FA"/>
    <w:rsid w:val="00A91D64"/>
    <w:rsid w:val="00A9372B"/>
    <w:rsid w:val="00A954DC"/>
    <w:rsid w:val="00AA021C"/>
    <w:rsid w:val="00AA0418"/>
    <w:rsid w:val="00AA2E7F"/>
    <w:rsid w:val="00AA3298"/>
    <w:rsid w:val="00AA3825"/>
    <w:rsid w:val="00AA5661"/>
    <w:rsid w:val="00AA6623"/>
    <w:rsid w:val="00AB04B7"/>
    <w:rsid w:val="00AB1597"/>
    <w:rsid w:val="00AB4CD9"/>
    <w:rsid w:val="00AB4FA0"/>
    <w:rsid w:val="00AB5036"/>
    <w:rsid w:val="00AB602A"/>
    <w:rsid w:val="00AB6EAB"/>
    <w:rsid w:val="00AB7E15"/>
    <w:rsid w:val="00AB7E31"/>
    <w:rsid w:val="00AC0410"/>
    <w:rsid w:val="00AC1B7D"/>
    <w:rsid w:val="00AC1D9E"/>
    <w:rsid w:val="00AC29E7"/>
    <w:rsid w:val="00AC348A"/>
    <w:rsid w:val="00AC3C55"/>
    <w:rsid w:val="00AC3DF7"/>
    <w:rsid w:val="00AC5891"/>
    <w:rsid w:val="00AC598A"/>
    <w:rsid w:val="00AD2F7F"/>
    <w:rsid w:val="00AD4934"/>
    <w:rsid w:val="00AE2B6D"/>
    <w:rsid w:val="00AE2F2F"/>
    <w:rsid w:val="00AE4AE1"/>
    <w:rsid w:val="00AE4DE5"/>
    <w:rsid w:val="00AE588D"/>
    <w:rsid w:val="00AE5B69"/>
    <w:rsid w:val="00AE7C63"/>
    <w:rsid w:val="00AF0781"/>
    <w:rsid w:val="00AF15ED"/>
    <w:rsid w:val="00AF18BD"/>
    <w:rsid w:val="00AF455D"/>
    <w:rsid w:val="00AF712F"/>
    <w:rsid w:val="00AF799A"/>
    <w:rsid w:val="00B007C5"/>
    <w:rsid w:val="00B02C37"/>
    <w:rsid w:val="00B049DD"/>
    <w:rsid w:val="00B05371"/>
    <w:rsid w:val="00B13360"/>
    <w:rsid w:val="00B13370"/>
    <w:rsid w:val="00B13B85"/>
    <w:rsid w:val="00B14D0C"/>
    <w:rsid w:val="00B151F2"/>
    <w:rsid w:val="00B1638E"/>
    <w:rsid w:val="00B16DAE"/>
    <w:rsid w:val="00B21534"/>
    <w:rsid w:val="00B2191C"/>
    <w:rsid w:val="00B25C39"/>
    <w:rsid w:val="00B2630A"/>
    <w:rsid w:val="00B26449"/>
    <w:rsid w:val="00B27E6E"/>
    <w:rsid w:val="00B27F34"/>
    <w:rsid w:val="00B31434"/>
    <w:rsid w:val="00B345F8"/>
    <w:rsid w:val="00B34705"/>
    <w:rsid w:val="00B349D2"/>
    <w:rsid w:val="00B37313"/>
    <w:rsid w:val="00B42E89"/>
    <w:rsid w:val="00B44FAC"/>
    <w:rsid w:val="00B46337"/>
    <w:rsid w:val="00B526FC"/>
    <w:rsid w:val="00B53720"/>
    <w:rsid w:val="00B556B2"/>
    <w:rsid w:val="00B60043"/>
    <w:rsid w:val="00B60B7F"/>
    <w:rsid w:val="00B61837"/>
    <w:rsid w:val="00B65E78"/>
    <w:rsid w:val="00B6620A"/>
    <w:rsid w:val="00B71689"/>
    <w:rsid w:val="00B7253F"/>
    <w:rsid w:val="00B72C9E"/>
    <w:rsid w:val="00B748E7"/>
    <w:rsid w:val="00B77FE2"/>
    <w:rsid w:val="00B813AF"/>
    <w:rsid w:val="00B81BDC"/>
    <w:rsid w:val="00B83436"/>
    <w:rsid w:val="00B90724"/>
    <w:rsid w:val="00B91EAC"/>
    <w:rsid w:val="00B921AF"/>
    <w:rsid w:val="00B9396F"/>
    <w:rsid w:val="00B968A9"/>
    <w:rsid w:val="00B9766E"/>
    <w:rsid w:val="00BA118D"/>
    <w:rsid w:val="00BA4DB0"/>
    <w:rsid w:val="00BA7BE0"/>
    <w:rsid w:val="00BB0DBA"/>
    <w:rsid w:val="00BB0FF1"/>
    <w:rsid w:val="00BB26F1"/>
    <w:rsid w:val="00BB4DAC"/>
    <w:rsid w:val="00BB5BA6"/>
    <w:rsid w:val="00BB5CE5"/>
    <w:rsid w:val="00BB60BB"/>
    <w:rsid w:val="00BC1275"/>
    <w:rsid w:val="00BC2A7F"/>
    <w:rsid w:val="00BC2DFD"/>
    <w:rsid w:val="00BC3008"/>
    <w:rsid w:val="00BC7480"/>
    <w:rsid w:val="00BC7FB8"/>
    <w:rsid w:val="00BD00C3"/>
    <w:rsid w:val="00BD1AD9"/>
    <w:rsid w:val="00BD239C"/>
    <w:rsid w:val="00BD43D9"/>
    <w:rsid w:val="00BD61E1"/>
    <w:rsid w:val="00BD6711"/>
    <w:rsid w:val="00BD7EE0"/>
    <w:rsid w:val="00BE2251"/>
    <w:rsid w:val="00BE5D81"/>
    <w:rsid w:val="00BE68B3"/>
    <w:rsid w:val="00BF3E4B"/>
    <w:rsid w:val="00BF770C"/>
    <w:rsid w:val="00BF7F6B"/>
    <w:rsid w:val="00C02642"/>
    <w:rsid w:val="00C04526"/>
    <w:rsid w:val="00C055F2"/>
    <w:rsid w:val="00C063BC"/>
    <w:rsid w:val="00C10E60"/>
    <w:rsid w:val="00C10EA9"/>
    <w:rsid w:val="00C11F0B"/>
    <w:rsid w:val="00C12C02"/>
    <w:rsid w:val="00C134CE"/>
    <w:rsid w:val="00C14377"/>
    <w:rsid w:val="00C1557A"/>
    <w:rsid w:val="00C15847"/>
    <w:rsid w:val="00C16A4A"/>
    <w:rsid w:val="00C17AA9"/>
    <w:rsid w:val="00C2084F"/>
    <w:rsid w:val="00C21EC9"/>
    <w:rsid w:val="00C227BB"/>
    <w:rsid w:val="00C23121"/>
    <w:rsid w:val="00C246DD"/>
    <w:rsid w:val="00C26DBD"/>
    <w:rsid w:val="00C27EE8"/>
    <w:rsid w:val="00C30AD2"/>
    <w:rsid w:val="00C32842"/>
    <w:rsid w:val="00C338F8"/>
    <w:rsid w:val="00C3500D"/>
    <w:rsid w:val="00C40722"/>
    <w:rsid w:val="00C4220A"/>
    <w:rsid w:val="00C45150"/>
    <w:rsid w:val="00C5168E"/>
    <w:rsid w:val="00C53E90"/>
    <w:rsid w:val="00C56650"/>
    <w:rsid w:val="00C65282"/>
    <w:rsid w:val="00C65CF8"/>
    <w:rsid w:val="00C66277"/>
    <w:rsid w:val="00C70023"/>
    <w:rsid w:val="00C712A3"/>
    <w:rsid w:val="00C7175B"/>
    <w:rsid w:val="00C723D7"/>
    <w:rsid w:val="00C727BE"/>
    <w:rsid w:val="00C73E28"/>
    <w:rsid w:val="00C74020"/>
    <w:rsid w:val="00C75629"/>
    <w:rsid w:val="00C756F0"/>
    <w:rsid w:val="00C76A52"/>
    <w:rsid w:val="00C8052F"/>
    <w:rsid w:val="00C83B03"/>
    <w:rsid w:val="00C83F64"/>
    <w:rsid w:val="00C84481"/>
    <w:rsid w:val="00C8754D"/>
    <w:rsid w:val="00C91348"/>
    <w:rsid w:val="00C92734"/>
    <w:rsid w:val="00C92B13"/>
    <w:rsid w:val="00CA55E0"/>
    <w:rsid w:val="00CA5652"/>
    <w:rsid w:val="00CA6DB2"/>
    <w:rsid w:val="00CB3715"/>
    <w:rsid w:val="00CB4B5F"/>
    <w:rsid w:val="00CB656A"/>
    <w:rsid w:val="00CB757B"/>
    <w:rsid w:val="00CC1C38"/>
    <w:rsid w:val="00CC4FC3"/>
    <w:rsid w:val="00CC62F7"/>
    <w:rsid w:val="00CD0682"/>
    <w:rsid w:val="00CD22D2"/>
    <w:rsid w:val="00CD4EE6"/>
    <w:rsid w:val="00CE01A9"/>
    <w:rsid w:val="00CE2305"/>
    <w:rsid w:val="00CE27A9"/>
    <w:rsid w:val="00CE415A"/>
    <w:rsid w:val="00CE4E74"/>
    <w:rsid w:val="00CE5243"/>
    <w:rsid w:val="00CE69BC"/>
    <w:rsid w:val="00CF256B"/>
    <w:rsid w:val="00CF31A7"/>
    <w:rsid w:val="00CF749E"/>
    <w:rsid w:val="00D01C06"/>
    <w:rsid w:val="00D024EC"/>
    <w:rsid w:val="00D028E4"/>
    <w:rsid w:val="00D05249"/>
    <w:rsid w:val="00D1419A"/>
    <w:rsid w:val="00D1785F"/>
    <w:rsid w:val="00D213E2"/>
    <w:rsid w:val="00D21A8A"/>
    <w:rsid w:val="00D2215B"/>
    <w:rsid w:val="00D23D31"/>
    <w:rsid w:val="00D242D2"/>
    <w:rsid w:val="00D2483B"/>
    <w:rsid w:val="00D253D4"/>
    <w:rsid w:val="00D26185"/>
    <w:rsid w:val="00D31CE5"/>
    <w:rsid w:val="00D40167"/>
    <w:rsid w:val="00D4017E"/>
    <w:rsid w:val="00D40963"/>
    <w:rsid w:val="00D43897"/>
    <w:rsid w:val="00D438BA"/>
    <w:rsid w:val="00D44543"/>
    <w:rsid w:val="00D460C0"/>
    <w:rsid w:val="00D50CD8"/>
    <w:rsid w:val="00D511A8"/>
    <w:rsid w:val="00D55CBF"/>
    <w:rsid w:val="00D5718F"/>
    <w:rsid w:val="00D6034F"/>
    <w:rsid w:val="00D61B65"/>
    <w:rsid w:val="00D6382A"/>
    <w:rsid w:val="00D64454"/>
    <w:rsid w:val="00D664E8"/>
    <w:rsid w:val="00D7248A"/>
    <w:rsid w:val="00D73817"/>
    <w:rsid w:val="00D8358A"/>
    <w:rsid w:val="00D8380B"/>
    <w:rsid w:val="00D851B8"/>
    <w:rsid w:val="00D87AE7"/>
    <w:rsid w:val="00D95838"/>
    <w:rsid w:val="00D95932"/>
    <w:rsid w:val="00D95FDC"/>
    <w:rsid w:val="00D974B7"/>
    <w:rsid w:val="00DA2720"/>
    <w:rsid w:val="00DA3E0D"/>
    <w:rsid w:val="00DA4C20"/>
    <w:rsid w:val="00DA5CBA"/>
    <w:rsid w:val="00DA6B29"/>
    <w:rsid w:val="00DA71E5"/>
    <w:rsid w:val="00DA785E"/>
    <w:rsid w:val="00DB00A8"/>
    <w:rsid w:val="00DB0783"/>
    <w:rsid w:val="00DB1728"/>
    <w:rsid w:val="00DB2813"/>
    <w:rsid w:val="00DB2FC8"/>
    <w:rsid w:val="00DB3829"/>
    <w:rsid w:val="00DB5413"/>
    <w:rsid w:val="00DC2741"/>
    <w:rsid w:val="00DC5C16"/>
    <w:rsid w:val="00DC68D9"/>
    <w:rsid w:val="00DC6A46"/>
    <w:rsid w:val="00DC7656"/>
    <w:rsid w:val="00DD138C"/>
    <w:rsid w:val="00DD39FD"/>
    <w:rsid w:val="00DD3B07"/>
    <w:rsid w:val="00DD4B64"/>
    <w:rsid w:val="00DD6CC7"/>
    <w:rsid w:val="00DD6EAA"/>
    <w:rsid w:val="00DE2D0E"/>
    <w:rsid w:val="00DE60E7"/>
    <w:rsid w:val="00DE66AC"/>
    <w:rsid w:val="00DE66E3"/>
    <w:rsid w:val="00DE7C72"/>
    <w:rsid w:val="00DF0E0B"/>
    <w:rsid w:val="00DF20E7"/>
    <w:rsid w:val="00DF2B52"/>
    <w:rsid w:val="00DF3AF3"/>
    <w:rsid w:val="00DF3C74"/>
    <w:rsid w:val="00DF4F84"/>
    <w:rsid w:val="00DF53D3"/>
    <w:rsid w:val="00DF5BE2"/>
    <w:rsid w:val="00DF76CD"/>
    <w:rsid w:val="00E010F5"/>
    <w:rsid w:val="00E01486"/>
    <w:rsid w:val="00E02AAB"/>
    <w:rsid w:val="00E03484"/>
    <w:rsid w:val="00E04A57"/>
    <w:rsid w:val="00E04CF8"/>
    <w:rsid w:val="00E073A5"/>
    <w:rsid w:val="00E10322"/>
    <w:rsid w:val="00E11D1D"/>
    <w:rsid w:val="00E15F53"/>
    <w:rsid w:val="00E17BBE"/>
    <w:rsid w:val="00E22F8D"/>
    <w:rsid w:val="00E24702"/>
    <w:rsid w:val="00E25B73"/>
    <w:rsid w:val="00E27EDB"/>
    <w:rsid w:val="00E303F0"/>
    <w:rsid w:val="00E326C7"/>
    <w:rsid w:val="00E33F5B"/>
    <w:rsid w:val="00E359C4"/>
    <w:rsid w:val="00E35DDB"/>
    <w:rsid w:val="00E37B0B"/>
    <w:rsid w:val="00E4127F"/>
    <w:rsid w:val="00E4240A"/>
    <w:rsid w:val="00E44D9D"/>
    <w:rsid w:val="00E466B0"/>
    <w:rsid w:val="00E473B3"/>
    <w:rsid w:val="00E51EF7"/>
    <w:rsid w:val="00E5299A"/>
    <w:rsid w:val="00E52E07"/>
    <w:rsid w:val="00E54A09"/>
    <w:rsid w:val="00E5570F"/>
    <w:rsid w:val="00E55EB9"/>
    <w:rsid w:val="00E57298"/>
    <w:rsid w:val="00E60ED2"/>
    <w:rsid w:val="00E61490"/>
    <w:rsid w:val="00E649D8"/>
    <w:rsid w:val="00E651EB"/>
    <w:rsid w:val="00E66C84"/>
    <w:rsid w:val="00E677D5"/>
    <w:rsid w:val="00E709BD"/>
    <w:rsid w:val="00E7325E"/>
    <w:rsid w:val="00E7610D"/>
    <w:rsid w:val="00E76577"/>
    <w:rsid w:val="00E845D1"/>
    <w:rsid w:val="00E84CAE"/>
    <w:rsid w:val="00E85DBD"/>
    <w:rsid w:val="00E85F0F"/>
    <w:rsid w:val="00E909E7"/>
    <w:rsid w:val="00E90D67"/>
    <w:rsid w:val="00E916E7"/>
    <w:rsid w:val="00E9457B"/>
    <w:rsid w:val="00E954CE"/>
    <w:rsid w:val="00EA29F3"/>
    <w:rsid w:val="00EA3DE1"/>
    <w:rsid w:val="00EA63DB"/>
    <w:rsid w:val="00EB16D6"/>
    <w:rsid w:val="00EB17DB"/>
    <w:rsid w:val="00EB5507"/>
    <w:rsid w:val="00EB5643"/>
    <w:rsid w:val="00EB60E2"/>
    <w:rsid w:val="00EB6264"/>
    <w:rsid w:val="00EB79C2"/>
    <w:rsid w:val="00EC0B52"/>
    <w:rsid w:val="00EC5795"/>
    <w:rsid w:val="00EC7E4E"/>
    <w:rsid w:val="00EC7F31"/>
    <w:rsid w:val="00EC7FC2"/>
    <w:rsid w:val="00ED079F"/>
    <w:rsid w:val="00ED233C"/>
    <w:rsid w:val="00EE2C7A"/>
    <w:rsid w:val="00EE7156"/>
    <w:rsid w:val="00EE76AF"/>
    <w:rsid w:val="00EE7704"/>
    <w:rsid w:val="00EE7DB4"/>
    <w:rsid w:val="00EF631B"/>
    <w:rsid w:val="00EF74D7"/>
    <w:rsid w:val="00EF7E90"/>
    <w:rsid w:val="00F01B07"/>
    <w:rsid w:val="00F02373"/>
    <w:rsid w:val="00F02715"/>
    <w:rsid w:val="00F04DB9"/>
    <w:rsid w:val="00F07A31"/>
    <w:rsid w:val="00F1601A"/>
    <w:rsid w:val="00F206E8"/>
    <w:rsid w:val="00F210C6"/>
    <w:rsid w:val="00F219B6"/>
    <w:rsid w:val="00F2224E"/>
    <w:rsid w:val="00F234A4"/>
    <w:rsid w:val="00F24B12"/>
    <w:rsid w:val="00F25E32"/>
    <w:rsid w:val="00F26191"/>
    <w:rsid w:val="00F26C37"/>
    <w:rsid w:val="00F338C3"/>
    <w:rsid w:val="00F348C8"/>
    <w:rsid w:val="00F352F7"/>
    <w:rsid w:val="00F37577"/>
    <w:rsid w:val="00F4000F"/>
    <w:rsid w:val="00F40562"/>
    <w:rsid w:val="00F40CC4"/>
    <w:rsid w:val="00F4466F"/>
    <w:rsid w:val="00F57C5C"/>
    <w:rsid w:val="00F6279F"/>
    <w:rsid w:val="00F64119"/>
    <w:rsid w:val="00F65087"/>
    <w:rsid w:val="00F6567F"/>
    <w:rsid w:val="00F65845"/>
    <w:rsid w:val="00F674F2"/>
    <w:rsid w:val="00F704AA"/>
    <w:rsid w:val="00F71EED"/>
    <w:rsid w:val="00F7250E"/>
    <w:rsid w:val="00F72773"/>
    <w:rsid w:val="00F74573"/>
    <w:rsid w:val="00F74B25"/>
    <w:rsid w:val="00F74B38"/>
    <w:rsid w:val="00F74E23"/>
    <w:rsid w:val="00F77CA5"/>
    <w:rsid w:val="00F8061D"/>
    <w:rsid w:val="00F80A1B"/>
    <w:rsid w:val="00F80B51"/>
    <w:rsid w:val="00F81563"/>
    <w:rsid w:val="00F834D7"/>
    <w:rsid w:val="00F835F6"/>
    <w:rsid w:val="00F85A20"/>
    <w:rsid w:val="00F94261"/>
    <w:rsid w:val="00F9604C"/>
    <w:rsid w:val="00FA1824"/>
    <w:rsid w:val="00FA43A0"/>
    <w:rsid w:val="00FA4E99"/>
    <w:rsid w:val="00FC308D"/>
    <w:rsid w:val="00FC4FFA"/>
    <w:rsid w:val="00FC7240"/>
    <w:rsid w:val="00FC75FD"/>
    <w:rsid w:val="00FD1E08"/>
    <w:rsid w:val="00FD1F5F"/>
    <w:rsid w:val="00FD1FA3"/>
    <w:rsid w:val="00FD6789"/>
    <w:rsid w:val="00FD6F44"/>
    <w:rsid w:val="00FD7181"/>
    <w:rsid w:val="00FD7BE4"/>
    <w:rsid w:val="00FE00F5"/>
    <w:rsid w:val="00FE0A3B"/>
    <w:rsid w:val="00FE0C9A"/>
    <w:rsid w:val="00FE46C1"/>
    <w:rsid w:val="00FE5896"/>
    <w:rsid w:val="00FE59D4"/>
    <w:rsid w:val="00FE5E90"/>
    <w:rsid w:val="00FF030E"/>
    <w:rsid w:val="00FF1C4F"/>
    <w:rsid w:val="00FF324A"/>
    <w:rsid w:val="00FF418A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F032C0C-4BCF-4C3C-961A-806EE9DC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ae">
    <w:name w:val="List Paragraph"/>
    <w:basedOn w:val="a"/>
    <w:uiPriority w:val="34"/>
    <w:qFormat/>
    <w:rsid w:val="0052313A"/>
    <w:pPr>
      <w:ind w:left="720"/>
      <w:contextualSpacing/>
    </w:pPr>
  </w:style>
  <w:style w:type="character" w:customStyle="1" w:styleId="rvts9">
    <w:name w:val="rvts9"/>
    <w:basedOn w:val="a0"/>
    <w:rsid w:val="007F34F4"/>
  </w:style>
  <w:style w:type="paragraph" w:styleId="HTML">
    <w:name w:val="HTML Preformatted"/>
    <w:basedOn w:val="a"/>
    <w:link w:val="HTML0"/>
    <w:uiPriority w:val="99"/>
    <w:rsid w:val="00926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926FA5"/>
    <w:rPr>
      <w:rFonts w:ascii="Courier New" w:eastAsia="Times New Roman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05782A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5782A"/>
  </w:style>
  <w:style w:type="paragraph" w:styleId="af1">
    <w:name w:val="footer"/>
    <w:basedOn w:val="a"/>
    <w:link w:val="af2"/>
    <w:uiPriority w:val="99"/>
    <w:unhideWhenUsed/>
    <w:rsid w:val="0005782A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05782A"/>
  </w:style>
  <w:style w:type="paragraph" w:styleId="af3">
    <w:name w:val="Balloon Text"/>
    <w:basedOn w:val="a"/>
    <w:link w:val="af4"/>
    <w:uiPriority w:val="99"/>
    <w:semiHidden/>
    <w:unhideWhenUsed/>
    <w:rsid w:val="00EA3D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EA3DE1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913BFC"/>
  </w:style>
  <w:style w:type="paragraph" w:styleId="af5">
    <w:name w:val="Normal (Web)"/>
    <w:basedOn w:val="a"/>
    <w:link w:val="af6"/>
    <w:uiPriority w:val="99"/>
    <w:unhideWhenUsed/>
    <w:qFormat/>
    <w:rsid w:val="005E592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495077"/>
    <w:rPr>
      <w:color w:val="0000FF" w:themeColor="hyperlink"/>
      <w:u w:val="single"/>
    </w:rPr>
  </w:style>
  <w:style w:type="table" w:styleId="af8">
    <w:name w:val="Table Grid"/>
    <w:basedOn w:val="a1"/>
    <w:uiPriority w:val="39"/>
    <w:rsid w:val="000B43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F0A19"/>
  </w:style>
  <w:style w:type="character" w:customStyle="1" w:styleId="st">
    <w:name w:val="st"/>
    <w:basedOn w:val="a0"/>
    <w:rsid w:val="00305C2A"/>
  </w:style>
  <w:style w:type="character" w:styleId="af9">
    <w:name w:val="Emphasis"/>
    <w:basedOn w:val="a0"/>
    <w:uiPriority w:val="20"/>
    <w:qFormat/>
    <w:rsid w:val="00305C2A"/>
    <w:rPr>
      <w:i/>
      <w:iCs/>
    </w:rPr>
  </w:style>
  <w:style w:type="paragraph" w:customStyle="1" w:styleId="afa">
    <w:name w:val="Знак Знак Знак Знак Знак Знак Знак"/>
    <w:basedOn w:val="a"/>
    <w:rsid w:val="00D511A8"/>
    <w:pPr>
      <w:spacing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No Spacing"/>
    <w:uiPriority w:val="1"/>
    <w:qFormat/>
    <w:rsid w:val="00436C81"/>
    <w:pPr>
      <w:spacing w:line="240" w:lineRule="auto"/>
    </w:pPr>
  </w:style>
  <w:style w:type="character" w:customStyle="1" w:styleId="af6">
    <w:name w:val="Звичайний (веб) Знак"/>
    <w:link w:val="af5"/>
    <w:uiPriority w:val="99"/>
    <w:rsid w:val="00F81563"/>
    <w:rPr>
      <w:rFonts w:ascii="Times New Roman" w:eastAsiaTheme="minorHAnsi" w:hAnsi="Times New Roman" w:cs="Times New Roman"/>
      <w:sz w:val="24"/>
      <w:szCs w:val="24"/>
    </w:rPr>
  </w:style>
  <w:style w:type="paragraph" w:customStyle="1" w:styleId="rvps12">
    <w:name w:val="rvps12"/>
    <w:basedOn w:val="a"/>
    <w:rsid w:val="00F8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F81563"/>
  </w:style>
  <w:style w:type="character" w:styleId="afc">
    <w:name w:val="Strong"/>
    <w:basedOn w:val="a0"/>
    <w:uiPriority w:val="22"/>
    <w:qFormat/>
    <w:rsid w:val="0028674B"/>
    <w:rPr>
      <w:b/>
      <w:bCs/>
    </w:rPr>
  </w:style>
  <w:style w:type="character" w:customStyle="1" w:styleId="spelle">
    <w:name w:val="spelle"/>
    <w:basedOn w:val="a0"/>
    <w:rsid w:val="008021B6"/>
  </w:style>
  <w:style w:type="character" w:customStyle="1" w:styleId="10">
    <w:name w:val="Незакрита згадка1"/>
    <w:basedOn w:val="a0"/>
    <w:uiPriority w:val="99"/>
    <w:semiHidden/>
    <w:unhideWhenUsed/>
    <w:rsid w:val="000B3209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DC2741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panrvts15">
    <w:name w:val="span_rvts15"/>
    <w:basedOn w:val="a0"/>
    <w:rsid w:val="00DC2741"/>
    <w:rPr>
      <w:rFonts w:ascii="Times New Roman" w:eastAsia="Times New Roman" w:hAnsi="Times New Roman" w:cs="Times New Roman" w:hint="default"/>
      <w:b/>
      <w:bCs/>
      <w:i w:val="0"/>
      <w:iCs w:val="0"/>
      <w:sz w:val="28"/>
      <w:szCs w:val="28"/>
    </w:rPr>
  </w:style>
  <w:style w:type="paragraph" w:customStyle="1" w:styleId="rvps2">
    <w:name w:val="rvps2"/>
    <w:basedOn w:val="a"/>
    <w:uiPriority w:val="99"/>
    <w:qFormat/>
    <w:rsid w:val="00DC2741"/>
    <w:pPr>
      <w:spacing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d">
    <w:name w:val="endnote text"/>
    <w:basedOn w:val="a"/>
    <w:link w:val="afe"/>
    <w:uiPriority w:val="99"/>
    <w:semiHidden/>
    <w:unhideWhenUsed/>
    <w:rsid w:val="004A1865"/>
    <w:pPr>
      <w:spacing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4A1865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4A1865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4A1865"/>
    <w:pPr>
      <w:spacing w:line="240" w:lineRule="auto"/>
    </w:pPr>
    <w:rPr>
      <w:sz w:val="20"/>
      <w:szCs w:val="20"/>
    </w:rPr>
  </w:style>
  <w:style w:type="character" w:customStyle="1" w:styleId="aff1">
    <w:name w:val="Текст виноски Знак"/>
    <w:basedOn w:val="a0"/>
    <w:link w:val="aff0"/>
    <w:uiPriority w:val="99"/>
    <w:semiHidden/>
    <w:rsid w:val="004A1865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4A1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f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f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D0F5-69CB-4B68-BE75-163B5A8E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12994</Words>
  <Characters>7408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 Наталія Миколаївна</dc:creator>
  <cp:lastModifiedBy>ГАЛДЕЦЬКА Олена Володимирівна</cp:lastModifiedBy>
  <cp:revision>2</cp:revision>
  <cp:lastPrinted>2025-04-25T05:16:00Z</cp:lastPrinted>
  <dcterms:created xsi:type="dcterms:W3CDTF">2026-01-05T10:26:00Z</dcterms:created>
  <dcterms:modified xsi:type="dcterms:W3CDTF">2026-01-05T10:26:00Z</dcterms:modified>
</cp:coreProperties>
</file>