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9F28" w14:textId="76044A8E" w:rsidR="008E412F" w:rsidRPr="00B04293" w:rsidRDefault="008E412F" w:rsidP="008E412F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429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FC63E99" w14:textId="6A2A77E9" w:rsidR="008E412F" w:rsidRPr="00B04293" w:rsidRDefault="008E412F" w:rsidP="008E412F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293">
        <w:rPr>
          <w:rFonts w:ascii="Times New Roman" w:hAnsi="Times New Roman" w:cs="Times New Roman"/>
          <w:sz w:val="28"/>
          <w:szCs w:val="28"/>
        </w:rPr>
        <w:t>до Порядку відкриття та закриття місць доставки</w:t>
      </w:r>
    </w:p>
    <w:p w14:paraId="721D36CD" w14:textId="3C9D0B89" w:rsidR="008E412F" w:rsidRPr="00B04293" w:rsidRDefault="008E412F" w:rsidP="008E412F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B04293">
        <w:rPr>
          <w:rFonts w:ascii="Times New Roman" w:hAnsi="Times New Roman" w:cs="Times New Roman"/>
          <w:sz w:val="28"/>
          <w:szCs w:val="28"/>
        </w:rPr>
        <w:t>(пункт 4 розділу ІІІ)</w:t>
      </w:r>
    </w:p>
    <w:p w14:paraId="1DD16382" w14:textId="77777777" w:rsidR="00C55FC3" w:rsidRPr="00B04293" w:rsidRDefault="00C55FC3" w:rsidP="00C5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326D5" w14:textId="67801E4C" w:rsidR="00C55FC3" w:rsidRPr="00B04293" w:rsidRDefault="00966C76" w:rsidP="008F4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4293">
        <w:rPr>
          <w:rFonts w:ascii="Times New Roman" w:hAnsi="Times New Roman" w:cs="Times New Roman"/>
          <w:b/>
          <w:sz w:val="28"/>
          <w:szCs w:val="28"/>
        </w:rPr>
        <w:t>В</w:t>
      </w:r>
      <w:r w:rsidR="00C55FC3" w:rsidRPr="00B04293">
        <w:rPr>
          <w:rFonts w:ascii="Times New Roman" w:hAnsi="Times New Roman" w:cs="Times New Roman"/>
          <w:b/>
          <w:sz w:val="28"/>
          <w:szCs w:val="28"/>
        </w:rPr>
        <w:t>ідомост</w:t>
      </w:r>
      <w:r w:rsidRPr="00B04293">
        <w:rPr>
          <w:rFonts w:ascii="Times New Roman" w:hAnsi="Times New Roman" w:cs="Times New Roman"/>
          <w:b/>
          <w:sz w:val="28"/>
          <w:szCs w:val="28"/>
        </w:rPr>
        <w:t>і</w:t>
      </w:r>
      <w:r w:rsidR="008F4FC6" w:rsidRPr="00B04293">
        <w:rPr>
          <w:rFonts w:ascii="Times New Roman" w:hAnsi="Times New Roman" w:cs="Times New Roman"/>
          <w:b/>
          <w:sz w:val="28"/>
          <w:szCs w:val="28"/>
        </w:rPr>
        <w:t xml:space="preserve"> про місце доставки </w:t>
      </w:r>
      <w:r w:rsidR="008F4FC6" w:rsidRPr="00B04293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8F4FC6" w:rsidRPr="00B04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555A20" w14:textId="731F9013" w:rsidR="008F4FC6" w:rsidRPr="00B04293" w:rsidRDefault="008E412F" w:rsidP="008F4F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4293">
        <w:rPr>
          <w:rFonts w:ascii="Times New Roman" w:hAnsi="Times New Roman" w:cs="Times New Roman"/>
          <w:sz w:val="20"/>
          <w:szCs w:val="20"/>
        </w:rPr>
        <w:t xml:space="preserve">                                       (на</w:t>
      </w:r>
      <w:r w:rsidR="00C32969" w:rsidRPr="00B04293">
        <w:rPr>
          <w:rFonts w:ascii="Times New Roman" w:hAnsi="Times New Roman" w:cs="Times New Roman"/>
          <w:sz w:val="20"/>
          <w:szCs w:val="20"/>
        </w:rPr>
        <w:t>йменування</w:t>
      </w:r>
      <w:r w:rsidRPr="00B04293">
        <w:rPr>
          <w:rFonts w:ascii="Times New Roman" w:hAnsi="Times New Roman" w:cs="Times New Roman"/>
          <w:sz w:val="20"/>
          <w:szCs w:val="20"/>
        </w:rPr>
        <w:t xml:space="preserve"> митного органу)</w:t>
      </w:r>
    </w:p>
    <w:p w14:paraId="22B727D7" w14:textId="77777777" w:rsidR="008E412F" w:rsidRPr="00B04293" w:rsidRDefault="008E412F" w:rsidP="008F4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4"/>
        <w:gridCol w:w="420"/>
        <w:gridCol w:w="2285"/>
        <w:gridCol w:w="422"/>
        <w:gridCol w:w="577"/>
        <w:gridCol w:w="429"/>
        <w:gridCol w:w="564"/>
        <w:gridCol w:w="843"/>
        <w:gridCol w:w="580"/>
        <w:gridCol w:w="572"/>
        <w:gridCol w:w="10"/>
        <w:gridCol w:w="410"/>
        <w:gridCol w:w="425"/>
        <w:gridCol w:w="696"/>
        <w:gridCol w:w="709"/>
        <w:gridCol w:w="567"/>
        <w:gridCol w:w="709"/>
        <w:gridCol w:w="709"/>
        <w:gridCol w:w="707"/>
        <w:gridCol w:w="426"/>
        <w:gridCol w:w="709"/>
        <w:gridCol w:w="568"/>
        <w:gridCol w:w="426"/>
        <w:gridCol w:w="425"/>
      </w:tblGrid>
      <w:tr w:rsidR="00B04293" w:rsidRPr="00B04293" w14:paraId="2D323585" w14:textId="77777777" w:rsidTr="00132070">
        <w:trPr>
          <w:cantSplit/>
          <w:trHeight w:val="2893"/>
        </w:trPr>
        <w:tc>
          <w:tcPr>
            <w:tcW w:w="414" w:type="dxa"/>
            <w:vMerge w:val="restart"/>
            <w:textDirection w:val="btLr"/>
            <w:vAlign w:val="center"/>
          </w:tcPr>
          <w:p w14:paraId="7A6F3F8F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Назва місця доставки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14:paraId="18E64B29" w14:textId="7DC751C1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Адреса місцезнаходження місця доставки</w:t>
            </w:r>
          </w:p>
        </w:tc>
        <w:tc>
          <w:tcPr>
            <w:tcW w:w="2285" w:type="dxa"/>
            <w:vMerge w:val="restart"/>
            <w:textDirection w:val="btLr"/>
            <w:vAlign w:val="center"/>
          </w:tcPr>
          <w:p w14:paraId="55DE2143" w14:textId="2D4D03D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Утримувач території місця доставки (найменування юридичної особи</w:t>
            </w:r>
            <w:r w:rsidRPr="00B04293" w:rsidDel="00F33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/ прізвище (за наявності), ім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 xml:space="preserve">я та по батькові (за наявності) фізичної особи 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підприємця, </w:t>
            </w:r>
            <w:r w:rsidR="00776FDD" w:rsidRPr="00B04293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 в Єдиному державному реєстрі підприємств і організа</w:t>
            </w:r>
            <w:r w:rsidR="00776FDD" w:rsidRPr="00895218">
              <w:rPr>
                <w:rFonts w:ascii="Times New Roman" w:hAnsi="Times New Roman" w:cs="Times New Roman"/>
                <w:sz w:val="20"/>
                <w:szCs w:val="20"/>
              </w:rPr>
              <w:t>цій України</w:t>
            </w: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 xml:space="preserve"> / реєстраційний номер облікової картки платника податків</w:t>
            </w:r>
            <w:r w:rsidR="004B21C2" w:rsidRPr="00895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B21C2" w:rsidRPr="00895218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 xml:space="preserve"> або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 xml:space="preserve"> серія (за</w:t>
            </w:r>
            <w:r w:rsidR="008952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14:paraId="45AED81D" w14:textId="0DCFFE5C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Вид транспорту (автомобільний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залізничний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водний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5030" w:rsidRPr="00B04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авіаційний)</w:t>
            </w:r>
          </w:p>
        </w:tc>
        <w:tc>
          <w:tcPr>
            <w:tcW w:w="3575" w:type="dxa"/>
            <w:gridSpan w:val="7"/>
            <w:vAlign w:val="center"/>
          </w:tcPr>
          <w:p w14:paraId="5FA5A308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Специфіка місця доставки</w:t>
            </w:r>
          </w:p>
        </w:tc>
        <w:tc>
          <w:tcPr>
            <w:tcW w:w="835" w:type="dxa"/>
            <w:gridSpan w:val="2"/>
            <w:textDirection w:val="btLr"/>
            <w:vAlign w:val="center"/>
          </w:tcPr>
          <w:p w14:paraId="38CD3F7E" w14:textId="5036D01C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Заходи забезпечення режиму</w:t>
            </w:r>
          </w:p>
        </w:tc>
        <w:tc>
          <w:tcPr>
            <w:tcW w:w="1405" w:type="dxa"/>
            <w:gridSpan w:val="2"/>
            <w:textDirection w:val="btLr"/>
            <w:vAlign w:val="center"/>
          </w:tcPr>
          <w:p w14:paraId="045BA8F8" w14:textId="27369916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Контрольно-пропускна система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B6DDBAE" w14:textId="1753B581" w:rsidR="001F765E" w:rsidRPr="00B04293" w:rsidRDefault="00F8411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Загальна площа місця доставки (</w:t>
            </w:r>
            <w:r w:rsidR="001F765E" w:rsidRPr="00B042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765E" w:rsidRPr="00B042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B534633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підрозділу митного оформлення в місці доставки </w:t>
            </w:r>
          </w:p>
          <w:p w14:paraId="509174C8" w14:textId="2DA202D4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(код підрозділу)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739FCF0" w14:textId="77E9CDFA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Час роботи підрозділу митного оформлення в місці доставки</w:t>
            </w:r>
          </w:p>
        </w:tc>
        <w:tc>
          <w:tcPr>
            <w:tcW w:w="2836" w:type="dxa"/>
            <w:gridSpan w:val="5"/>
            <w:vAlign w:val="center"/>
          </w:tcPr>
          <w:p w14:paraId="06A96CB1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Облаштування місця доставки</w:t>
            </w:r>
          </w:p>
        </w:tc>
        <w:tc>
          <w:tcPr>
            <w:tcW w:w="425" w:type="dxa"/>
            <w:textDirection w:val="btLr"/>
            <w:vAlign w:val="center"/>
          </w:tcPr>
          <w:p w14:paraId="2CBB6C30" w14:textId="1F537540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B04293" w:rsidRPr="00B04293" w14:paraId="21C0571F" w14:textId="77777777" w:rsidTr="00132070">
        <w:trPr>
          <w:cantSplit/>
          <w:trHeight w:val="3813"/>
        </w:trPr>
        <w:tc>
          <w:tcPr>
            <w:tcW w:w="414" w:type="dxa"/>
            <w:vMerge/>
            <w:vAlign w:val="center"/>
          </w:tcPr>
          <w:p w14:paraId="7A3BFF1D" w14:textId="77777777" w:rsidR="001F765E" w:rsidRPr="00B04293" w:rsidRDefault="001F765E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AB6E688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vAlign w:val="center"/>
          </w:tcPr>
          <w:p w14:paraId="05B6D7EF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vAlign w:val="center"/>
          </w:tcPr>
          <w:p w14:paraId="5286AE36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14:paraId="13D624E9" w14:textId="025268F6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 xml:space="preserve">ериторія (або її частина) морського </w:t>
            </w:r>
            <w:r w:rsidR="00CD5030" w:rsidRPr="008952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чи річкового порту</w:t>
            </w:r>
          </w:p>
        </w:tc>
        <w:tc>
          <w:tcPr>
            <w:tcW w:w="429" w:type="dxa"/>
            <w:textDirection w:val="btLr"/>
            <w:vAlign w:val="center"/>
          </w:tcPr>
          <w:p w14:paraId="1952C993" w14:textId="1B06F141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ериторія (або її частина) аеропорту</w:t>
            </w:r>
          </w:p>
        </w:tc>
        <w:tc>
          <w:tcPr>
            <w:tcW w:w="564" w:type="dxa"/>
            <w:textDirection w:val="btLr"/>
            <w:vAlign w:val="center"/>
          </w:tcPr>
          <w:p w14:paraId="180BD875" w14:textId="66DF5F82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ериторія (або її частина) залізничної станції</w:t>
            </w:r>
          </w:p>
        </w:tc>
        <w:tc>
          <w:tcPr>
            <w:tcW w:w="843" w:type="dxa"/>
            <w:textDirection w:val="btLr"/>
            <w:vAlign w:val="center"/>
          </w:tcPr>
          <w:p w14:paraId="197BC1FE" w14:textId="587B647C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ериторія підрозділу митного органу призначення, в якому безпосередньо проводиться митне оформлення</w:t>
            </w:r>
          </w:p>
        </w:tc>
        <w:tc>
          <w:tcPr>
            <w:tcW w:w="580" w:type="dxa"/>
            <w:textDirection w:val="btLr"/>
            <w:vAlign w:val="center"/>
          </w:tcPr>
          <w:p w14:paraId="3BCDFDAC" w14:textId="4F35BE08" w:rsidR="001F765E" w:rsidRPr="00895218" w:rsidRDefault="004B21C2" w:rsidP="00132070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ериторія, що прилягає до складу тимчасового зберігання</w:t>
            </w:r>
          </w:p>
        </w:tc>
        <w:tc>
          <w:tcPr>
            <w:tcW w:w="572" w:type="dxa"/>
            <w:textDirection w:val="btLr"/>
            <w:vAlign w:val="center"/>
          </w:tcPr>
          <w:p w14:paraId="68898580" w14:textId="25393E6C" w:rsidR="001F765E" w:rsidRPr="00895218" w:rsidRDefault="004B21C2" w:rsidP="00132070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ериторія, що прилягає до митного складу</w:t>
            </w:r>
          </w:p>
        </w:tc>
        <w:tc>
          <w:tcPr>
            <w:tcW w:w="420" w:type="dxa"/>
            <w:gridSpan w:val="2"/>
            <w:textDirection w:val="btLr"/>
            <w:vAlign w:val="center"/>
          </w:tcPr>
          <w:p w14:paraId="7616D8E8" w14:textId="0167AC10" w:rsidR="001F765E" w:rsidRPr="00895218" w:rsidRDefault="004B21C2" w:rsidP="004B21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городження території</w:t>
            </w:r>
          </w:p>
        </w:tc>
        <w:tc>
          <w:tcPr>
            <w:tcW w:w="425" w:type="dxa"/>
            <w:textDirection w:val="btLr"/>
            <w:vAlign w:val="center"/>
          </w:tcPr>
          <w:p w14:paraId="4A705D3A" w14:textId="25C8C844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истема відеоспостереження</w:t>
            </w:r>
          </w:p>
        </w:tc>
        <w:tc>
          <w:tcPr>
            <w:tcW w:w="696" w:type="dxa"/>
            <w:textDirection w:val="btLr"/>
            <w:vAlign w:val="center"/>
          </w:tcPr>
          <w:p w14:paraId="18B8A863" w14:textId="7BE78A04" w:rsidR="001F765E" w:rsidRPr="00895218" w:rsidRDefault="004B21C2" w:rsidP="004B21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втоматичне зважування транспортних засобів</w:t>
            </w:r>
          </w:p>
        </w:tc>
        <w:tc>
          <w:tcPr>
            <w:tcW w:w="709" w:type="dxa"/>
            <w:textDirection w:val="btLr"/>
            <w:vAlign w:val="center"/>
          </w:tcPr>
          <w:p w14:paraId="7F208A65" w14:textId="214C46DF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асоби автоматичного зчитування реєстраційних номерних знаків</w:t>
            </w:r>
          </w:p>
        </w:tc>
        <w:tc>
          <w:tcPr>
            <w:tcW w:w="567" w:type="dxa"/>
            <w:vMerge/>
            <w:vAlign w:val="center"/>
          </w:tcPr>
          <w:p w14:paraId="1E6A39E2" w14:textId="77777777" w:rsidR="001F765E" w:rsidRPr="00895218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C3B49DF" w14:textId="77777777" w:rsidR="001F765E" w:rsidRPr="00895218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98DE7BF" w14:textId="77777777" w:rsidR="001F765E" w:rsidRPr="00895218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  <w:vAlign w:val="center"/>
          </w:tcPr>
          <w:p w14:paraId="14006E6B" w14:textId="01F6A84F" w:rsidR="001F765E" w:rsidRPr="00895218" w:rsidRDefault="004B21C2" w:rsidP="004B21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блаштовані робочі місця посадових осіб митного органу</w:t>
            </w:r>
          </w:p>
        </w:tc>
        <w:tc>
          <w:tcPr>
            <w:tcW w:w="426" w:type="dxa"/>
            <w:textDirection w:val="btLr"/>
            <w:vAlign w:val="center"/>
          </w:tcPr>
          <w:p w14:paraId="6F98C527" w14:textId="16258343" w:rsidR="001F765E" w:rsidRPr="00895218" w:rsidRDefault="004B21C2" w:rsidP="004B21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світлення</w:t>
            </w:r>
          </w:p>
        </w:tc>
        <w:tc>
          <w:tcPr>
            <w:tcW w:w="709" w:type="dxa"/>
            <w:textDirection w:val="btLr"/>
            <w:vAlign w:val="center"/>
          </w:tcPr>
          <w:p w14:paraId="52D0518B" w14:textId="2895BA56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76FDD" w:rsidRPr="00895218">
              <w:rPr>
                <w:rFonts w:ascii="Times New Roman" w:hAnsi="Times New Roman" w:cs="Times New Roman"/>
                <w:sz w:val="20"/>
                <w:szCs w:val="20"/>
              </w:rPr>
              <w:t>ехнічні засоби електронних комунікацій</w:t>
            </w:r>
          </w:p>
        </w:tc>
        <w:tc>
          <w:tcPr>
            <w:tcW w:w="568" w:type="dxa"/>
            <w:textDirection w:val="btLr"/>
            <w:vAlign w:val="center"/>
          </w:tcPr>
          <w:p w14:paraId="1CD51C63" w14:textId="6FD7D2A6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ампа, естакада, оглядовий майданчик</w:t>
            </w:r>
          </w:p>
        </w:tc>
        <w:tc>
          <w:tcPr>
            <w:tcW w:w="426" w:type="dxa"/>
            <w:textDirection w:val="btLr"/>
            <w:vAlign w:val="center"/>
          </w:tcPr>
          <w:p w14:paraId="36AEC21B" w14:textId="68C66FD2" w:rsidR="001F765E" w:rsidRPr="00895218" w:rsidRDefault="004B21C2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F765E" w:rsidRPr="00895218">
              <w:rPr>
                <w:rFonts w:ascii="Times New Roman" w:hAnsi="Times New Roman" w:cs="Times New Roman"/>
                <w:sz w:val="20"/>
                <w:szCs w:val="20"/>
              </w:rPr>
              <w:t>асоби пожежогасіння</w:t>
            </w:r>
          </w:p>
        </w:tc>
        <w:tc>
          <w:tcPr>
            <w:tcW w:w="425" w:type="dxa"/>
            <w:textDirection w:val="btLr"/>
            <w:vAlign w:val="center"/>
          </w:tcPr>
          <w:p w14:paraId="69594BDD" w14:textId="77777777" w:rsidR="001F765E" w:rsidRPr="00B04293" w:rsidRDefault="001F765E" w:rsidP="001320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3" w:rsidRPr="00B04293" w14:paraId="335C6B88" w14:textId="77777777" w:rsidTr="00132070">
        <w:trPr>
          <w:trHeight w:val="142"/>
        </w:trPr>
        <w:tc>
          <w:tcPr>
            <w:tcW w:w="414" w:type="dxa"/>
            <w:vAlign w:val="center"/>
          </w:tcPr>
          <w:p w14:paraId="6ADB0113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6EC5144F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14:paraId="19A915CF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14:paraId="06B66A7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1F1EF68E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vAlign w:val="center"/>
          </w:tcPr>
          <w:p w14:paraId="01E55638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Align w:val="center"/>
          </w:tcPr>
          <w:p w14:paraId="5629516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vAlign w:val="center"/>
          </w:tcPr>
          <w:p w14:paraId="0A249299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0" w:type="dxa"/>
            <w:vAlign w:val="center"/>
          </w:tcPr>
          <w:p w14:paraId="3818A83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vAlign w:val="center"/>
          </w:tcPr>
          <w:p w14:paraId="24F9F50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vAlign w:val="center"/>
          </w:tcPr>
          <w:p w14:paraId="4E86638D" w14:textId="0599D858" w:rsidR="00C518D2" w:rsidRPr="00B04293" w:rsidRDefault="006169BC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70550CD0" w14:textId="6B4C4F2C" w:rsidR="00C518D2" w:rsidRPr="00B04293" w:rsidRDefault="006169BC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vAlign w:val="center"/>
          </w:tcPr>
          <w:p w14:paraId="3DD56772" w14:textId="5F024D90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9BC" w:rsidRPr="00B042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EEE66D7" w14:textId="55250B95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9BC" w:rsidRPr="00B04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AEC2B8F" w14:textId="3125E33B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9BC" w:rsidRPr="00B04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314FE48B" w14:textId="1734D621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A08" w:rsidRPr="00B04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60FF68EF" w14:textId="7448D4D9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A08" w:rsidRPr="00B04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vAlign w:val="center"/>
          </w:tcPr>
          <w:p w14:paraId="41697AC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14:paraId="06972777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6FD1C28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vAlign w:val="center"/>
          </w:tcPr>
          <w:p w14:paraId="5D211ED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14:paraId="5AA82D5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00E02E4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F246A" w:rsidRPr="00B04293" w14:paraId="474661A7" w14:textId="77777777" w:rsidTr="00132070">
        <w:trPr>
          <w:trHeight w:val="173"/>
        </w:trPr>
        <w:tc>
          <w:tcPr>
            <w:tcW w:w="414" w:type="dxa"/>
            <w:vAlign w:val="center"/>
          </w:tcPr>
          <w:p w14:paraId="7B95FF0B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44664F0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23F1C14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0C910B4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3369682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14:paraId="6DCD41BC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765FB185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02A2EA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14:paraId="7D4BC54E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EDD33F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E77B3A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2F6A8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5575B0F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135A70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813894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6460F4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E84CA8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7D17E9A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F2D546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ECDDE3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A08FFE5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64DB108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8D7821" w14:textId="77777777" w:rsidR="00C518D2" w:rsidRPr="00B04293" w:rsidRDefault="00C518D2" w:rsidP="0013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D316F" w14:textId="6A39F344" w:rsidR="008F4FC6" w:rsidRPr="00B04293" w:rsidRDefault="008F4FC6" w:rsidP="008B20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365E34" w14:textId="5CC8DD4F" w:rsidR="004806B6" w:rsidRPr="00B04293" w:rsidRDefault="004806B6" w:rsidP="008B20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DF1989" w14:textId="3FC4E822" w:rsidR="004806B6" w:rsidRPr="00B04293" w:rsidRDefault="004806B6" w:rsidP="004806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4293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sectPr w:rsidR="004806B6" w:rsidRPr="00B04293" w:rsidSect="004806B6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C3"/>
    <w:rsid w:val="00041A4F"/>
    <w:rsid w:val="000811F6"/>
    <w:rsid w:val="00081939"/>
    <w:rsid w:val="000A5F1A"/>
    <w:rsid w:val="000D4018"/>
    <w:rsid w:val="000E6C80"/>
    <w:rsid w:val="000F246A"/>
    <w:rsid w:val="000F7D90"/>
    <w:rsid w:val="00130CDF"/>
    <w:rsid w:val="00132070"/>
    <w:rsid w:val="00134A08"/>
    <w:rsid w:val="00151A07"/>
    <w:rsid w:val="00193983"/>
    <w:rsid w:val="001F765E"/>
    <w:rsid w:val="00264703"/>
    <w:rsid w:val="002C747B"/>
    <w:rsid w:val="002D2E8D"/>
    <w:rsid w:val="002D66A7"/>
    <w:rsid w:val="002F7BFA"/>
    <w:rsid w:val="003205AD"/>
    <w:rsid w:val="003237BA"/>
    <w:rsid w:val="003730C0"/>
    <w:rsid w:val="003A05DF"/>
    <w:rsid w:val="003A6666"/>
    <w:rsid w:val="003B3CF3"/>
    <w:rsid w:val="003B543C"/>
    <w:rsid w:val="003E689B"/>
    <w:rsid w:val="003E72B5"/>
    <w:rsid w:val="004806B6"/>
    <w:rsid w:val="004950D1"/>
    <w:rsid w:val="004B21C2"/>
    <w:rsid w:val="004B41BA"/>
    <w:rsid w:val="004B537A"/>
    <w:rsid w:val="004E786B"/>
    <w:rsid w:val="004F1490"/>
    <w:rsid w:val="005066D5"/>
    <w:rsid w:val="005A26FC"/>
    <w:rsid w:val="006124B0"/>
    <w:rsid w:val="0061273D"/>
    <w:rsid w:val="006169BC"/>
    <w:rsid w:val="0062071D"/>
    <w:rsid w:val="00624214"/>
    <w:rsid w:val="00633E28"/>
    <w:rsid w:val="0065086C"/>
    <w:rsid w:val="006D2620"/>
    <w:rsid w:val="00702A28"/>
    <w:rsid w:val="007429F8"/>
    <w:rsid w:val="00776FDD"/>
    <w:rsid w:val="00777344"/>
    <w:rsid w:val="007C0BD0"/>
    <w:rsid w:val="007D2C8A"/>
    <w:rsid w:val="0080209B"/>
    <w:rsid w:val="00884882"/>
    <w:rsid w:val="00893C59"/>
    <w:rsid w:val="00895218"/>
    <w:rsid w:val="008B209B"/>
    <w:rsid w:val="008C66FD"/>
    <w:rsid w:val="008E04BA"/>
    <w:rsid w:val="008E412F"/>
    <w:rsid w:val="008F2A87"/>
    <w:rsid w:val="008F3C8A"/>
    <w:rsid w:val="008F4FC6"/>
    <w:rsid w:val="00940549"/>
    <w:rsid w:val="0094492A"/>
    <w:rsid w:val="00966C76"/>
    <w:rsid w:val="009936F4"/>
    <w:rsid w:val="009A05BB"/>
    <w:rsid w:val="009C4702"/>
    <w:rsid w:val="009F5EDF"/>
    <w:rsid w:val="00A370C9"/>
    <w:rsid w:val="00A4534A"/>
    <w:rsid w:val="00A57519"/>
    <w:rsid w:val="00AA7EA4"/>
    <w:rsid w:val="00AC702E"/>
    <w:rsid w:val="00B04293"/>
    <w:rsid w:val="00B1180B"/>
    <w:rsid w:val="00B27C99"/>
    <w:rsid w:val="00B44176"/>
    <w:rsid w:val="00B5710A"/>
    <w:rsid w:val="00B73DE4"/>
    <w:rsid w:val="00B82273"/>
    <w:rsid w:val="00C00385"/>
    <w:rsid w:val="00C23DA0"/>
    <w:rsid w:val="00C32969"/>
    <w:rsid w:val="00C518D2"/>
    <w:rsid w:val="00C55FC3"/>
    <w:rsid w:val="00C85F6E"/>
    <w:rsid w:val="00CA35D6"/>
    <w:rsid w:val="00CC6DFA"/>
    <w:rsid w:val="00CD5030"/>
    <w:rsid w:val="00D255DA"/>
    <w:rsid w:val="00D76AAF"/>
    <w:rsid w:val="00D804A0"/>
    <w:rsid w:val="00D95856"/>
    <w:rsid w:val="00E85DE8"/>
    <w:rsid w:val="00EA6BE9"/>
    <w:rsid w:val="00EC02D5"/>
    <w:rsid w:val="00ED196F"/>
    <w:rsid w:val="00ED725B"/>
    <w:rsid w:val="00EF04DB"/>
    <w:rsid w:val="00F06D94"/>
    <w:rsid w:val="00F3589C"/>
    <w:rsid w:val="00F84112"/>
    <w:rsid w:val="00F8435F"/>
    <w:rsid w:val="00F950EC"/>
    <w:rsid w:val="00FA1CC6"/>
    <w:rsid w:val="00FE4CB6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649E"/>
  <w15:chartTrackingRefBased/>
  <w15:docId w15:val="{D7133BBB-AC93-4CEA-9C09-97473DF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Микитюк Ілона Віталіївна</cp:lastModifiedBy>
  <cp:revision>2</cp:revision>
  <cp:lastPrinted>2025-04-03T13:43:00Z</cp:lastPrinted>
  <dcterms:created xsi:type="dcterms:W3CDTF">2025-06-06T07:10:00Z</dcterms:created>
  <dcterms:modified xsi:type="dcterms:W3CDTF">2025-06-06T07:10:00Z</dcterms:modified>
</cp:coreProperties>
</file>