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E5E88" w14:textId="77777777" w:rsidR="00A53F4A" w:rsidRPr="00D7785B" w:rsidRDefault="00A53F4A" w:rsidP="00137419">
      <w:pPr>
        <w:spacing w:after="0" w:line="240" w:lineRule="auto"/>
        <w:contextualSpacing/>
        <w:jc w:val="center"/>
        <w:rPr>
          <w:rFonts w:ascii="Times New Roman" w:hAnsi="Times New Roman" w:cs="Times New Roman"/>
          <w:b/>
          <w:sz w:val="24"/>
          <w:szCs w:val="24"/>
          <w:lang w:val="ru-RU"/>
        </w:rPr>
      </w:pPr>
      <w:bookmarkStart w:id="0" w:name="_GoBack"/>
      <w:bookmarkEnd w:id="0"/>
      <w:r w:rsidRPr="00D7785B">
        <w:rPr>
          <w:rFonts w:ascii="Times New Roman" w:hAnsi="Times New Roman" w:cs="Times New Roman"/>
          <w:b/>
          <w:sz w:val="24"/>
          <w:szCs w:val="24"/>
          <w:lang w:val="ru-RU"/>
        </w:rPr>
        <w:t xml:space="preserve">ПОРІВНЯЛЬНА ТАБЛИЦЯ                            </w:t>
      </w:r>
    </w:p>
    <w:p w14:paraId="279D3F74" w14:textId="1CC24FC7" w:rsidR="00A53F4A" w:rsidRPr="00D7785B" w:rsidRDefault="00A53F4A" w:rsidP="00137419">
      <w:pPr>
        <w:spacing w:after="0" w:line="240" w:lineRule="auto"/>
        <w:contextualSpacing/>
        <w:jc w:val="center"/>
        <w:rPr>
          <w:rFonts w:ascii="Times New Roman" w:hAnsi="Times New Roman" w:cs="Times New Roman"/>
          <w:b/>
          <w:sz w:val="24"/>
          <w:szCs w:val="24"/>
          <w:lang w:val="ru-RU"/>
        </w:rPr>
      </w:pPr>
      <w:r w:rsidRPr="00D7785B">
        <w:rPr>
          <w:rFonts w:ascii="Times New Roman" w:hAnsi="Times New Roman" w:cs="Times New Roman"/>
          <w:b/>
          <w:sz w:val="24"/>
          <w:szCs w:val="24"/>
          <w:lang w:val="ru-RU"/>
        </w:rPr>
        <w:t>до про</w:t>
      </w:r>
      <w:r w:rsidR="00E67ABF" w:rsidRPr="00D7785B">
        <w:rPr>
          <w:rFonts w:ascii="Times New Roman" w:hAnsi="Times New Roman" w:cs="Times New Roman"/>
          <w:b/>
          <w:sz w:val="24"/>
          <w:szCs w:val="24"/>
          <w:lang w:val="ru-RU"/>
        </w:rPr>
        <w:t>є</w:t>
      </w:r>
      <w:r w:rsidRPr="00D7785B">
        <w:rPr>
          <w:rFonts w:ascii="Times New Roman" w:hAnsi="Times New Roman" w:cs="Times New Roman"/>
          <w:b/>
          <w:sz w:val="24"/>
          <w:szCs w:val="24"/>
          <w:lang w:val="ru-RU"/>
        </w:rPr>
        <w:t xml:space="preserve">кту наказу Міністерства фінансів України </w:t>
      </w:r>
    </w:p>
    <w:p w14:paraId="240C73D4" w14:textId="77777777" w:rsidR="00F35A33" w:rsidRDefault="00A53F4A" w:rsidP="00D12E9D">
      <w:pPr>
        <w:spacing w:after="0" w:line="240" w:lineRule="auto"/>
        <w:contextualSpacing/>
        <w:jc w:val="center"/>
        <w:rPr>
          <w:rFonts w:ascii="Times New Roman" w:hAnsi="Times New Roman" w:cs="Times New Roman"/>
          <w:b/>
          <w:sz w:val="24"/>
          <w:szCs w:val="24"/>
          <w:lang w:val="ru-RU"/>
        </w:rPr>
      </w:pPr>
      <w:r w:rsidRPr="00D7785B">
        <w:rPr>
          <w:rFonts w:ascii="Times New Roman" w:hAnsi="Times New Roman" w:cs="Times New Roman"/>
          <w:b/>
          <w:sz w:val="24"/>
          <w:szCs w:val="24"/>
          <w:lang w:val="ru-RU"/>
        </w:rPr>
        <w:t xml:space="preserve">«Про </w:t>
      </w:r>
      <w:r w:rsidR="00D7785B" w:rsidRPr="00D7785B">
        <w:rPr>
          <w:rFonts w:ascii="Times New Roman" w:hAnsi="Times New Roman" w:cs="Times New Roman"/>
          <w:b/>
          <w:sz w:val="24"/>
          <w:szCs w:val="24"/>
          <w:lang w:val="ru-RU"/>
        </w:rPr>
        <w:t>з</w:t>
      </w:r>
      <w:r w:rsidR="00E67ABF" w:rsidRPr="00D7785B">
        <w:rPr>
          <w:rFonts w:ascii="Times New Roman" w:hAnsi="Times New Roman" w:cs="Times New Roman"/>
          <w:b/>
          <w:sz w:val="24"/>
          <w:szCs w:val="24"/>
          <w:lang w:val="ru-RU"/>
        </w:rPr>
        <w:t>атвердження З</w:t>
      </w:r>
      <w:r w:rsidRPr="00D7785B">
        <w:rPr>
          <w:rFonts w:ascii="Times New Roman" w:hAnsi="Times New Roman" w:cs="Times New Roman"/>
          <w:b/>
          <w:sz w:val="24"/>
          <w:szCs w:val="24"/>
          <w:lang w:val="ru-RU"/>
        </w:rPr>
        <w:t xml:space="preserve">мін до </w:t>
      </w:r>
      <w:r w:rsidR="00E67ABF" w:rsidRPr="00D7785B">
        <w:rPr>
          <w:rFonts w:ascii="Times New Roman" w:hAnsi="Times New Roman" w:cs="Times New Roman"/>
          <w:b/>
          <w:sz w:val="24"/>
          <w:szCs w:val="24"/>
          <w:lang w:val="ru-RU"/>
        </w:rPr>
        <w:t>національного положення (стандарту) бухгалтерського обліку в державному секторі</w:t>
      </w:r>
    </w:p>
    <w:p w14:paraId="2425DDA7" w14:textId="1375AA21" w:rsidR="003D01BB" w:rsidRPr="00D7785B" w:rsidRDefault="00E67ABF" w:rsidP="00D12E9D">
      <w:pPr>
        <w:spacing w:after="0" w:line="240" w:lineRule="auto"/>
        <w:contextualSpacing/>
        <w:jc w:val="center"/>
        <w:rPr>
          <w:rFonts w:ascii="Times New Roman" w:eastAsia="Times New Roman" w:hAnsi="Times New Roman" w:cs="Times New Roman"/>
          <w:b/>
          <w:spacing w:val="-4"/>
          <w:sz w:val="24"/>
          <w:szCs w:val="24"/>
          <w:lang w:val="uk-UA" w:eastAsia="ru-RU"/>
        </w:rPr>
      </w:pPr>
      <w:r w:rsidRPr="00D7785B">
        <w:rPr>
          <w:rFonts w:ascii="Times New Roman" w:hAnsi="Times New Roman" w:cs="Times New Roman"/>
          <w:b/>
          <w:sz w:val="24"/>
          <w:szCs w:val="24"/>
          <w:lang w:val="ru-RU"/>
        </w:rPr>
        <w:t xml:space="preserve"> </w:t>
      </w:r>
      <w:r w:rsidR="003D01BB" w:rsidRPr="00D7785B">
        <w:rPr>
          <w:rFonts w:ascii="Times New Roman" w:eastAsia="Times New Roman" w:hAnsi="Times New Roman" w:cs="Times New Roman"/>
          <w:b/>
          <w:spacing w:val="-4"/>
          <w:sz w:val="24"/>
          <w:szCs w:val="24"/>
          <w:lang w:val="uk-UA" w:eastAsia="ru-RU"/>
        </w:rPr>
        <w:t>121 «Основні засоби»</w:t>
      </w:r>
    </w:p>
    <w:p w14:paraId="4EDC899C" w14:textId="77777777" w:rsidR="00A713BF" w:rsidRPr="00D7785B" w:rsidRDefault="00A713BF" w:rsidP="00137419">
      <w:pPr>
        <w:widowControl w:val="0"/>
        <w:spacing w:after="0" w:line="240" w:lineRule="auto"/>
        <w:contextualSpacing/>
        <w:jc w:val="center"/>
        <w:rPr>
          <w:rFonts w:ascii="Times New Roman" w:eastAsia="Times New Roman" w:hAnsi="Times New Roman" w:cs="Times New Roman"/>
          <w:b/>
          <w:spacing w:val="-4"/>
          <w:sz w:val="24"/>
          <w:szCs w:val="24"/>
          <w:lang w:val="uk-UA" w:eastAsia="ru-RU"/>
        </w:rPr>
      </w:pPr>
    </w:p>
    <w:tbl>
      <w:tblPr>
        <w:tblStyle w:val="a6"/>
        <w:tblW w:w="13295" w:type="dxa"/>
        <w:tblInd w:w="450" w:type="dxa"/>
        <w:tblLook w:val="04A0" w:firstRow="1" w:lastRow="0" w:firstColumn="1" w:lastColumn="0" w:noHBand="0" w:noVBand="1"/>
      </w:tblPr>
      <w:tblGrid>
        <w:gridCol w:w="6633"/>
        <w:gridCol w:w="6662"/>
      </w:tblGrid>
      <w:tr w:rsidR="00D7785B" w:rsidRPr="00E37C4E" w14:paraId="4D6131BD" w14:textId="77777777" w:rsidTr="00875AB1">
        <w:trPr>
          <w:tblHeader/>
        </w:trPr>
        <w:tc>
          <w:tcPr>
            <w:tcW w:w="6633" w:type="dxa"/>
            <w:shd w:val="clear" w:color="auto" w:fill="ACB9CA" w:themeFill="text2" w:themeFillTint="66"/>
          </w:tcPr>
          <w:p w14:paraId="5BB50E62" w14:textId="77777777" w:rsidR="00875AB1" w:rsidRPr="00D7785B" w:rsidRDefault="00875AB1" w:rsidP="00137419">
            <w:pPr>
              <w:contextualSpacing/>
              <w:jc w:val="center"/>
              <w:rPr>
                <w:rFonts w:ascii="Times New Roman" w:hAnsi="Times New Roman" w:cs="Times New Roman"/>
                <w:b/>
                <w:sz w:val="24"/>
                <w:szCs w:val="24"/>
              </w:rPr>
            </w:pPr>
            <w:r w:rsidRPr="00D7785B">
              <w:rPr>
                <w:rFonts w:ascii="Times New Roman" w:hAnsi="Times New Roman" w:cs="Times New Roman"/>
                <w:b/>
                <w:sz w:val="24"/>
                <w:szCs w:val="24"/>
              </w:rPr>
              <w:t>Зміст положення акта законодавства</w:t>
            </w:r>
          </w:p>
        </w:tc>
        <w:tc>
          <w:tcPr>
            <w:tcW w:w="6662" w:type="dxa"/>
            <w:shd w:val="clear" w:color="auto" w:fill="ACB9CA" w:themeFill="text2" w:themeFillTint="66"/>
          </w:tcPr>
          <w:p w14:paraId="4BF5A0B7" w14:textId="77777777" w:rsidR="00875AB1" w:rsidRPr="00D7785B" w:rsidRDefault="00875AB1" w:rsidP="00137419">
            <w:pPr>
              <w:contextualSpacing/>
              <w:jc w:val="center"/>
              <w:rPr>
                <w:rFonts w:ascii="Times New Roman" w:hAnsi="Times New Roman" w:cs="Times New Roman"/>
                <w:b/>
                <w:sz w:val="24"/>
                <w:szCs w:val="24"/>
                <w:lang w:val="ru-RU"/>
              </w:rPr>
            </w:pPr>
            <w:r w:rsidRPr="00D7785B">
              <w:rPr>
                <w:rFonts w:ascii="Times New Roman" w:hAnsi="Times New Roman" w:cs="Times New Roman"/>
                <w:b/>
                <w:sz w:val="24"/>
                <w:szCs w:val="24"/>
                <w:lang w:val="ru-RU"/>
              </w:rPr>
              <w:t>Зміст відповідного положення проекту акта</w:t>
            </w:r>
          </w:p>
        </w:tc>
      </w:tr>
      <w:tr w:rsidR="00D7785B" w:rsidRPr="00E37C4E" w14:paraId="24824A5E" w14:textId="77777777" w:rsidTr="00875AB1">
        <w:tc>
          <w:tcPr>
            <w:tcW w:w="13295" w:type="dxa"/>
            <w:gridSpan w:val="2"/>
            <w:shd w:val="clear" w:color="auto" w:fill="ACB9CA" w:themeFill="text2" w:themeFillTint="66"/>
          </w:tcPr>
          <w:p w14:paraId="1083C9B0" w14:textId="2DAF4D6B" w:rsidR="00875AB1" w:rsidRPr="00D7785B" w:rsidRDefault="00875AB1" w:rsidP="00875AB1">
            <w:pPr>
              <w:contextualSpacing/>
              <w:jc w:val="center"/>
              <w:rPr>
                <w:rFonts w:ascii="Times New Roman" w:hAnsi="Times New Roman" w:cs="Times New Roman"/>
                <w:b/>
                <w:sz w:val="24"/>
                <w:szCs w:val="24"/>
                <w:lang w:val="ru-RU"/>
              </w:rPr>
            </w:pPr>
            <w:bookmarkStart w:id="1" w:name="n20"/>
            <w:bookmarkEnd w:id="1"/>
            <w:r w:rsidRPr="00D7785B">
              <w:rPr>
                <w:rFonts w:ascii="Times New Roman" w:hAnsi="Times New Roman" w:cs="Times New Roman"/>
                <w:b/>
                <w:sz w:val="24"/>
                <w:szCs w:val="24"/>
                <w:lang w:val="ru-RU"/>
              </w:rPr>
              <w:t>Національне положення (стандарт) бухгалтерського обліку в державному секторі 121 «Основні засоби»</w:t>
            </w:r>
          </w:p>
          <w:p w14:paraId="756386D0" w14:textId="637EB721" w:rsidR="00875AB1" w:rsidRPr="00D7785B" w:rsidRDefault="00875AB1" w:rsidP="00875AB1">
            <w:pPr>
              <w:contextualSpacing/>
              <w:jc w:val="center"/>
              <w:rPr>
                <w:rFonts w:ascii="Times New Roman" w:hAnsi="Times New Roman" w:cs="Times New Roman"/>
                <w:b/>
                <w:sz w:val="24"/>
                <w:szCs w:val="24"/>
                <w:lang w:val="ru-RU"/>
              </w:rPr>
            </w:pPr>
            <w:r w:rsidRPr="00D7785B">
              <w:rPr>
                <w:rFonts w:ascii="Times New Roman" w:hAnsi="Times New Roman" w:cs="Times New Roman"/>
                <w:b/>
                <w:sz w:val="24"/>
                <w:szCs w:val="24"/>
                <w:lang w:val="ru-RU"/>
              </w:rPr>
              <w:t>(наказ Міністерства фінансів України від 12.10.2010 № 1202)</w:t>
            </w:r>
          </w:p>
        </w:tc>
      </w:tr>
      <w:tr w:rsidR="00D7785B" w:rsidRPr="00D7785B" w14:paraId="4D082CBE" w14:textId="77777777" w:rsidTr="00E67ABF">
        <w:tc>
          <w:tcPr>
            <w:tcW w:w="13295" w:type="dxa"/>
            <w:gridSpan w:val="2"/>
          </w:tcPr>
          <w:p w14:paraId="6C0BD741" w14:textId="5CF30CE1" w:rsidR="00875AB1" w:rsidRPr="00D7785B" w:rsidRDefault="00875AB1" w:rsidP="00875AB1">
            <w:pPr>
              <w:pStyle w:val="rvps2"/>
              <w:shd w:val="clear" w:color="auto" w:fill="FFFFFF"/>
              <w:spacing w:before="0" w:beforeAutospacing="0" w:after="0" w:afterAutospacing="0"/>
              <w:contextualSpacing/>
              <w:jc w:val="center"/>
              <w:rPr>
                <w:rStyle w:val="rvts15"/>
                <w:b/>
                <w:bCs/>
                <w:lang w:val="uk-UA"/>
              </w:rPr>
            </w:pPr>
            <w:r w:rsidRPr="00D7785B">
              <w:rPr>
                <w:rStyle w:val="rvts15"/>
                <w:b/>
                <w:bCs/>
                <w:lang w:val="uk-UA"/>
              </w:rPr>
              <w:t>I. Загальні положення</w:t>
            </w:r>
          </w:p>
        </w:tc>
      </w:tr>
      <w:tr w:rsidR="00D7785B" w:rsidRPr="00D7785B" w14:paraId="19DFEA86" w14:textId="77777777" w:rsidTr="00875AB1">
        <w:tc>
          <w:tcPr>
            <w:tcW w:w="6633" w:type="dxa"/>
          </w:tcPr>
          <w:p w14:paraId="46060F3E" w14:textId="77777777" w:rsidR="00875AB1" w:rsidRPr="00D7785B" w:rsidRDefault="00875AB1" w:rsidP="007F7EEF">
            <w:pPr>
              <w:pStyle w:val="rvps2"/>
              <w:shd w:val="clear" w:color="auto" w:fill="FFFFFF"/>
              <w:spacing w:before="0" w:beforeAutospacing="0" w:after="0" w:afterAutospacing="0"/>
              <w:contextualSpacing/>
              <w:jc w:val="both"/>
              <w:rPr>
                <w:lang w:val="uk-UA"/>
              </w:rPr>
            </w:pPr>
            <w:bookmarkStart w:id="2" w:name="n170"/>
            <w:bookmarkStart w:id="3" w:name="n21"/>
            <w:bookmarkStart w:id="4" w:name="n171"/>
            <w:bookmarkStart w:id="5" w:name="n22"/>
            <w:bookmarkStart w:id="6" w:name="n23"/>
            <w:bookmarkEnd w:id="2"/>
            <w:bookmarkEnd w:id="3"/>
            <w:bookmarkEnd w:id="4"/>
            <w:bookmarkEnd w:id="5"/>
            <w:bookmarkEnd w:id="6"/>
            <w:r w:rsidRPr="00D7785B">
              <w:rPr>
                <w:lang w:val="uk-UA"/>
              </w:rPr>
              <w:t>Пункт 4:</w:t>
            </w:r>
          </w:p>
          <w:p w14:paraId="2E500CAE" w14:textId="77777777" w:rsidR="00875AB1" w:rsidRPr="00D7785B" w:rsidRDefault="00875AB1" w:rsidP="007F7EEF">
            <w:pPr>
              <w:pStyle w:val="rvps2"/>
              <w:shd w:val="clear" w:color="auto" w:fill="FFFFFF"/>
              <w:spacing w:before="0" w:beforeAutospacing="0" w:after="0" w:afterAutospacing="0"/>
              <w:contextualSpacing/>
              <w:jc w:val="both"/>
              <w:rPr>
                <w:lang w:val="uk-UA"/>
              </w:rPr>
            </w:pPr>
            <w:r w:rsidRPr="00D7785B">
              <w:rPr>
                <w:lang w:val="uk-UA"/>
              </w:rPr>
              <w:t xml:space="preserve"> Терміни, що використовуються в національних положеннях (стандартах) бухгалтерського обліку в державному секторі, мають таке значення:</w:t>
            </w:r>
          </w:p>
          <w:p w14:paraId="718384DA" w14:textId="30BA20D0" w:rsidR="00E67ABF" w:rsidRPr="00D7785B" w:rsidRDefault="00E67ABF" w:rsidP="007F7EEF">
            <w:pPr>
              <w:pStyle w:val="rvps2"/>
              <w:shd w:val="clear" w:color="auto" w:fill="FFFFFF"/>
              <w:spacing w:before="0" w:beforeAutospacing="0" w:after="0" w:afterAutospacing="0"/>
              <w:contextualSpacing/>
              <w:jc w:val="both"/>
              <w:rPr>
                <w:lang w:val="uk-UA"/>
              </w:rPr>
            </w:pPr>
            <w:r w:rsidRPr="00D7785B">
              <w:rPr>
                <w:lang w:val="uk-UA"/>
              </w:rPr>
              <w:t>………….</w:t>
            </w:r>
          </w:p>
        </w:tc>
        <w:tc>
          <w:tcPr>
            <w:tcW w:w="6662" w:type="dxa"/>
          </w:tcPr>
          <w:p w14:paraId="5D8C9C66" w14:textId="77777777" w:rsidR="00875AB1" w:rsidRPr="00D7785B" w:rsidRDefault="00875AB1" w:rsidP="007F7EEF">
            <w:pPr>
              <w:pStyle w:val="rvps2"/>
              <w:shd w:val="clear" w:color="auto" w:fill="FFFFFF"/>
              <w:spacing w:before="0" w:beforeAutospacing="0" w:after="0" w:afterAutospacing="0"/>
              <w:contextualSpacing/>
              <w:jc w:val="both"/>
              <w:rPr>
                <w:lang w:val="uk-UA"/>
              </w:rPr>
            </w:pPr>
            <w:r w:rsidRPr="00D7785B">
              <w:rPr>
                <w:lang w:val="uk-UA"/>
              </w:rPr>
              <w:t>Пункт 4:</w:t>
            </w:r>
          </w:p>
          <w:p w14:paraId="67CDABF4" w14:textId="77777777" w:rsidR="00875AB1" w:rsidRPr="00D7785B" w:rsidRDefault="00875AB1" w:rsidP="007F7EEF">
            <w:pPr>
              <w:pStyle w:val="rvps2"/>
              <w:shd w:val="clear" w:color="auto" w:fill="FFFFFF"/>
              <w:spacing w:before="0" w:beforeAutospacing="0" w:after="0" w:afterAutospacing="0"/>
              <w:contextualSpacing/>
              <w:jc w:val="both"/>
              <w:rPr>
                <w:lang w:val="uk-UA"/>
              </w:rPr>
            </w:pPr>
            <w:r w:rsidRPr="00D7785B">
              <w:rPr>
                <w:lang w:val="uk-UA"/>
              </w:rPr>
              <w:t xml:space="preserve"> Терміни, що використовуються в національних положеннях (стандартах) бухгалтерського обліку в державному секторі, мають таке значення:</w:t>
            </w:r>
          </w:p>
          <w:p w14:paraId="7658E2F9" w14:textId="6B7CD5DA" w:rsidR="00E67ABF" w:rsidRPr="00D7785B" w:rsidRDefault="00E67ABF" w:rsidP="007F7EEF">
            <w:pPr>
              <w:pStyle w:val="rvps2"/>
              <w:shd w:val="clear" w:color="auto" w:fill="FFFFFF"/>
              <w:spacing w:before="0" w:beforeAutospacing="0" w:after="0" w:afterAutospacing="0"/>
              <w:contextualSpacing/>
              <w:jc w:val="both"/>
              <w:rPr>
                <w:lang w:val="uk-UA"/>
              </w:rPr>
            </w:pPr>
            <w:r w:rsidRPr="00D7785B">
              <w:rPr>
                <w:lang w:val="uk-UA"/>
              </w:rPr>
              <w:t>……….</w:t>
            </w:r>
          </w:p>
        </w:tc>
      </w:tr>
      <w:tr w:rsidR="00D7785B" w:rsidRPr="00D7785B" w14:paraId="39BDAB39" w14:textId="77777777" w:rsidTr="00875AB1">
        <w:tc>
          <w:tcPr>
            <w:tcW w:w="6633" w:type="dxa"/>
          </w:tcPr>
          <w:p w14:paraId="6E7A5A45" w14:textId="77777777" w:rsidR="00875AB1" w:rsidRPr="00D7785B" w:rsidRDefault="00875AB1" w:rsidP="007F7EEF">
            <w:pPr>
              <w:pStyle w:val="rvps2"/>
              <w:shd w:val="clear" w:color="auto" w:fill="FFFFFF"/>
              <w:spacing w:before="0" w:beforeAutospacing="0" w:after="0" w:afterAutospacing="0"/>
              <w:contextualSpacing/>
              <w:jc w:val="both"/>
              <w:rPr>
                <w:lang w:val="uk-UA"/>
              </w:rPr>
            </w:pPr>
            <w:bookmarkStart w:id="7" w:name="n24"/>
            <w:bookmarkStart w:id="8" w:name="n223"/>
            <w:bookmarkStart w:id="9" w:name="n25"/>
            <w:bookmarkStart w:id="10" w:name="n26"/>
            <w:bookmarkStart w:id="11" w:name="n27"/>
            <w:bookmarkStart w:id="12" w:name="n28"/>
            <w:bookmarkStart w:id="13" w:name="n29"/>
            <w:bookmarkStart w:id="14" w:name="n30"/>
            <w:bookmarkStart w:id="15" w:name="n31"/>
            <w:bookmarkStart w:id="16" w:name="n32"/>
            <w:bookmarkEnd w:id="7"/>
            <w:bookmarkEnd w:id="8"/>
            <w:bookmarkEnd w:id="9"/>
            <w:bookmarkEnd w:id="10"/>
            <w:bookmarkEnd w:id="11"/>
            <w:bookmarkEnd w:id="12"/>
            <w:bookmarkEnd w:id="13"/>
            <w:bookmarkEnd w:id="14"/>
            <w:bookmarkEnd w:id="15"/>
            <w:bookmarkEnd w:id="16"/>
            <w:r w:rsidRPr="00D7785B">
              <w:rPr>
                <w:lang w:val="uk-UA"/>
              </w:rPr>
              <w:t xml:space="preserve">залишкова вартість - різниця між первісною (переоціненою) вартістю необоротного активу і сумою його </w:t>
            </w:r>
            <w:r w:rsidRPr="00D7785B">
              <w:rPr>
                <w:strike/>
                <w:lang w:val="uk-UA"/>
              </w:rPr>
              <w:t>накопиченого</w:t>
            </w:r>
            <w:r w:rsidRPr="00D7785B">
              <w:rPr>
                <w:lang w:val="uk-UA"/>
              </w:rPr>
              <w:t xml:space="preserve"> зносу;</w:t>
            </w:r>
          </w:p>
          <w:p w14:paraId="2D44CFA5" w14:textId="6B7F4EEF" w:rsidR="00E67ABF" w:rsidRPr="00D7785B" w:rsidRDefault="00E67ABF" w:rsidP="007F7EEF">
            <w:pPr>
              <w:pStyle w:val="rvps2"/>
              <w:shd w:val="clear" w:color="auto" w:fill="FFFFFF"/>
              <w:spacing w:before="0" w:beforeAutospacing="0" w:after="0" w:afterAutospacing="0"/>
              <w:contextualSpacing/>
              <w:jc w:val="both"/>
              <w:rPr>
                <w:lang w:val="uk-UA"/>
              </w:rPr>
            </w:pPr>
            <w:r w:rsidRPr="00D7785B">
              <w:rPr>
                <w:lang w:val="uk-UA"/>
              </w:rPr>
              <w:t>…………….</w:t>
            </w:r>
          </w:p>
        </w:tc>
        <w:tc>
          <w:tcPr>
            <w:tcW w:w="6662" w:type="dxa"/>
          </w:tcPr>
          <w:p w14:paraId="5056C42E" w14:textId="77777777" w:rsidR="00875AB1" w:rsidRPr="00D7785B" w:rsidRDefault="00875AB1" w:rsidP="007F7EEF">
            <w:pPr>
              <w:pStyle w:val="rvps2"/>
              <w:shd w:val="clear" w:color="auto" w:fill="FFFFFF"/>
              <w:spacing w:before="0" w:beforeAutospacing="0" w:after="0" w:afterAutospacing="0"/>
              <w:contextualSpacing/>
              <w:jc w:val="both"/>
              <w:rPr>
                <w:lang w:val="uk-UA"/>
              </w:rPr>
            </w:pPr>
            <w:r w:rsidRPr="00D7785B">
              <w:rPr>
                <w:lang w:val="uk-UA"/>
              </w:rPr>
              <w:t>залишкова вартість - різниця між первісною (переоціненою) вартістю необоротного активу і сумою його зносу;</w:t>
            </w:r>
          </w:p>
          <w:p w14:paraId="43DEB433" w14:textId="20EE693E" w:rsidR="00E67ABF" w:rsidRPr="00D7785B" w:rsidRDefault="00E67ABF" w:rsidP="007F7EEF">
            <w:pPr>
              <w:pStyle w:val="rvps2"/>
              <w:shd w:val="clear" w:color="auto" w:fill="FFFFFF"/>
              <w:spacing w:before="0" w:beforeAutospacing="0" w:after="0" w:afterAutospacing="0"/>
              <w:contextualSpacing/>
              <w:jc w:val="both"/>
              <w:rPr>
                <w:lang w:val="uk-UA"/>
              </w:rPr>
            </w:pPr>
            <w:r w:rsidRPr="00D7785B">
              <w:rPr>
                <w:lang w:val="uk-UA"/>
              </w:rPr>
              <w:t>………….</w:t>
            </w:r>
          </w:p>
        </w:tc>
      </w:tr>
      <w:tr w:rsidR="00D7785B" w:rsidRPr="00E37C4E" w14:paraId="0355A6E1" w14:textId="77777777" w:rsidTr="00E67ABF">
        <w:tc>
          <w:tcPr>
            <w:tcW w:w="13295" w:type="dxa"/>
            <w:gridSpan w:val="2"/>
          </w:tcPr>
          <w:p w14:paraId="1A2709B7" w14:textId="2F1F0188" w:rsidR="00875AB1" w:rsidRPr="00D7785B" w:rsidRDefault="00875AB1" w:rsidP="00875AB1">
            <w:pPr>
              <w:pStyle w:val="rvps2"/>
              <w:shd w:val="clear" w:color="auto" w:fill="FFFFFF"/>
              <w:spacing w:before="0" w:beforeAutospacing="0" w:after="0" w:afterAutospacing="0"/>
              <w:contextualSpacing/>
              <w:jc w:val="center"/>
              <w:rPr>
                <w:lang w:val="uk-UA"/>
              </w:rPr>
            </w:pPr>
            <w:bookmarkStart w:id="17" w:name="n33"/>
            <w:bookmarkStart w:id="18" w:name="n34"/>
            <w:bookmarkStart w:id="19" w:name="n35"/>
            <w:bookmarkStart w:id="20" w:name="n36"/>
            <w:bookmarkStart w:id="21" w:name="n172"/>
            <w:bookmarkStart w:id="22" w:name="n37"/>
            <w:bookmarkStart w:id="23" w:name="n38"/>
            <w:bookmarkStart w:id="24" w:name="n39"/>
            <w:bookmarkStart w:id="25" w:name="n40"/>
            <w:bookmarkStart w:id="26" w:name="n41"/>
            <w:bookmarkStart w:id="27" w:name="n42"/>
            <w:bookmarkStart w:id="28" w:name="n173"/>
            <w:bookmarkStart w:id="29" w:name="n43"/>
            <w:bookmarkStart w:id="30" w:name="n44"/>
            <w:bookmarkStart w:id="31" w:name="n174"/>
            <w:bookmarkStart w:id="32" w:name="n45"/>
            <w:bookmarkStart w:id="33" w:name="n46"/>
            <w:bookmarkStart w:id="34" w:name="n47"/>
            <w:bookmarkStart w:id="35" w:name="n4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D7785B">
              <w:rPr>
                <w:rStyle w:val="rvts15"/>
                <w:b/>
                <w:bCs/>
                <w:lang w:val="uk-UA"/>
              </w:rPr>
              <w:t>II. Визнання та первісна оцінка основних засобів</w:t>
            </w:r>
          </w:p>
        </w:tc>
      </w:tr>
      <w:tr w:rsidR="00D7785B" w:rsidRPr="00D7785B" w14:paraId="0C3E098F" w14:textId="77777777" w:rsidTr="00D7785B">
        <w:trPr>
          <w:trHeight w:val="835"/>
        </w:trPr>
        <w:tc>
          <w:tcPr>
            <w:tcW w:w="6633" w:type="dxa"/>
          </w:tcPr>
          <w:p w14:paraId="7AD2CB0C"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36" w:name="n49"/>
            <w:bookmarkStart w:id="37" w:name="n50"/>
            <w:bookmarkStart w:id="38" w:name="n51"/>
            <w:bookmarkStart w:id="39" w:name="n52"/>
            <w:bookmarkStart w:id="40" w:name="n53"/>
            <w:bookmarkStart w:id="41" w:name="n54"/>
            <w:bookmarkStart w:id="42" w:name="n55"/>
            <w:bookmarkStart w:id="43" w:name="n57"/>
            <w:bookmarkStart w:id="44" w:name="n58"/>
            <w:bookmarkEnd w:id="36"/>
            <w:bookmarkEnd w:id="37"/>
            <w:bookmarkEnd w:id="38"/>
            <w:bookmarkEnd w:id="39"/>
            <w:bookmarkEnd w:id="40"/>
            <w:bookmarkEnd w:id="41"/>
            <w:bookmarkEnd w:id="42"/>
            <w:bookmarkEnd w:id="43"/>
            <w:bookmarkEnd w:id="44"/>
            <w:r w:rsidRPr="00D7785B">
              <w:rPr>
                <w:lang w:val="uk-UA"/>
              </w:rPr>
              <w:t>Пункт 3:</w:t>
            </w:r>
          </w:p>
          <w:p w14:paraId="03C4941C"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Пункт 3. Основні засоби класифікуються за такими групами:</w:t>
            </w:r>
          </w:p>
          <w:p w14:paraId="27729651"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 Основні засоби:</w:t>
            </w:r>
          </w:p>
          <w:p w14:paraId="71FD7857"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3.1.1. Земельні ділянки.</w:t>
            </w:r>
          </w:p>
          <w:p w14:paraId="23FE966C"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3.1.2. Капітальні витрати на поліпшення земель.</w:t>
            </w:r>
          </w:p>
          <w:p w14:paraId="78DD679A"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3.1.3. Будинки, споруди та передавальні пристрої.</w:t>
            </w:r>
          </w:p>
          <w:p w14:paraId="60DC6BE4"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3.1.4. Машини та обладнання.</w:t>
            </w:r>
          </w:p>
          <w:p w14:paraId="0323E7DE"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3.1.5. Транспортні засоби.</w:t>
            </w:r>
          </w:p>
          <w:p w14:paraId="1382E18E"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3.1.6. Інструменти, прилади, інвентар.</w:t>
            </w:r>
          </w:p>
          <w:p w14:paraId="1F13B704"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3.1.7. Тварини, багаторічні насадження та плодоносні рослини.</w:t>
            </w:r>
          </w:p>
          <w:p w14:paraId="5260E84C"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3.1.8. Інші основні засоби.</w:t>
            </w:r>
          </w:p>
          <w:p w14:paraId="6ABC8F43"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 Інші необоротні матеріальні активи включають:</w:t>
            </w:r>
          </w:p>
          <w:p w14:paraId="5ED0ED82"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3.2.1.Музейні фонди.</w:t>
            </w:r>
          </w:p>
          <w:p w14:paraId="10346AD9"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3.2.2. Бібліотечні фонди.</w:t>
            </w:r>
          </w:p>
          <w:p w14:paraId="45F3B969"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3.2.3. Малоцінні необоротні матеріальні активи.</w:t>
            </w:r>
          </w:p>
          <w:p w14:paraId="321CBBED"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lastRenderedPageBreak/>
              <w:t>3.2.4. Білизну, постільні речі, одяг та взуття.</w:t>
            </w:r>
          </w:p>
          <w:p w14:paraId="13623137"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3.2.5.Природні ресурси.</w:t>
            </w:r>
          </w:p>
          <w:p w14:paraId="3906D4B6"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3.2.6. Інвентарну тару.</w:t>
            </w:r>
          </w:p>
          <w:p w14:paraId="561B19C4"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3.2.7. Необоротні матеріальні активи спеціального призначення. </w:t>
            </w:r>
          </w:p>
          <w:p w14:paraId="784D9802" w14:textId="68B85143" w:rsidR="00D12E9D" w:rsidRPr="00D7785B" w:rsidRDefault="00D12E9D" w:rsidP="00D12E9D">
            <w:pPr>
              <w:pStyle w:val="rvps2"/>
              <w:shd w:val="clear" w:color="auto" w:fill="FFFFFF"/>
              <w:spacing w:before="0" w:after="0"/>
              <w:contextualSpacing/>
              <w:jc w:val="both"/>
              <w:rPr>
                <w:lang w:val="uk-UA"/>
              </w:rPr>
            </w:pPr>
            <w:r w:rsidRPr="00D7785B">
              <w:rPr>
                <w:lang w:val="uk-UA"/>
              </w:rPr>
              <w:t>3.2.8. Інші необоротні матеріальні активи.</w:t>
            </w:r>
          </w:p>
        </w:tc>
        <w:tc>
          <w:tcPr>
            <w:tcW w:w="6662" w:type="dxa"/>
          </w:tcPr>
          <w:p w14:paraId="0212681C"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lastRenderedPageBreak/>
              <w:t>Пункт 3:</w:t>
            </w:r>
          </w:p>
          <w:p w14:paraId="1730BBD0"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Пункт 3. Основні засоби класифікуються за такими групами:</w:t>
            </w:r>
          </w:p>
          <w:p w14:paraId="43A1D289"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 Основні засоби:</w:t>
            </w:r>
          </w:p>
          <w:p w14:paraId="3216B68D"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3.1.1. Земельні ділянки.</w:t>
            </w:r>
          </w:p>
          <w:p w14:paraId="2C65FE77"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3.1.2. Капітальні витрати на поліпшення земель.</w:t>
            </w:r>
          </w:p>
          <w:p w14:paraId="5FDFDA65" w14:textId="77777777" w:rsidR="00D12E9D" w:rsidRPr="00D7785B" w:rsidRDefault="00D12E9D" w:rsidP="00D12E9D">
            <w:pPr>
              <w:pStyle w:val="rvps2"/>
              <w:shd w:val="clear" w:color="auto" w:fill="FFFFFF"/>
              <w:spacing w:before="0" w:beforeAutospacing="0" w:after="0" w:afterAutospacing="0"/>
              <w:contextualSpacing/>
              <w:jc w:val="both"/>
              <w:rPr>
                <w:b/>
                <w:lang w:val="uk-UA"/>
              </w:rPr>
            </w:pPr>
            <w:r w:rsidRPr="00D7785B">
              <w:rPr>
                <w:lang w:val="uk-UA"/>
              </w:rPr>
              <w:t xml:space="preserve">3.1.3. Будинки, споруди та передавальні пристрої, </w:t>
            </w:r>
            <w:r w:rsidRPr="00D7785B">
              <w:rPr>
                <w:b/>
                <w:lang w:val="uk-UA"/>
              </w:rPr>
              <w:t>активи інфраструктури.</w:t>
            </w:r>
          </w:p>
          <w:p w14:paraId="29CA3341"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3.1.4. Машини та обладнання.</w:t>
            </w:r>
          </w:p>
          <w:p w14:paraId="4D1D00EE"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3.1.5. Транспортні засоби.</w:t>
            </w:r>
          </w:p>
          <w:p w14:paraId="6CB98CC4"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3.1.6. Інструменти, прилади, інвентар.</w:t>
            </w:r>
          </w:p>
          <w:p w14:paraId="255A2108"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3.1.7. Тварини, багаторічні насадження та плодоносні рослини.</w:t>
            </w:r>
          </w:p>
          <w:p w14:paraId="0DB2040E"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3.1.8. Інші основні засоби.</w:t>
            </w:r>
          </w:p>
          <w:p w14:paraId="01523FE4"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 Інші необоротні матеріальні активи включають:</w:t>
            </w:r>
          </w:p>
          <w:p w14:paraId="4B69C726"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3.2.1.Музейні фонди.</w:t>
            </w:r>
          </w:p>
          <w:p w14:paraId="3409D4EC"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3.2.2. Бібліотечні фонди.</w:t>
            </w:r>
          </w:p>
          <w:p w14:paraId="783A380C"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lastRenderedPageBreak/>
              <w:t>3.2.3. Малоцінні необоротні матеріальні активи.</w:t>
            </w:r>
          </w:p>
          <w:p w14:paraId="6C852E26"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3.2.4. Білизну, постільні речі, одяг та взуття.</w:t>
            </w:r>
          </w:p>
          <w:p w14:paraId="4C486981"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3.2.5.Природні ресурси.</w:t>
            </w:r>
          </w:p>
          <w:p w14:paraId="110463E4"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3.2.6. Інвентарну тару.</w:t>
            </w:r>
          </w:p>
          <w:p w14:paraId="7078D620"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3.2.7. Необоротні матеріальні активи спеціального призначення. </w:t>
            </w:r>
          </w:p>
          <w:p w14:paraId="53CD763E" w14:textId="66BB8195"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3.2.8. Інші необоротні матеріальні активи.</w:t>
            </w:r>
          </w:p>
        </w:tc>
      </w:tr>
      <w:tr w:rsidR="00D7785B" w:rsidRPr="00E37C4E" w14:paraId="3B075C8B" w14:textId="77777777" w:rsidTr="00875AB1">
        <w:tc>
          <w:tcPr>
            <w:tcW w:w="6633" w:type="dxa"/>
          </w:tcPr>
          <w:p w14:paraId="2D4C7203"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45" w:name="n178"/>
            <w:bookmarkStart w:id="46" w:name="n81"/>
            <w:bookmarkEnd w:id="45"/>
            <w:bookmarkEnd w:id="46"/>
            <w:r w:rsidRPr="00D7785B">
              <w:rPr>
                <w:lang w:val="uk-UA"/>
              </w:rPr>
              <w:lastRenderedPageBreak/>
              <w:t>Пункт 4:</w:t>
            </w:r>
          </w:p>
          <w:p w14:paraId="68BEB1C2"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Об'єкт основних засобів оцінюється за первісною вартістю, якою є:</w:t>
            </w:r>
          </w:p>
        </w:tc>
        <w:tc>
          <w:tcPr>
            <w:tcW w:w="6662" w:type="dxa"/>
          </w:tcPr>
          <w:p w14:paraId="76B6430E"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Пункт 4:</w:t>
            </w:r>
          </w:p>
          <w:p w14:paraId="49375949"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Об'єкт основних засобів оцінюється за первісною вартістю, якою є:</w:t>
            </w:r>
          </w:p>
        </w:tc>
      </w:tr>
      <w:tr w:rsidR="00D7785B" w:rsidRPr="00E37C4E" w14:paraId="18A15076" w14:textId="77777777" w:rsidTr="00875AB1">
        <w:tc>
          <w:tcPr>
            <w:tcW w:w="6633" w:type="dxa"/>
          </w:tcPr>
          <w:p w14:paraId="24760EF3"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47" w:name="n82"/>
            <w:bookmarkEnd w:id="47"/>
            <w:r w:rsidRPr="00D7785B">
              <w:rPr>
                <w:lang w:val="uk-UA"/>
              </w:rPr>
              <w:t>вартість придбання у разі придбання за плату;</w:t>
            </w:r>
          </w:p>
        </w:tc>
        <w:tc>
          <w:tcPr>
            <w:tcW w:w="6662" w:type="dxa"/>
          </w:tcPr>
          <w:p w14:paraId="60283A92"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вартість придбання у разі придбання за плату;</w:t>
            </w:r>
          </w:p>
        </w:tc>
      </w:tr>
      <w:tr w:rsidR="00D7785B" w:rsidRPr="00E37C4E" w14:paraId="67E61073" w14:textId="77777777" w:rsidTr="00875AB1">
        <w:tc>
          <w:tcPr>
            <w:tcW w:w="6633" w:type="dxa"/>
          </w:tcPr>
          <w:p w14:paraId="7F9888D2"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48" w:name="n83"/>
            <w:bookmarkEnd w:id="48"/>
            <w:r w:rsidRPr="00D7785B">
              <w:rPr>
                <w:lang w:val="uk-UA"/>
              </w:rPr>
              <w:t>собівартість виробництва у разі самостійного виготовлення (створення);</w:t>
            </w:r>
          </w:p>
        </w:tc>
        <w:tc>
          <w:tcPr>
            <w:tcW w:w="6662" w:type="dxa"/>
          </w:tcPr>
          <w:p w14:paraId="19C5DBD9"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собівартість виробництва у разі самостійного виготовлення (створення);</w:t>
            </w:r>
          </w:p>
        </w:tc>
      </w:tr>
      <w:tr w:rsidR="00D7785B" w:rsidRPr="00E37C4E" w14:paraId="79621B84" w14:textId="77777777" w:rsidTr="00875AB1">
        <w:tc>
          <w:tcPr>
            <w:tcW w:w="6633" w:type="dxa"/>
          </w:tcPr>
          <w:p w14:paraId="00120B62"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49" w:name="n84"/>
            <w:bookmarkEnd w:id="49"/>
            <w:r w:rsidRPr="00D7785B">
              <w:rPr>
                <w:lang w:val="uk-UA"/>
              </w:rPr>
              <w:t>справедлива вартість у разі отримання без оплати від фізичних та юридичних осіб (крім суб’єктів державного сектору);</w:t>
            </w:r>
          </w:p>
        </w:tc>
        <w:tc>
          <w:tcPr>
            <w:tcW w:w="6662" w:type="dxa"/>
          </w:tcPr>
          <w:p w14:paraId="4F4B6EE4"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справедлива вартість у разі отримання без оплати від фізичних та юридичних осіб (крім суб’єктів державного сектору);</w:t>
            </w:r>
          </w:p>
        </w:tc>
      </w:tr>
      <w:tr w:rsidR="00D7785B" w:rsidRPr="00E37C4E" w14:paraId="69BFBDA8" w14:textId="77777777" w:rsidTr="00875AB1">
        <w:tc>
          <w:tcPr>
            <w:tcW w:w="6633" w:type="dxa"/>
          </w:tcPr>
          <w:p w14:paraId="43C68120"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50" w:name="n85"/>
            <w:bookmarkEnd w:id="50"/>
            <w:r w:rsidRPr="00D7785B">
              <w:rPr>
                <w:lang w:val="uk-UA"/>
              </w:rPr>
              <w:t>первісна (переоцінена) вартість основних засобів у разі отримання без оплати від суб’єктів державного сектору;</w:t>
            </w:r>
          </w:p>
        </w:tc>
        <w:tc>
          <w:tcPr>
            <w:tcW w:w="6662" w:type="dxa"/>
          </w:tcPr>
          <w:p w14:paraId="3154914D"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первісна (переоцінена) вартість основних засобів у разі отримання без оплати від суб’єктів державного сектору;</w:t>
            </w:r>
          </w:p>
        </w:tc>
      </w:tr>
      <w:tr w:rsidR="00D7785B" w:rsidRPr="00E37C4E" w14:paraId="74F6F451" w14:textId="77777777" w:rsidTr="00875AB1">
        <w:tc>
          <w:tcPr>
            <w:tcW w:w="6633" w:type="dxa"/>
          </w:tcPr>
          <w:p w14:paraId="7BDBC812" w14:textId="77777777" w:rsidR="00D12E9D" w:rsidRPr="00D7785B" w:rsidRDefault="00D12E9D" w:rsidP="00D12E9D">
            <w:pPr>
              <w:pStyle w:val="rvps2"/>
              <w:shd w:val="clear" w:color="auto" w:fill="FFFFFF"/>
              <w:spacing w:before="0" w:beforeAutospacing="0" w:after="0" w:afterAutospacing="0"/>
              <w:contextualSpacing/>
              <w:jc w:val="both"/>
              <w:rPr>
                <w:strike/>
                <w:highlight w:val="green"/>
                <w:lang w:val="uk-UA"/>
              </w:rPr>
            </w:pPr>
            <w:bookmarkStart w:id="51" w:name="n86"/>
            <w:bookmarkEnd w:id="51"/>
            <w:r w:rsidRPr="00D7785B">
              <w:rPr>
                <w:strike/>
                <w:lang w:val="uk-UA"/>
              </w:rPr>
              <w:t>залишкова вартість переданого об’єкта основних засобів у разі отримання у результаті обміну на інший актив;</w:t>
            </w:r>
          </w:p>
        </w:tc>
        <w:tc>
          <w:tcPr>
            <w:tcW w:w="6662" w:type="dxa"/>
          </w:tcPr>
          <w:p w14:paraId="5293E583" w14:textId="00878983" w:rsidR="00D12E9D" w:rsidRPr="00D7785B" w:rsidRDefault="00D12E9D" w:rsidP="00D12E9D">
            <w:pPr>
              <w:pStyle w:val="rvps2"/>
              <w:shd w:val="clear" w:color="auto" w:fill="FFFFFF"/>
              <w:spacing w:before="0" w:beforeAutospacing="0" w:after="0" w:afterAutospacing="0"/>
              <w:jc w:val="both"/>
              <w:rPr>
                <w:lang w:val="uk-UA"/>
              </w:rPr>
            </w:pPr>
            <w:r w:rsidRPr="00D7785B">
              <w:rPr>
                <w:b/>
                <w:lang w:val="uk-UA"/>
              </w:rPr>
              <w:t>справедлива</w:t>
            </w:r>
            <w:r w:rsidRPr="00D7785B">
              <w:rPr>
                <w:lang w:val="uk-UA"/>
              </w:rPr>
              <w:t xml:space="preserve"> </w:t>
            </w:r>
            <w:r w:rsidRPr="00D7785B">
              <w:rPr>
                <w:b/>
                <w:lang w:val="uk-UA"/>
              </w:rPr>
              <w:t>вартість у разі отримання об'єкта основних засобів у результаті обміну на інший актив</w:t>
            </w:r>
            <w:r w:rsidRPr="00D7785B">
              <w:rPr>
                <w:b/>
                <w:lang w:val="ru-RU"/>
              </w:rPr>
              <w:t xml:space="preserve"> </w:t>
            </w:r>
            <w:r w:rsidRPr="00D7785B">
              <w:rPr>
                <w:b/>
                <w:lang w:val="uk-UA"/>
              </w:rPr>
              <w:t>згідно із законодавством</w:t>
            </w:r>
            <w:r w:rsidRPr="00D7785B">
              <w:rPr>
                <w:lang w:val="uk-UA"/>
              </w:rPr>
              <w:t>;</w:t>
            </w:r>
          </w:p>
          <w:p w14:paraId="399745E9" w14:textId="45FB5DAA" w:rsidR="00D12E9D" w:rsidRPr="00D7785B" w:rsidRDefault="00D12E9D" w:rsidP="00D12E9D">
            <w:pPr>
              <w:pStyle w:val="rvps2"/>
              <w:shd w:val="clear" w:color="auto" w:fill="FFFFFF"/>
              <w:spacing w:before="0" w:beforeAutospacing="0" w:after="0" w:afterAutospacing="0"/>
              <w:contextualSpacing/>
              <w:jc w:val="both"/>
              <w:rPr>
                <w:highlight w:val="green"/>
                <w:lang w:val="uk-UA"/>
              </w:rPr>
            </w:pPr>
          </w:p>
        </w:tc>
      </w:tr>
      <w:tr w:rsidR="00D7785B" w:rsidRPr="00E37C4E" w14:paraId="602F46A8" w14:textId="77777777" w:rsidTr="00875AB1">
        <w:tc>
          <w:tcPr>
            <w:tcW w:w="6633" w:type="dxa"/>
          </w:tcPr>
          <w:p w14:paraId="4107C2D5"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52" w:name="n179"/>
            <w:bookmarkStart w:id="53" w:name="n87"/>
            <w:bookmarkEnd w:id="52"/>
            <w:bookmarkEnd w:id="53"/>
            <w:r w:rsidRPr="00D7785B">
              <w:rPr>
                <w:lang w:val="uk-UA"/>
              </w:rPr>
              <w:t>умовна вартість у разі відсутності активного ринку.</w:t>
            </w:r>
          </w:p>
        </w:tc>
        <w:tc>
          <w:tcPr>
            <w:tcW w:w="6662" w:type="dxa"/>
          </w:tcPr>
          <w:p w14:paraId="61CA4583"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умовна вартість у разі відсутності активного ринку.</w:t>
            </w:r>
          </w:p>
        </w:tc>
      </w:tr>
      <w:tr w:rsidR="00D7785B" w:rsidRPr="00E37C4E" w14:paraId="2792FD27" w14:textId="77777777" w:rsidTr="00875AB1">
        <w:tc>
          <w:tcPr>
            <w:tcW w:w="6633" w:type="dxa"/>
          </w:tcPr>
          <w:p w14:paraId="708250D0"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54" w:name="n88"/>
            <w:bookmarkStart w:id="55" w:name="n89"/>
            <w:bookmarkStart w:id="56" w:name="n90"/>
            <w:bookmarkStart w:id="57" w:name="n91"/>
            <w:bookmarkStart w:id="58" w:name="n92"/>
            <w:bookmarkStart w:id="59" w:name="n93"/>
            <w:bookmarkStart w:id="60" w:name="n94"/>
            <w:bookmarkStart w:id="61" w:name="n95"/>
            <w:bookmarkStart w:id="62" w:name="n96"/>
            <w:bookmarkStart w:id="63" w:name="n180"/>
            <w:bookmarkStart w:id="64" w:name="n97"/>
            <w:bookmarkStart w:id="65" w:name="n98"/>
            <w:bookmarkStart w:id="66" w:name="n224"/>
            <w:bookmarkStart w:id="67" w:name="n225"/>
            <w:bookmarkStart w:id="68" w:name="n99"/>
            <w:bookmarkStart w:id="69" w:name="n182"/>
            <w:bookmarkStart w:id="70" w:name="n181"/>
            <w:bookmarkStart w:id="71" w:name="n100"/>
            <w:bookmarkStart w:id="72" w:name="n183"/>
            <w:bookmarkStart w:id="73" w:name="n101"/>
            <w:bookmarkStart w:id="74" w:name="n10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7785B">
              <w:rPr>
                <w:lang w:val="uk-UA"/>
              </w:rPr>
              <w:t>Пункт 10:</w:t>
            </w:r>
          </w:p>
          <w:p w14:paraId="52632B21"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strike/>
                <w:lang w:val="uk-UA"/>
              </w:rPr>
              <w:t xml:space="preserve"> Первісною вартістю об’єкта основних засобів, отриманого у результаті обміну на інший актив, є</w:t>
            </w:r>
            <w:r w:rsidRPr="00D7785B">
              <w:rPr>
                <w:lang w:val="uk-UA"/>
              </w:rPr>
              <w:t xml:space="preserve"> </w:t>
            </w:r>
            <w:r w:rsidRPr="00D7785B">
              <w:rPr>
                <w:strike/>
                <w:lang w:val="uk-UA"/>
              </w:rPr>
              <w:t>залишкова вартість переданого об’єкта основних засобів</w:t>
            </w:r>
            <w:r w:rsidRPr="00D7785B">
              <w:rPr>
                <w:lang w:val="uk-UA"/>
              </w:rPr>
              <w:t xml:space="preserve">. </w:t>
            </w:r>
            <w:r w:rsidRPr="00D7785B">
              <w:rPr>
                <w:strike/>
                <w:lang w:val="uk-UA"/>
              </w:rPr>
              <w:t>Якщо залишкова вартість переданого об’єкта основних засобів дорівнює нулю, то первісною вартістю отриманого об’єкта основних засобів є його справедлива вартість на дату оприбуткування.</w:t>
            </w:r>
          </w:p>
        </w:tc>
        <w:tc>
          <w:tcPr>
            <w:tcW w:w="6662" w:type="dxa"/>
          </w:tcPr>
          <w:p w14:paraId="417A7CA9"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Пункт 10:</w:t>
            </w:r>
          </w:p>
          <w:p w14:paraId="130D39E9" w14:textId="730529D0" w:rsidR="00D12E9D" w:rsidRPr="00D7785B" w:rsidRDefault="00D12E9D" w:rsidP="00D12E9D">
            <w:pPr>
              <w:pStyle w:val="rvps2"/>
              <w:shd w:val="clear" w:color="auto" w:fill="FFFFFF"/>
              <w:spacing w:before="0" w:beforeAutospacing="0" w:after="0" w:afterAutospacing="0"/>
              <w:contextualSpacing/>
              <w:jc w:val="both"/>
              <w:rPr>
                <w:b/>
                <w:lang w:val="uk-UA"/>
              </w:rPr>
            </w:pPr>
            <w:r w:rsidRPr="00D7785B">
              <w:rPr>
                <w:b/>
                <w:lang w:val="uk-UA"/>
              </w:rPr>
              <w:t>Первісною вартістю об’єкта основних засобів, отриманого у результаті обміну на інший актив згідно з законодавством, є його справедлива вартість на дату оприбуткування. Якщо справедливу вартість отриманого або переданого об’єкта основних засобів визначити неможливо, то первісною вартістю отриманого об’єкта основних засобів є первісна (переоцінена) вартість переданого активу з урахуванням суми зносу.</w:t>
            </w:r>
          </w:p>
          <w:p w14:paraId="42A1363E" w14:textId="77777777" w:rsidR="00D12E9D" w:rsidRDefault="00D12E9D" w:rsidP="00D12E9D">
            <w:pPr>
              <w:pStyle w:val="rvps2"/>
              <w:shd w:val="clear" w:color="auto" w:fill="FFFFFF"/>
              <w:spacing w:before="0" w:beforeAutospacing="0" w:after="0" w:afterAutospacing="0"/>
              <w:contextualSpacing/>
              <w:jc w:val="both"/>
              <w:rPr>
                <w:lang w:val="uk-UA"/>
              </w:rPr>
            </w:pPr>
          </w:p>
          <w:p w14:paraId="7D73634D" w14:textId="5F044A3F" w:rsidR="00E37C4E" w:rsidRPr="00D7785B" w:rsidRDefault="00E37C4E" w:rsidP="00D12E9D">
            <w:pPr>
              <w:pStyle w:val="rvps2"/>
              <w:shd w:val="clear" w:color="auto" w:fill="FFFFFF"/>
              <w:spacing w:before="0" w:beforeAutospacing="0" w:after="0" w:afterAutospacing="0"/>
              <w:contextualSpacing/>
              <w:jc w:val="both"/>
              <w:rPr>
                <w:lang w:val="uk-UA"/>
              </w:rPr>
            </w:pPr>
          </w:p>
        </w:tc>
      </w:tr>
      <w:tr w:rsidR="00D7785B" w:rsidRPr="00E37C4E" w14:paraId="5F646239" w14:textId="77777777" w:rsidTr="00E67ABF">
        <w:tc>
          <w:tcPr>
            <w:tcW w:w="13295" w:type="dxa"/>
            <w:gridSpan w:val="2"/>
          </w:tcPr>
          <w:p w14:paraId="1FDD354A" w14:textId="23DA534D" w:rsidR="00D12E9D" w:rsidRPr="00D7785B" w:rsidRDefault="00D12E9D" w:rsidP="00D12E9D">
            <w:pPr>
              <w:pStyle w:val="rvps2"/>
              <w:shd w:val="clear" w:color="auto" w:fill="FFFFFF"/>
              <w:spacing w:before="0" w:beforeAutospacing="0" w:after="0" w:afterAutospacing="0"/>
              <w:contextualSpacing/>
              <w:jc w:val="center"/>
              <w:rPr>
                <w:lang w:val="uk-UA"/>
              </w:rPr>
            </w:pPr>
            <w:bookmarkStart w:id="75" w:name="n184"/>
            <w:bookmarkStart w:id="76" w:name="n104"/>
            <w:bookmarkStart w:id="77" w:name="n105"/>
            <w:bookmarkStart w:id="78" w:name="n226"/>
            <w:bookmarkStart w:id="79" w:name="n187"/>
            <w:bookmarkStart w:id="80" w:name="n189"/>
            <w:bookmarkStart w:id="81" w:name="n188"/>
            <w:bookmarkStart w:id="82" w:name="n185"/>
            <w:bookmarkStart w:id="83" w:name="n106"/>
            <w:bookmarkStart w:id="84" w:name="n107"/>
            <w:bookmarkEnd w:id="75"/>
            <w:bookmarkEnd w:id="76"/>
            <w:bookmarkEnd w:id="77"/>
            <w:bookmarkEnd w:id="78"/>
            <w:bookmarkEnd w:id="79"/>
            <w:bookmarkEnd w:id="80"/>
            <w:bookmarkEnd w:id="81"/>
            <w:bookmarkEnd w:id="82"/>
            <w:bookmarkEnd w:id="83"/>
            <w:bookmarkEnd w:id="84"/>
            <w:r w:rsidRPr="00D7785B">
              <w:rPr>
                <w:rStyle w:val="rvts15"/>
                <w:b/>
                <w:bCs/>
                <w:lang w:val="uk-UA"/>
              </w:rPr>
              <w:lastRenderedPageBreak/>
              <w:t>III. Оцінка після первісного визнання та переоцінка основних засобів</w:t>
            </w:r>
          </w:p>
        </w:tc>
      </w:tr>
      <w:tr w:rsidR="00D7785B" w:rsidRPr="00E37C4E" w14:paraId="0E1B9F2C" w14:textId="77777777" w:rsidTr="00361418">
        <w:trPr>
          <w:trHeight w:val="3795"/>
        </w:trPr>
        <w:tc>
          <w:tcPr>
            <w:tcW w:w="6633" w:type="dxa"/>
          </w:tcPr>
          <w:p w14:paraId="5085A914"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85" w:name="n108"/>
            <w:bookmarkStart w:id="86" w:name="n109"/>
            <w:bookmarkStart w:id="87" w:name="n227"/>
            <w:bookmarkStart w:id="88" w:name="n110"/>
            <w:bookmarkStart w:id="89" w:name="n228"/>
            <w:bookmarkStart w:id="90" w:name="n111"/>
            <w:bookmarkStart w:id="91" w:name="n191"/>
            <w:bookmarkStart w:id="92" w:name="n190"/>
            <w:bookmarkStart w:id="93" w:name="n112"/>
            <w:bookmarkStart w:id="94" w:name="n113"/>
            <w:bookmarkEnd w:id="85"/>
            <w:bookmarkEnd w:id="86"/>
            <w:bookmarkEnd w:id="87"/>
            <w:bookmarkEnd w:id="88"/>
            <w:bookmarkEnd w:id="89"/>
            <w:bookmarkEnd w:id="90"/>
            <w:bookmarkEnd w:id="91"/>
            <w:bookmarkEnd w:id="92"/>
            <w:bookmarkEnd w:id="93"/>
            <w:bookmarkEnd w:id="94"/>
            <w:r w:rsidRPr="00D7785B">
              <w:rPr>
                <w:lang w:val="uk-UA"/>
              </w:rPr>
              <w:t xml:space="preserve">Пункт 5: </w:t>
            </w:r>
          </w:p>
          <w:p w14:paraId="32B456AF"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Переоцінена первісна вартість та сума зносу об'єкта основних засобів визначаються множенням відповідно первісної вартості і суми зносу об'єкта основних засобів на індекс переоцінки. Індекс переоцінки визначається діленням справедливої вартості об'єкта, який переоцінюється, на його залишкову вартість.</w:t>
            </w:r>
          </w:p>
          <w:p w14:paraId="4B6E3910" w14:textId="77777777" w:rsidR="00D12E9D" w:rsidRPr="00D7785B" w:rsidRDefault="00D12E9D" w:rsidP="00D12E9D">
            <w:pPr>
              <w:pStyle w:val="rvps2"/>
              <w:shd w:val="clear" w:color="auto" w:fill="FFFFFF"/>
              <w:spacing w:before="0" w:after="0"/>
              <w:contextualSpacing/>
              <w:jc w:val="both"/>
              <w:rPr>
                <w:strike/>
                <w:lang w:val="uk-UA"/>
              </w:rPr>
            </w:pPr>
            <w:r w:rsidRPr="00D7785B">
              <w:rPr>
                <w:strike/>
                <w:lang w:val="uk-UA"/>
              </w:rPr>
              <w:t>Якщо залишкова вартість об'єкта основних засобів дорівнює нулю, то його переоцінена залишкова вартість визначається додаванням справедливої вартості цього об'єкта до його первісної (переоціненої) вартості без зміни суми зносу об'єкта. При цьому для об'єктів, що продовжують використовуватися, обов'язково визначається ліквідаційна вартість.</w:t>
            </w:r>
          </w:p>
        </w:tc>
        <w:tc>
          <w:tcPr>
            <w:tcW w:w="6662" w:type="dxa"/>
          </w:tcPr>
          <w:p w14:paraId="5E8FEB36"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Пункт 5:</w:t>
            </w:r>
          </w:p>
          <w:p w14:paraId="523F4CA2"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Переоцінена первісна вартість та сума зносу об'єкта основних засобів визначаються множенням відповідно первісної вартості і суми зносу об'єкта основних засобів на індекс переоцінки. Індекс переоцінки визначається діленням справедливої вартості об'єкта, який переоцінюється, на його залишкову вартість.</w:t>
            </w:r>
          </w:p>
          <w:p w14:paraId="2B2F36FE" w14:textId="77777777" w:rsidR="00D12E9D" w:rsidRPr="00D7785B" w:rsidRDefault="00D12E9D" w:rsidP="00D12E9D">
            <w:pPr>
              <w:pStyle w:val="rvps2"/>
              <w:shd w:val="clear" w:color="auto" w:fill="FFFFFF"/>
              <w:spacing w:before="0" w:after="0"/>
              <w:contextualSpacing/>
              <w:jc w:val="both"/>
              <w:rPr>
                <w:lang w:val="ru-RU"/>
              </w:rPr>
            </w:pPr>
          </w:p>
        </w:tc>
      </w:tr>
      <w:tr w:rsidR="00D7785B" w:rsidRPr="00D7785B" w14:paraId="56CC7425" w14:textId="77777777" w:rsidTr="00E67ABF">
        <w:tc>
          <w:tcPr>
            <w:tcW w:w="13295" w:type="dxa"/>
            <w:gridSpan w:val="2"/>
          </w:tcPr>
          <w:p w14:paraId="78DD7AAF" w14:textId="5A3BA8E9" w:rsidR="00D12E9D" w:rsidRPr="00D7785B" w:rsidRDefault="00D12E9D" w:rsidP="00D12E9D">
            <w:pPr>
              <w:pStyle w:val="rvps2"/>
              <w:shd w:val="clear" w:color="auto" w:fill="FFFFFF"/>
              <w:spacing w:before="0" w:beforeAutospacing="0" w:after="0" w:afterAutospacing="0"/>
              <w:ind w:firstLine="364"/>
              <w:contextualSpacing/>
              <w:jc w:val="center"/>
              <w:rPr>
                <w:lang w:val="uk-UA"/>
              </w:rPr>
            </w:pPr>
            <w:bookmarkStart w:id="95" w:name="n115"/>
            <w:bookmarkStart w:id="96" w:name="n116"/>
            <w:bookmarkStart w:id="97" w:name="n192"/>
            <w:bookmarkStart w:id="98" w:name="n117"/>
            <w:bookmarkStart w:id="99" w:name="n193"/>
            <w:bookmarkStart w:id="100" w:name="n118"/>
            <w:bookmarkStart w:id="101" w:name="n194"/>
            <w:bookmarkStart w:id="102" w:name="n119"/>
            <w:bookmarkStart w:id="103" w:name="n195"/>
            <w:bookmarkStart w:id="104" w:name="n120"/>
            <w:bookmarkStart w:id="105" w:name="n121"/>
            <w:bookmarkEnd w:id="95"/>
            <w:bookmarkEnd w:id="96"/>
            <w:bookmarkEnd w:id="97"/>
            <w:bookmarkEnd w:id="98"/>
            <w:bookmarkEnd w:id="99"/>
            <w:bookmarkEnd w:id="100"/>
            <w:bookmarkEnd w:id="101"/>
            <w:bookmarkEnd w:id="102"/>
            <w:bookmarkEnd w:id="103"/>
            <w:bookmarkEnd w:id="104"/>
            <w:bookmarkEnd w:id="105"/>
            <w:r w:rsidRPr="00D7785B">
              <w:rPr>
                <w:rStyle w:val="rvts15"/>
                <w:b/>
                <w:bCs/>
                <w:lang w:val="uk-UA"/>
              </w:rPr>
              <w:t>IV. Амортизація основних засобів</w:t>
            </w:r>
          </w:p>
        </w:tc>
      </w:tr>
      <w:tr w:rsidR="00D7785B" w:rsidRPr="00E37C4E" w14:paraId="67E26AA0" w14:textId="77777777" w:rsidTr="00875AB1">
        <w:tc>
          <w:tcPr>
            <w:tcW w:w="6633" w:type="dxa"/>
          </w:tcPr>
          <w:p w14:paraId="6690A083"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106" w:name="n122"/>
            <w:bookmarkStart w:id="107" w:name="n196"/>
            <w:bookmarkStart w:id="108" w:name="n123"/>
            <w:bookmarkEnd w:id="106"/>
            <w:bookmarkEnd w:id="107"/>
            <w:bookmarkEnd w:id="108"/>
            <w:r w:rsidRPr="00D7785B">
              <w:rPr>
                <w:lang w:val="uk-UA"/>
              </w:rPr>
              <w:t>Пункт 3:</w:t>
            </w:r>
          </w:p>
          <w:p w14:paraId="556AABE9"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 Нарахування амортизації здійснюється протягом строку корисного використання (експлуатації) об'єкта основних засобів при визнанні цього об'єкта активом (при зарахуванні на баланс) і призупиняється на період його реконструкції, модернізації, добудови, дообладнання та консервації. Також амортизація не нараховується на об'єкти основних засобів, доступ до яких обмежений у зв’язку з тим, що вони перебувають на тимчасово окупованій території та/або на території проведення антитерористичної операції.</w:t>
            </w:r>
          </w:p>
        </w:tc>
        <w:tc>
          <w:tcPr>
            <w:tcW w:w="6662" w:type="dxa"/>
          </w:tcPr>
          <w:p w14:paraId="7852002E"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Пункт 3:</w:t>
            </w:r>
          </w:p>
          <w:p w14:paraId="7CDDCC2F" w14:textId="77777777" w:rsidR="00D12E9D" w:rsidRPr="00D7785B" w:rsidRDefault="00D12E9D" w:rsidP="00D12E9D">
            <w:pPr>
              <w:pStyle w:val="rvps2"/>
              <w:shd w:val="clear" w:color="auto" w:fill="FFFFFF"/>
              <w:spacing w:before="0" w:beforeAutospacing="0" w:after="0" w:afterAutospacing="0"/>
              <w:contextualSpacing/>
              <w:jc w:val="both"/>
              <w:rPr>
                <w:lang w:val="ru-RU"/>
              </w:rPr>
            </w:pPr>
            <w:r w:rsidRPr="00D7785B">
              <w:rPr>
                <w:lang w:val="uk-UA"/>
              </w:rPr>
              <w:t xml:space="preserve"> Нарахування амортизації здійснюється протягом строку корисного використання (експлуатації) об'єкта основних засобів при визнанні цього об'єкта активом (при зарахуванні на баланс) і призупиняється на період його реконструкції, модернізації, добудови, дообладнання та консервації. Також амортизація не нараховується на об'єкти основних засобів, доступ до яких обмежений у зв’язку з тим, що вони перебувають на тимчасово окупованій території та/або на території проведення антитерористичної операції </w:t>
            </w:r>
            <w:r w:rsidRPr="00D7785B">
              <w:rPr>
                <w:b/>
                <w:lang w:val="ru-RU"/>
              </w:rPr>
              <w:t>та/або в районах проведення воєнних (бойових) дій у період дії воєнного стану.</w:t>
            </w:r>
          </w:p>
        </w:tc>
      </w:tr>
      <w:tr w:rsidR="00D7785B" w:rsidRPr="00916CA9" w14:paraId="3358CA46" w14:textId="77777777" w:rsidTr="00875AB1">
        <w:tc>
          <w:tcPr>
            <w:tcW w:w="6633" w:type="dxa"/>
          </w:tcPr>
          <w:p w14:paraId="4472682F" w14:textId="77777777" w:rsidR="00D12E9D" w:rsidRDefault="00D12E9D" w:rsidP="00D12E9D">
            <w:pPr>
              <w:pStyle w:val="rvps2"/>
              <w:shd w:val="clear" w:color="auto" w:fill="FFFFFF"/>
              <w:spacing w:before="0" w:beforeAutospacing="0" w:after="0" w:afterAutospacing="0"/>
              <w:contextualSpacing/>
              <w:jc w:val="both"/>
              <w:rPr>
                <w:strike/>
                <w:lang w:val="uk-UA"/>
              </w:rPr>
            </w:pPr>
            <w:bookmarkStart w:id="109" w:name="n229"/>
            <w:bookmarkStart w:id="110" w:name="n124"/>
            <w:bookmarkEnd w:id="109"/>
            <w:bookmarkEnd w:id="110"/>
            <w:r w:rsidRPr="00D7785B">
              <w:rPr>
                <w:strike/>
                <w:lang w:val="uk-UA"/>
              </w:rPr>
              <w:t>Після визнання втрат від зменшення корисності об'єкта основних засобів нарахування амортизації здійснюється виходячи з переглянутого строку його корисного використання (експлуатації).</w:t>
            </w:r>
          </w:p>
          <w:p w14:paraId="13DECA33" w14:textId="77777777" w:rsidR="00E37C4E" w:rsidRDefault="00E37C4E" w:rsidP="00D12E9D">
            <w:pPr>
              <w:pStyle w:val="rvps2"/>
              <w:shd w:val="clear" w:color="auto" w:fill="FFFFFF"/>
              <w:spacing w:before="0" w:beforeAutospacing="0" w:after="0" w:afterAutospacing="0"/>
              <w:contextualSpacing/>
              <w:jc w:val="both"/>
              <w:rPr>
                <w:strike/>
                <w:lang w:val="uk-UA"/>
              </w:rPr>
            </w:pPr>
          </w:p>
          <w:p w14:paraId="74216B04" w14:textId="1B6885B9" w:rsidR="00E37C4E" w:rsidRPr="00D7785B" w:rsidRDefault="00E37C4E" w:rsidP="00D12E9D">
            <w:pPr>
              <w:pStyle w:val="rvps2"/>
              <w:shd w:val="clear" w:color="auto" w:fill="FFFFFF"/>
              <w:spacing w:before="0" w:beforeAutospacing="0" w:after="0" w:afterAutospacing="0"/>
              <w:contextualSpacing/>
              <w:jc w:val="both"/>
              <w:rPr>
                <w:strike/>
                <w:lang w:val="uk-UA"/>
              </w:rPr>
            </w:pPr>
          </w:p>
        </w:tc>
        <w:tc>
          <w:tcPr>
            <w:tcW w:w="6662" w:type="dxa"/>
          </w:tcPr>
          <w:p w14:paraId="41137210" w14:textId="6F17379C" w:rsidR="00D12E9D" w:rsidRPr="00D7785B" w:rsidRDefault="00D12E9D" w:rsidP="00D12E9D">
            <w:pPr>
              <w:pStyle w:val="rvps2"/>
              <w:shd w:val="clear" w:color="auto" w:fill="FFFFFF"/>
              <w:spacing w:before="0" w:beforeAutospacing="0" w:after="0" w:afterAutospacing="0"/>
              <w:contextualSpacing/>
              <w:jc w:val="both"/>
              <w:rPr>
                <w:strike/>
                <w:lang w:val="uk-UA"/>
              </w:rPr>
            </w:pPr>
          </w:p>
        </w:tc>
      </w:tr>
      <w:tr w:rsidR="00D7785B" w:rsidRPr="00E37C4E" w14:paraId="589F3907" w14:textId="77777777" w:rsidTr="00875AB1">
        <w:tc>
          <w:tcPr>
            <w:tcW w:w="6633" w:type="dxa"/>
          </w:tcPr>
          <w:p w14:paraId="7054AEED"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111" w:name="n125"/>
            <w:bookmarkEnd w:id="111"/>
            <w:r w:rsidRPr="00D7785B">
              <w:rPr>
                <w:lang w:val="uk-UA"/>
              </w:rPr>
              <w:lastRenderedPageBreak/>
              <w:t>Пункт 4:</w:t>
            </w:r>
          </w:p>
          <w:p w14:paraId="7BC7AF95"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 При визначенні строку корисного використання (експлуатації) об'єкта основних засобів враховуються такі чинники:</w:t>
            </w:r>
          </w:p>
        </w:tc>
        <w:tc>
          <w:tcPr>
            <w:tcW w:w="6662" w:type="dxa"/>
          </w:tcPr>
          <w:p w14:paraId="36A7E024"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Пункт 4:</w:t>
            </w:r>
          </w:p>
          <w:p w14:paraId="614E860A"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При визначенні строку корисного використання (експлуатації) об'єкта основних засобів враховуються такі чинники:</w:t>
            </w:r>
          </w:p>
          <w:p w14:paraId="1C7919FB" w14:textId="77777777" w:rsidR="00D12E9D" w:rsidRPr="00D7785B" w:rsidRDefault="00D12E9D" w:rsidP="00D12E9D">
            <w:pPr>
              <w:pStyle w:val="rvps2"/>
              <w:shd w:val="clear" w:color="auto" w:fill="FFFFFF"/>
              <w:spacing w:before="0" w:beforeAutospacing="0" w:after="0" w:afterAutospacing="0"/>
              <w:contextualSpacing/>
              <w:jc w:val="both"/>
              <w:rPr>
                <w:lang w:val="uk-UA"/>
              </w:rPr>
            </w:pPr>
          </w:p>
        </w:tc>
      </w:tr>
      <w:tr w:rsidR="00D7785B" w:rsidRPr="00E37C4E" w14:paraId="45325409" w14:textId="77777777" w:rsidTr="00875AB1">
        <w:tc>
          <w:tcPr>
            <w:tcW w:w="6633" w:type="dxa"/>
          </w:tcPr>
          <w:p w14:paraId="6F5BACFD"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112" w:name="n126"/>
            <w:bookmarkEnd w:id="112"/>
            <w:r w:rsidRPr="00D7785B">
              <w:rPr>
                <w:lang w:val="uk-UA"/>
              </w:rPr>
              <w:t>очікуване використання об'єкта основних засобів суб’єктом державного сектору. Використання оцінюють виходячи з очікуваної потужності або фізичної продуктивності об'єкта основних засобів;</w:t>
            </w:r>
          </w:p>
        </w:tc>
        <w:tc>
          <w:tcPr>
            <w:tcW w:w="6662" w:type="dxa"/>
          </w:tcPr>
          <w:p w14:paraId="2B0851E2"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очікуване використання об'єкта основних засобів суб’єктом державного сектору. Використання оцінюють виходячи з очікуваної потужності або фізичної продуктивності об'єкта основних засобів;</w:t>
            </w:r>
          </w:p>
        </w:tc>
      </w:tr>
      <w:tr w:rsidR="00D7785B" w:rsidRPr="00E37C4E" w14:paraId="54312A48" w14:textId="77777777" w:rsidTr="00875AB1">
        <w:tc>
          <w:tcPr>
            <w:tcW w:w="6633" w:type="dxa"/>
          </w:tcPr>
          <w:p w14:paraId="36CEB550"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113" w:name="n127"/>
            <w:bookmarkEnd w:id="113"/>
            <w:r w:rsidRPr="00D7785B">
              <w:rPr>
                <w:lang w:val="uk-UA"/>
              </w:rPr>
              <w:t>очікуваний фізичний знос, який залежить від інтенсивності використання об'єкта основних засобів, якості сервісного обслуговування;</w:t>
            </w:r>
          </w:p>
        </w:tc>
        <w:tc>
          <w:tcPr>
            <w:tcW w:w="6662" w:type="dxa"/>
          </w:tcPr>
          <w:p w14:paraId="330E81F3" w14:textId="0ACBF843"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очікуваний </w:t>
            </w:r>
            <w:r w:rsidRPr="00D7785B">
              <w:rPr>
                <w:b/>
                <w:lang w:val="uk-UA"/>
              </w:rPr>
              <w:t>моральний</w:t>
            </w:r>
            <w:r w:rsidRPr="00D7785B">
              <w:rPr>
                <w:lang w:val="uk-UA"/>
              </w:rPr>
              <w:t xml:space="preserve"> </w:t>
            </w:r>
            <w:r w:rsidRPr="00D7785B">
              <w:rPr>
                <w:b/>
                <w:lang w:val="uk-UA"/>
              </w:rPr>
              <w:t>та</w:t>
            </w:r>
            <w:r w:rsidRPr="00D7785B">
              <w:rPr>
                <w:lang w:val="uk-UA"/>
              </w:rPr>
              <w:t xml:space="preserve"> фізичний знос, який залежить від інтенсивності використання об'єкта основних засобів, </w:t>
            </w:r>
            <w:r w:rsidRPr="00D7785B">
              <w:rPr>
                <w:b/>
                <w:lang w:val="uk-UA"/>
              </w:rPr>
              <w:t>наявності та</w:t>
            </w:r>
            <w:r w:rsidRPr="00D7785B">
              <w:rPr>
                <w:lang w:val="uk-UA"/>
              </w:rPr>
              <w:t xml:space="preserve"> якості сервісного обслуговування;</w:t>
            </w:r>
          </w:p>
        </w:tc>
      </w:tr>
      <w:tr w:rsidR="00D7785B" w:rsidRPr="00E37C4E" w14:paraId="23F4604B" w14:textId="77777777" w:rsidTr="00875AB1">
        <w:tc>
          <w:tcPr>
            <w:tcW w:w="6633" w:type="dxa"/>
          </w:tcPr>
          <w:p w14:paraId="7D2FDFB3"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114" w:name="n128"/>
            <w:bookmarkEnd w:id="114"/>
            <w:r w:rsidRPr="00D7785B">
              <w:rPr>
                <w:lang w:val="uk-UA"/>
              </w:rPr>
              <w:t>моральний знос, який виникає внаслідок змін та вдосконалення виробництва або від зміни ринкового попиту на продукт чи послуги, що надаються об'єктом основних засобів;</w:t>
            </w:r>
          </w:p>
        </w:tc>
        <w:tc>
          <w:tcPr>
            <w:tcW w:w="6662" w:type="dxa"/>
          </w:tcPr>
          <w:p w14:paraId="30A5C42C" w14:textId="2047A432"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b/>
                <w:lang w:val="uk-UA"/>
              </w:rPr>
              <w:t>технічне застарівання</w:t>
            </w:r>
            <w:r w:rsidRPr="00D7785B">
              <w:rPr>
                <w:lang w:val="uk-UA"/>
              </w:rPr>
              <w:t xml:space="preserve">, </w:t>
            </w:r>
            <w:r w:rsidRPr="00D7785B">
              <w:rPr>
                <w:b/>
                <w:lang w:val="uk-UA"/>
              </w:rPr>
              <w:t>яке</w:t>
            </w:r>
            <w:r w:rsidRPr="00D7785B">
              <w:rPr>
                <w:lang w:val="uk-UA"/>
              </w:rPr>
              <w:t xml:space="preserve"> виникає внаслідок змін та вдосконалення виробництва або від зміни ринкового попиту на продукт чи послуги, що надаються об'єктом основних засобів;</w:t>
            </w:r>
          </w:p>
        </w:tc>
      </w:tr>
      <w:tr w:rsidR="00D7785B" w:rsidRPr="00E37C4E" w14:paraId="2CFF8499" w14:textId="77777777" w:rsidTr="00875AB1">
        <w:tc>
          <w:tcPr>
            <w:tcW w:w="6633" w:type="dxa"/>
          </w:tcPr>
          <w:p w14:paraId="711ED5AA"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115" w:name="n129"/>
            <w:bookmarkEnd w:id="115"/>
            <w:r w:rsidRPr="00D7785B">
              <w:rPr>
                <w:lang w:val="uk-UA"/>
              </w:rPr>
              <w:t>правові або подібні обмеження на використання об'єкта основних засобів.</w:t>
            </w:r>
          </w:p>
        </w:tc>
        <w:tc>
          <w:tcPr>
            <w:tcW w:w="6662" w:type="dxa"/>
          </w:tcPr>
          <w:p w14:paraId="46F7D258"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правові або подібні обмеження на використання об'єкта основних засобів.</w:t>
            </w:r>
          </w:p>
        </w:tc>
      </w:tr>
      <w:tr w:rsidR="00D7785B" w:rsidRPr="00E37C4E" w14:paraId="6AF75387" w14:textId="77777777" w:rsidTr="00875AB1">
        <w:tc>
          <w:tcPr>
            <w:tcW w:w="6633" w:type="dxa"/>
          </w:tcPr>
          <w:p w14:paraId="618EAB16" w14:textId="77777777" w:rsidR="00D12E9D" w:rsidRPr="00D7785B" w:rsidRDefault="00D12E9D" w:rsidP="00D12E9D">
            <w:pPr>
              <w:pStyle w:val="rvps2"/>
              <w:shd w:val="clear" w:color="auto" w:fill="FFFFFF"/>
              <w:spacing w:before="0" w:beforeAutospacing="0" w:after="0" w:afterAutospacing="0"/>
              <w:contextualSpacing/>
              <w:jc w:val="both"/>
              <w:rPr>
                <w:lang w:val="uk-UA"/>
              </w:rPr>
            </w:pPr>
          </w:p>
        </w:tc>
        <w:tc>
          <w:tcPr>
            <w:tcW w:w="6662" w:type="dxa"/>
          </w:tcPr>
          <w:p w14:paraId="39464C1A" w14:textId="0C1FD365" w:rsidR="00D12E9D" w:rsidRPr="00D7785B" w:rsidRDefault="00D12E9D" w:rsidP="00D12E9D">
            <w:pPr>
              <w:ind w:firstLine="284"/>
              <w:jc w:val="both"/>
              <w:rPr>
                <w:rFonts w:ascii="Times New Roman" w:eastAsia="Times New Roman" w:hAnsi="Times New Roman" w:cs="Times New Roman"/>
                <w:b/>
                <w:spacing w:val="-4"/>
                <w:sz w:val="24"/>
                <w:szCs w:val="24"/>
                <w:lang w:val="uk-UA" w:eastAsia="ru-RU"/>
              </w:rPr>
            </w:pPr>
            <w:r w:rsidRPr="00D7785B">
              <w:rPr>
                <w:rFonts w:ascii="Times New Roman" w:eastAsia="Times New Roman" w:hAnsi="Times New Roman" w:cs="Times New Roman"/>
                <w:b/>
                <w:spacing w:val="-4"/>
                <w:sz w:val="24"/>
                <w:szCs w:val="24"/>
                <w:lang w:val="uk-UA" w:eastAsia="ru-RU"/>
              </w:rPr>
              <w:t>4</w:t>
            </w:r>
            <w:r w:rsidRPr="00D7785B">
              <w:rPr>
                <w:rFonts w:ascii="Times New Roman" w:eastAsia="Times New Roman" w:hAnsi="Times New Roman" w:cs="Times New Roman"/>
                <w:b/>
                <w:spacing w:val="-4"/>
                <w:sz w:val="24"/>
                <w:szCs w:val="24"/>
                <w:vertAlign w:val="superscript"/>
                <w:lang w:val="uk-UA" w:eastAsia="ru-RU"/>
              </w:rPr>
              <w:t>1</w:t>
            </w:r>
            <w:r w:rsidRPr="00D7785B">
              <w:rPr>
                <w:rFonts w:ascii="Times New Roman" w:eastAsia="Times New Roman" w:hAnsi="Times New Roman" w:cs="Times New Roman"/>
                <w:b/>
                <w:spacing w:val="-4"/>
                <w:sz w:val="24"/>
                <w:szCs w:val="24"/>
                <w:lang w:val="uk-UA" w:eastAsia="ru-RU"/>
              </w:rPr>
              <w:t>. Строк корисного використання (експлуатації) та ліквідаційна вартість об’єкта основних засобів переглядається на кінець звітного року у разі зміни очікуваних економічних вигод від його використання.</w:t>
            </w:r>
          </w:p>
          <w:p w14:paraId="58E24481" w14:textId="77777777" w:rsidR="00D12E9D" w:rsidRPr="00D7785B" w:rsidRDefault="00D12E9D" w:rsidP="00D12E9D">
            <w:pPr>
              <w:pStyle w:val="4"/>
              <w:spacing w:before="0"/>
              <w:ind w:left="0" w:firstLine="355"/>
              <w:jc w:val="both"/>
              <w:outlineLvl w:val="3"/>
              <w:rPr>
                <w:rFonts w:cs="Times New Roman"/>
                <w:i w:val="0"/>
                <w:sz w:val="24"/>
                <w:szCs w:val="24"/>
                <w:lang w:val="uk-UA"/>
              </w:rPr>
            </w:pPr>
            <w:r w:rsidRPr="00D7785B">
              <w:rPr>
                <w:rFonts w:cs="Times New Roman"/>
                <w:i w:val="0"/>
                <w:spacing w:val="-4"/>
                <w:sz w:val="24"/>
                <w:szCs w:val="24"/>
                <w:lang w:val="uk-UA" w:eastAsia="ru-RU"/>
              </w:rPr>
              <w:t>Амортизація об’єкта основних засобів нараховується, виходячи з нового строку корисного використання та ліквідаційної вартості, починаючи з місяця, наступного за місяцем зміни строку корисного використання та/або ліквідаційної вартості.</w:t>
            </w:r>
          </w:p>
          <w:p w14:paraId="61595134" w14:textId="77777777" w:rsidR="00D12E9D" w:rsidRDefault="00D12E9D" w:rsidP="00D12E9D">
            <w:pPr>
              <w:pStyle w:val="4"/>
              <w:spacing w:before="0"/>
              <w:ind w:left="0" w:firstLine="355"/>
              <w:jc w:val="both"/>
              <w:outlineLvl w:val="3"/>
              <w:rPr>
                <w:rFonts w:cs="Times New Roman"/>
                <w:i w:val="0"/>
                <w:sz w:val="24"/>
                <w:szCs w:val="24"/>
                <w:lang w:val="uk-UA"/>
              </w:rPr>
            </w:pPr>
            <w:r w:rsidRPr="00D7785B">
              <w:rPr>
                <w:rFonts w:cs="Times New Roman"/>
                <w:i w:val="0"/>
                <w:sz w:val="24"/>
                <w:szCs w:val="24"/>
                <w:lang w:val="uk-UA"/>
              </w:rPr>
              <w:t>Зміна строку корисного використання та ліквідаційної вартості</w:t>
            </w:r>
            <w:r w:rsidRPr="00D7785B">
              <w:rPr>
                <w:rFonts w:cs="Times New Roman"/>
                <w:i w:val="0"/>
                <w:spacing w:val="-4"/>
                <w:sz w:val="24"/>
                <w:szCs w:val="24"/>
                <w:lang w:val="uk-UA" w:eastAsia="ru-RU"/>
              </w:rPr>
              <w:t xml:space="preserve"> об’єкта основних засобів</w:t>
            </w:r>
            <w:r w:rsidRPr="00D7785B">
              <w:rPr>
                <w:rFonts w:cs="Times New Roman"/>
                <w:i w:val="0"/>
                <w:sz w:val="24"/>
                <w:szCs w:val="24"/>
                <w:lang w:val="uk-UA"/>
              </w:rPr>
              <w:t xml:space="preserve"> відображаються як зміни облікових оцінок відповідно до Національного положення (стандарту) бухгалтерського обліку в державному секторі 125 «Зміни облікових оцінок та виправлення помилок», затвердженого наказом Міністерства фінансів України від 24.12.2010 №1629.</w:t>
            </w:r>
          </w:p>
          <w:p w14:paraId="7B6AF881" w14:textId="41BBEBFE" w:rsidR="00E37C4E" w:rsidRPr="00D7785B" w:rsidRDefault="00E37C4E" w:rsidP="00D12E9D">
            <w:pPr>
              <w:pStyle w:val="4"/>
              <w:spacing w:before="0"/>
              <w:ind w:left="0" w:firstLine="355"/>
              <w:jc w:val="both"/>
              <w:outlineLvl w:val="3"/>
              <w:rPr>
                <w:rFonts w:cs="Times New Roman"/>
                <w:i w:val="0"/>
                <w:sz w:val="24"/>
                <w:szCs w:val="24"/>
                <w:lang w:val="uk-UA"/>
              </w:rPr>
            </w:pPr>
          </w:p>
        </w:tc>
      </w:tr>
      <w:tr w:rsidR="00D7785B" w:rsidRPr="00E37C4E" w14:paraId="573780FA" w14:textId="77777777" w:rsidTr="00875AB1">
        <w:tc>
          <w:tcPr>
            <w:tcW w:w="6633" w:type="dxa"/>
          </w:tcPr>
          <w:p w14:paraId="7217A826"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116" w:name="n130"/>
            <w:bookmarkStart w:id="117" w:name="n197"/>
            <w:bookmarkStart w:id="118" w:name="n131"/>
            <w:bookmarkStart w:id="119" w:name="n132"/>
            <w:bookmarkStart w:id="120" w:name="n230"/>
            <w:bookmarkStart w:id="121" w:name="n133"/>
            <w:bookmarkStart w:id="122" w:name="n200"/>
            <w:bookmarkStart w:id="123" w:name="n202"/>
            <w:bookmarkStart w:id="124" w:name="n134"/>
            <w:bookmarkStart w:id="125" w:name="n231"/>
            <w:bookmarkStart w:id="126" w:name="n135"/>
            <w:bookmarkStart w:id="127" w:name="n232"/>
            <w:bookmarkStart w:id="128" w:name="n136"/>
            <w:bookmarkStart w:id="129" w:name="n13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D7785B">
              <w:rPr>
                <w:lang w:val="uk-UA"/>
              </w:rPr>
              <w:lastRenderedPageBreak/>
              <w:t>Пункт 8:</w:t>
            </w:r>
          </w:p>
          <w:p w14:paraId="109AB7C3"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 Суму нарахованої амортизації суб’єкт державного сектору відображає збільшенням суми зносу основних засобів та витрат.</w:t>
            </w:r>
          </w:p>
        </w:tc>
        <w:tc>
          <w:tcPr>
            <w:tcW w:w="6662" w:type="dxa"/>
          </w:tcPr>
          <w:p w14:paraId="1A88745B"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Пункт 8:</w:t>
            </w:r>
          </w:p>
          <w:p w14:paraId="7FE48997"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 Суму нарахованої амортизації суб’єкт державного сектору відображає збільшенням суми зносу основних засобів та витрат,</w:t>
            </w:r>
            <w:r w:rsidRPr="00D7785B">
              <w:rPr>
                <w:b/>
                <w:lang w:val="uk-UA"/>
              </w:rPr>
              <w:t xml:space="preserve"> </w:t>
            </w:r>
            <w:r w:rsidRPr="00D7785B">
              <w:rPr>
                <w:b/>
                <w:spacing w:val="-4"/>
                <w:lang w:val="uk-UA" w:eastAsia="ru-RU"/>
              </w:rPr>
              <w:t>крім випадків, коли сума нарахованої амортизації включається до собівартості іншого активу і балансової вартості такого активу.</w:t>
            </w:r>
          </w:p>
        </w:tc>
      </w:tr>
      <w:tr w:rsidR="00D7785B" w:rsidRPr="00D7785B" w14:paraId="303859D2" w14:textId="77777777" w:rsidTr="00E67ABF">
        <w:tc>
          <w:tcPr>
            <w:tcW w:w="13295" w:type="dxa"/>
            <w:gridSpan w:val="2"/>
          </w:tcPr>
          <w:p w14:paraId="14DA3552" w14:textId="30364185" w:rsidR="00D12E9D" w:rsidRPr="00D7785B" w:rsidRDefault="00D12E9D" w:rsidP="00D12E9D">
            <w:pPr>
              <w:pStyle w:val="rvps2"/>
              <w:shd w:val="clear" w:color="auto" w:fill="FFFFFF"/>
              <w:spacing w:before="0" w:beforeAutospacing="0" w:after="0" w:afterAutospacing="0"/>
              <w:contextualSpacing/>
              <w:jc w:val="center"/>
              <w:rPr>
                <w:lang w:val="uk-UA"/>
              </w:rPr>
            </w:pPr>
            <w:bookmarkStart w:id="130" w:name="n138"/>
            <w:bookmarkStart w:id="131" w:name="n139"/>
            <w:bookmarkStart w:id="132" w:name="n140"/>
            <w:bookmarkStart w:id="133" w:name="n141"/>
            <w:bookmarkStart w:id="134" w:name="n142"/>
            <w:bookmarkStart w:id="135" w:name="n143"/>
            <w:bookmarkEnd w:id="130"/>
            <w:bookmarkEnd w:id="131"/>
            <w:bookmarkEnd w:id="132"/>
            <w:bookmarkEnd w:id="133"/>
            <w:bookmarkEnd w:id="134"/>
            <w:bookmarkEnd w:id="135"/>
            <w:r w:rsidRPr="00D7785B">
              <w:rPr>
                <w:rStyle w:val="rvts15"/>
                <w:b/>
                <w:bCs/>
                <w:lang w:val="uk-UA"/>
              </w:rPr>
              <w:t>VI. Вибуття основних засобів</w:t>
            </w:r>
          </w:p>
        </w:tc>
      </w:tr>
      <w:tr w:rsidR="00D7785B" w:rsidRPr="00E37C4E" w14:paraId="7083AAF2" w14:textId="77777777" w:rsidTr="00875AB1">
        <w:tc>
          <w:tcPr>
            <w:tcW w:w="6633" w:type="dxa"/>
          </w:tcPr>
          <w:p w14:paraId="595A7A39" w14:textId="611A19A4" w:rsidR="00D12E9D" w:rsidRPr="00D7785B" w:rsidRDefault="00D12E9D" w:rsidP="00D12E9D">
            <w:pPr>
              <w:pStyle w:val="rvps2"/>
              <w:shd w:val="clear" w:color="auto" w:fill="FFFFFF"/>
              <w:spacing w:before="0" w:beforeAutospacing="0" w:after="0" w:afterAutospacing="0"/>
              <w:contextualSpacing/>
              <w:jc w:val="both"/>
              <w:rPr>
                <w:lang w:val="uk-UA"/>
              </w:rPr>
            </w:pPr>
            <w:bookmarkStart w:id="136" w:name="n144"/>
            <w:bookmarkStart w:id="137" w:name="n203"/>
            <w:bookmarkStart w:id="138" w:name="n145"/>
            <w:bookmarkStart w:id="139" w:name="n146"/>
            <w:bookmarkEnd w:id="136"/>
            <w:bookmarkEnd w:id="137"/>
            <w:bookmarkEnd w:id="138"/>
            <w:bookmarkEnd w:id="139"/>
            <w:r w:rsidRPr="00D7785B">
              <w:rPr>
                <w:lang w:val="uk-UA"/>
              </w:rPr>
              <w:t>Пункт 3:</w:t>
            </w:r>
          </w:p>
          <w:p w14:paraId="7F0FB113"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У разі вибуття об'єкта основних засобів з балансу списуються його первісна (переоцінена), балансова вартість та сума </w:t>
            </w:r>
            <w:r w:rsidRPr="00D7785B">
              <w:rPr>
                <w:strike/>
                <w:lang w:val="uk-UA"/>
              </w:rPr>
              <w:t>накопиченого</w:t>
            </w:r>
            <w:r w:rsidRPr="00D7785B">
              <w:rPr>
                <w:lang w:val="uk-UA"/>
              </w:rPr>
              <w:t xml:space="preserve"> зносу.</w:t>
            </w:r>
          </w:p>
        </w:tc>
        <w:tc>
          <w:tcPr>
            <w:tcW w:w="6662" w:type="dxa"/>
          </w:tcPr>
          <w:p w14:paraId="180913FA" w14:textId="7D503DD1"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Пункт 3:</w:t>
            </w:r>
          </w:p>
          <w:p w14:paraId="2F500ADB"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У разі вибуття об'єкта основних засобів з балансу списуються його первісна (переоцінена), балансова вартість та сума зносу.</w:t>
            </w:r>
          </w:p>
        </w:tc>
      </w:tr>
      <w:tr w:rsidR="00D7785B" w:rsidRPr="00E37C4E" w14:paraId="292462E9" w14:textId="77777777" w:rsidTr="00E67ABF">
        <w:tc>
          <w:tcPr>
            <w:tcW w:w="13295" w:type="dxa"/>
            <w:gridSpan w:val="2"/>
          </w:tcPr>
          <w:p w14:paraId="612F2495" w14:textId="099516C6" w:rsidR="00D12E9D" w:rsidRPr="00D7785B" w:rsidRDefault="00D12E9D" w:rsidP="00D12E9D">
            <w:pPr>
              <w:pStyle w:val="rvps2"/>
              <w:shd w:val="clear" w:color="auto" w:fill="FFFFFF"/>
              <w:spacing w:before="0" w:beforeAutospacing="0" w:after="0" w:afterAutospacing="0"/>
              <w:contextualSpacing/>
              <w:jc w:val="center"/>
              <w:rPr>
                <w:lang w:val="uk-UA"/>
              </w:rPr>
            </w:pPr>
            <w:bookmarkStart w:id="140" w:name="n204"/>
            <w:bookmarkStart w:id="141" w:name="n205"/>
            <w:bookmarkStart w:id="142" w:name="n206"/>
            <w:bookmarkStart w:id="143" w:name="n233"/>
            <w:bookmarkStart w:id="144" w:name="n238"/>
            <w:bookmarkStart w:id="145" w:name="n234"/>
            <w:bookmarkStart w:id="146" w:name="n235"/>
            <w:bookmarkStart w:id="147" w:name="n236"/>
            <w:bookmarkStart w:id="148" w:name="n239"/>
            <w:bookmarkStart w:id="149" w:name="n147"/>
            <w:bookmarkStart w:id="150" w:name="n148"/>
            <w:bookmarkEnd w:id="140"/>
            <w:bookmarkEnd w:id="141"/>
            <w:bookmarkEnd w:id="142"/>
            <w:bookmarkEnd w:id="143"/>
            <w:bookmarkEnd w:id="144"/>
            <w:bookmarkEnd w:id="145"/>
            <w:bookmarkEnd w:id="146"/>
            <w:bookmarkEnd w:id="147"/>
            <w:bookmarkEnd w:id="148"/>
            <w:bookmarkEnd w:id="149"/>
            <w:bookmarkEnd w:id="150"/>
            <w:r w:rsidRPr="00D7785B">
              <w:rPr>
                <w:rStyle w:val="rvts15"/>
                <w:b/>
                <w:bCs/>
                <w:lang w:val="uk-UA"/>
              </w:rPr>
              <w:t>VII. Розкриття інформації про основні засоби у примітках до фінансової звітності</w:t>
            </w:r>
          </w:p>
        </w:tc>
      </w:tr>
      <w:tr w:rsidR="00D7785B" w:rsidRPr="00E37C4E" w14:paraId="4A850C98" w14:textId="77777777" w:rsidTr="00875AB1">
        <w:tc>
          <w:tcPr>
            <w:tcW w:w="6633" w:type="dxa"/>
          </w:tcPr>
          <w:p w14:paraId="73F3581D" w14:textId="77777777" w:rsidR="00D12E9D" w:rsidRPr="00D7785B" w:rsidRDefault="00D12E9D" w:rsidP="00D12E9D">
            <w:pPr>
              <w:pStyle w:val="rvps2"/>
              <w:shd w:val="clear" w:color="auto" w:fill="FFFFFF"/>
              <w:spacing w:before="0" w:beforeAutospacing="0" w:after="0" w:afterAutospacing="0"/>
              <w:contextualSpacing/>
              <w:jc w:val="both"/>
              <w:rPr>
                <w:lang w:val="uk-UA"/>
              </w:rPr>
            </w:pPr>
            <w:bookmarkStart w:id="151" w:name="n149"/>
            <w:bookmarkEnd w:id="151"/>
            <w:r w:rsidRPr="00D7785B">
              <w:rPr>
                <w:lang w:val="uk-UA"/>
              </w:rPr>
              <w:t xml:space="preserve">Підпункт 1.1: </w:t>
            </w:r>
          </w:p>
          <w:p w14:paraId="598837B6"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Первісна (переоцінена) вартість та сума </w:t>
            </w:r>
            <w:r w:rsidRPr="00D7785B">
              <w:rPr>
                <w:strike/>
                <w:lang w:val="uk-UA"/>
              </w:rPr>
              <w:t>накопиченого</w:t>
            </w:r>
            <w:r w:rsidRPr="00D7785B">
              <w:rPr>
                <w:lang w:val="uk-UA"/>
              </w:rPr>
              <w:t xml:space="preserve"> зносу на початок та кінець звітного року.</w:t>
            </w:r>
          </w:p>
        </w:tc>
        <w:tc>
          <w:tcPr>
            <w:tcW w:w="6662" w:type="dxa"/>
          </w:tcPr>
          <w:p w14:paraId="59CE1F9A"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 xml:space="preserve">Підпункт 1.1: </w:t>
            </w:r>
          </w:p>
          <w:p w14:paraId="539F32A8" w14:textId="77777777" w:rsidR="00D12E9D" w:rsidRPr="00D7785B" w:rsidRDefault="00D12E9D" w:rsidP="00D12E9D">
            <w:pPr>
              <w:pStyle w:val="rvps2"/>
              <w:shd w:val="clear" w:color="auto" w:fill="FFFFFF"/>
              <w:spacing w:before="0" w:beforeAutospacing="0" w:after="0" w:afterAutospacing="0"/>
              <w:contextualSpacing/>
              <w:jc w:val="both"/>
              <w:rPr>
                <w:lang w:val="uk-UA"/>
              </w:rPr>
            </w:pPr>
            <w:r w:rsidRPr="00D7785B">
              <w:rPr>
                <w:lang w:val="uk-UA"/>
              </w:rPr>
              <w:t>Первісна (переоцінена) вартість та сума зносу на початок та кінець звітного року.</w:t>
            </w:r>
          </w:p>
        </w:tc>
      </w:tr>
    </w:tbl>
    <w:p w14:paraId="55082F4A" w14:textId="77777777" w:rsidR="00875AB1" w:rsidRPr="00D7785B" w:rsidRDefault="00875AB1" w:rsidP="00A713BF">
      <w:pPr>
        <w:tabs>
          <w:tab w:val="left" w:pos="3570"/>
        </w:tabs>
        <w:spacing w:after="0" w:line="240" w:lineRule="auto"/>
        <w:jc w:val="both"/>
        <w:rPr>
          <w:rFonts w:ascii="Times New Roman" w:hAnsi="Times New Roman" w:cs="Times New Roman"/>
          <w:b/>
          <w:sz w:val="24"/>
          <w:szCs w:val="24"/>
          <w:lang w:val="ru-RU"/>
        </w:rPr>
      </w:pPr>
      <w:bookmarkStart w:id="152" w:name="n207"/>
      <w:bookmarkStart w:id="153" w:name="n150"/>
      <w:bookmarkStart w:id="154" w:name="n209"/>
      <w:bookmarkStart w:id="155" w:name="n208"/>
      <w:bookmarkStart w:id="156" w:name="n151"/>
      <w:bookmarkStart w:id="157" w:name="n152"/>
      <w:bookmarkStart w:id="158" w:name="n210"/>
      <w:bookmarkStart w:id="159" w:name="n153"/>
      <w:bookmarkStart w:id="160" w:name="n154"/>
      <w:bookmarkStart w:id="161" w:name="n155"/>
      <w:bookmarkStart w:id="162" w:name="n211"/>
      <w:bookmarkStart w:id="163" w:name="n156"/>
      <w:bookmarkStart w:id="164" w:name="n157"/>
      <w:bookmarkStart w:id="165" w:name="n212"/>
      <w:bookmarkStart w:id="166" w:name="n158"/>
      <w:bookmarkStart w:id="167" w:name="n213"/>
      <w:bookmarkStart w:id="168" w:name="n159"/>
      <w:bookmarkStart w:id="169" w:name="n214"/>
      <w:bookmarkStart w:id="170" w:name="n217"/>
      <w:bookmarkStart w:id="171" w:name="n221"/>
      <w:bookmarkStart w:id="172" w:name="n21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B8866D1" w14:textId="698B190D" w:rsidR="00A713BF" w:rsidRPr="00D7785B" w:rsidRDefault="00A713BF" w:rsidP="0013741D">
      <w:pPr>
        <w:tabs>
          <w:tab w:val="left" w:pos="3570"/>
        </w:tabs>
        <w:spacing w:after="0" w:line="240" w:lineRule="auto"/>
        <w:ind w:firstLine="426"/>
        <w:jc w:val="both"/>
        <w:rPr>
          <w:rFonts w:ascii="Times New Roman" w:hAnsi="Times New Roman" w:cs="Times New Roman"/>
          <w:b/>
          <w:sz w:val="24"/>
          <w:szCs w:val="24"/>
          <w:lang w:val="ru-RU"/>
        </w:rPr>
      </w:pPr>
    </w:p>
    <w:p w14:paraId="33D9EDC9" w14:textId="0F8ADA34" w:rsidR="00E67ABF" w:rsidRPr="00D7785B" w:rsidRDefault="00E67ABF" w:rsidP="0013741D">
      <w:pPr>
        <w:tabs>
          <w:tab w:val="left" w:pos="3570"/>
        </w:tabs>
        <w:spacing w:after="0" w:line="240" w:lineRule="auto"/>
        <w:ind w:firstLine="426"/>
        <w:jc w:val="both"/>
        <w:rPr>
          <w:rFonts w:ascii="Times New Roman" w:hAnsi="Times New Roman" w:cs="Times New Roman"/>
          <w:b/>
          <w:sz w:val="24"/>
          <w:szCs w:val="24"/>
          <w:lang w:val="ru-RU"/>
        </w:rPr>
      </w:pPr>
      <w:r w:rsidRPr="00D7785B">
        <w:rPr>
          <w:rFonts w:ascii="Times New Roman" w:hAnsi="Times New Roman" w:cs="Times New Roman"/>
          <w:b/>
          <w:sz w:val="24"/>
          <w:szCs w:val="24"/>
          <w:lang w:val="ru-RU"/>
        </w:rPr>
        <w:t>Міністр фінансів України                                                                                                                                               Сергій МАРЧЕНКО</w:t>
      </w:r>
    </w:p>
    <w:p w14:paraId="19D42C11" w14:textId="6EDD6AEE" w:rsidR="00E67ABF" w:rsidRPr="00D7785B" w:rsidRDefault="00E67ABF" w:rsidP="0013741D">
      <w:pPr>
        <w:tabs>
          <w:tab w:val="left" w:pos="3570"/>
        </w:tabs>
        <w:spacing w:after="0" w:line="240" w:lineRule="auto"/>
        <w:ind w:firstLine="426"/>
        <w:jc w:val="both"/>
        <w:rPr>
          <w:rFonts w:ascii="Times New Roman" w:hAnsi="Times New Roman" w:cs="Times New Roman"/>
          <w:b/>
          <w:sz w:val="24"/>
          <w:szCs w:val="24"/>
          <w:lang w:val="ru-RU"/>
        </w:rPr>
      </w:pPr>
    </w:p>
    <w:p w14:paraId="3F5C2C37" w14:textId="3A85641B" w:rsidR="00E67ABF" w:rsidRPr="00D7785B" w:rsidRDefault="00E67ABF" w:rsidP="0013741D">
      <w:pPr>
        <w:tabs>
          <w:tab w:val="left" w:pos="3570"/>
        </w:tabs>
        <w:spacing w:after="0" w:line="240" w:lineRule="auto"/>
        <w:ind w:firstLine="426"/>
        <w:jc w:val="both"/>
        <w:rPr>
          <w:rFonts w:ascii="Times New Roman" w:hAnsi="Times New Roman" w:cs="Times New Roman"/>
          <w:b/>
          <w:sz w:val="24"/>
          <w:szCs w:val="24"/>
          <w:lang w:val="ru-RU"/>
        </w:rPr>
      </w:pPr>
      <w:r w:rsidRPr="00D7785B">
        <w:rPr>
          <w:rFonts w:ascii="Times New Roman" w:hAnsi="Times New Roman" w:cs="Times New Roman"/>
          <w:b/>
          <w:sz w:val="24"/>
          <w:szCs w:val="24"/>
          <w:lang w:val="ru-RU"/>
        </w:rPr>
        <w:t xml:space="preserve">___   </w:t>
      </w:r>
      <w:r w:rsidR="00F35A33">
        <w:rPr>
          <w:rFonts w:ascii="Times New Roman" w:hAnsi="Times New Roman" w:cs="Times New Roman"/>
          <w:b/>
          <w:sz w:val="24"/>
          <w:szCs w:val="24"/>
          <w:lang w:val="ru-RU"/>
        </w:rPr>
        <w:t xml:space="preserve">___________ </w:t>
      </w:r>
      <w:r w:rsidRPr="00D7785B">
        <w:rPr>
          <w:rFonts w:ascii="Times New Roman" w:hAnsi="Times New Roman" w:cs="Times New Roman"/>
          <w:b/>
          <w:sz w:val="24"/>
          <w:szCs w:val="24"/>
          <w:lang w:val="ru-RU"/>
        </w:rPr>
        <w:t>2022 р.</w:t>
      </w:r>
    </w:p>
    <w:p w14:paraId="2AD8B53A" w14:textId="0947AA32" w:rsidR="005038DA" w:rsidRPr="00D7785B" w:rsidRDefault="005038DA" w:rsidP="0013741D">
      <w:pPr>
        <w:spacing w:after="0" w:line="240" w:lineRule="auto"/>
        <w:ind w:firstLine="426"/>
        <w:contextualSpacing/>
        <w:jc w:val="center"/>
        <w:rPr>
          <w:rFonts w:ascii="Times New Roman" w:eastAsia="Times New Roman" w:hAnsi="Times New Roman" w:cs="Times New Roman"/>
          <w:sz w:val="24"/>
          <w:szCs w:val="24"/>
          <w:lang w:val="uk-UA"/>
        </w:rPr>
      </w:pPr>
    </w:p>
    <w:sectPr w:rsidR="005038DA" w:rsidRPr="00D7785B" w:rsidSect="00B97FD7">
      <w:headerReference w:type="default" r:id="rId8"/>
      <w:pgSz w:w="15840" w:h="12240"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0457C" w14:textId="77777777" w:rsidR="0078651A" w:rsidRDefault="0078651A">
      <w:pPr>
        <w:spacing w:after="0" w:line="240" w:lineRule="auto"/>
      </w:pPr>
      <w:r>
        <w:separator/>
      </w:r>
    </w:p>
  </w:endnote>
  <w:endnote w:type="continuationSeparator" w:id="0">
    <w:p w14:paraId="60D9C472" w14:textId="77777777" w:rsidR="0078651A" w:rsidRDefault="0078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5EE8F" w14:textId="77777777" w:rsidR="0078651A" w:rsidRDefault="0078651A">
      <w:pPr>
        <w:spacing w:after="0" w:line="240" w:lineRule="auto"/>
      </w:pPr>
      <w:r>
        <w:separator/>
      </w:r>
    </w:p>
  </w:footnote>
  <w:footnote w:type="continuationSeparator" w:id="0">
    <w:p w14:paraId="00281417" w14:textId="77777777" w:rsidR="0078651A" w:rsidRDefault="00786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669916"/>
      <w:docPartObj>
        <w:docPartGallery w:val="Page Numbers (Top of Page)"/>
        <w:docPartUnique/>
      </w:docPartObj>
    </w:sdtPr>
    <w:sdtEndPr/>
    <w:sdtContent>
      <w:p w14:paraId="1C9057B4" w14:textId="723F5E47" w:rsidR="00E67ABF" w:rsidRDefault="00E67ABF">
        <w:pPr>
          <w:pStyle w:val="a4"/>
          <w:jc w:val="center"/>
        </w:pPr>
        <w:r>
          <w:fldChar w:fldCharType="begin"/>
        </w:r>
        <w:r>
          <w:instrText>PAGE   \* MERGEFORMAT</w:instrText>
        </w:r>
        <w:r>
          <w:fldChar w:fldCharType="separate"/>
        </w:r>
        <w:r w:rsidR="000732E5" w:rsidRPr="000732E5">
          <w:rPr>
            <w:noProof/>
            <w:lang w:val="ru-RU"/>
          </w:rPr>
          <w:t>2</w:t>
        </w:r>
        <w:r>
          <w:fldChar w:fldCharType="end"/>
        </w:r>
      </w:p>
    </w:sdtContent>
  </w:sdt>
  <w:p w14:paraId="68815CFE" w14:textId="77777777" w:rsidR="00E67ABF" w:rsidRDefault="00E67A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7583"/>
    <w:multiLevelType w:val="hybridMultilevel"/>
    <w:tmpl w:val="EF565C12"/>
    <w:lvl w:ilvl="0" w:tplc="08F2AF28">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F203602"/>
    <w:multiLevelType w:val="hybridMultilevel"/>
    <w:tmpl w:val="EC26266A"/>
    <w:lvl w:ilvl="0" w:tplc="B6F44E54">
      <w:start w:val="1"/>
      <w:numFmt w:val="russianLower"/>
      <w:lvlText w:val="%1)"/>
      <w:lvlJc w:val="left"/>
      <w:pPr>
        <w:ind w:left="1100"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15:restartNumberingAfterBreak="0">
    <w:nsid w:val="5A5E22B7"/>
    <w:multiLevelType w:val="hybridMultilevel"/>
    <w:tmpl w:val="56DEE70E"/>
    <w:lvl w:ilvl="0" w:tplc="0409000F">
      <w:start w:val="3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C6EFB"/>
    <w:multiLevelType w:val="hybridMultilevel"/>
    <w:tmpl w:val="A8E87742"/>
    <w:lvl w:ilvl="0" w:tplc="B6F44E5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552DB8"/>
    <w:multiLevelType w:val="hybridMultilevel"/>
    <w:tmpl w:val="0370549A"/>
    <w:lvl w:ilvl="0" w:tplc="25C43B1C">
      <w:start w:val="35"/>
      <w:numFmt w:val="decimal"/>
      <w:lvlText w:val="%1."/>
      <w:lvlJc w:val="left"/>
      <w:pPr>
        <w:ind w:left="360" w:hanging="360"/>
      </w:pPr>
      <w:rPr>
        <w:rFonts w:hint="default"/>
        <w:b w:val="0"/>
        <w:sz w:val="23"/>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06C3614"/>
    <w:multiLevelType w:val="hybridMultilevel"/>
    <w:tmpl w:val="6F662A10"/>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F5547"/>
    <w:multiLevelType w:val="hybridMultilevel"/>
    <w:tmpl w:val="C966EF56"/>
    <w:lvl w:ilvl="0" w:tplc="0D388062">
      <w:start w:val="1"/>
      <w:numFmt w:val="decimal"/>
      <w:lvlText w:val="%1."/>
      <w:lvlJc w:val="left"/>
      <w:pPr>
        <w:ind w:left="502" w:hanging="360"/>
      </w:pPr>
      <w:rPr>
        <w:rFonts w:hint="default"/>
      </w:rPr>
    </w:lvl>
    <w:lvl w:ilvl="1" w:tplc="04190019">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EF"/>
    <w:rsid w:val="00013A7C"/>
    <w:rsid w:val="00014408"/>
    <w:rsid w:val="00015AB7"/>
    <w:rsid w:val="00022C5E"/>
    <w:rsid w:val="000233C9"/>
    <w:rsid w:val="000271AB"/>
    <w:rsid w:val="000304BB"/>
    <w:rsid w:val="0003561F"/>
    <w:rsid w:val="0004780E"/>
    <w:rsid w:val="0006212C"/>
    <w:rsid w:val="00062E12"/>
    <w:rsid w:val="00064D6B"/>
    <w:rsid w:val="000658AA"/>
    <w:rsid w:val="000732E5"/>
    <w:rsid w:val="00096CCB"/>
    <w:rsid w:val="000A4141"/>
    <w:rsid w:val="000A67B3"/>
    <w:rsid w:val="000A6D51"/>
    <w:rsid w:val="000B7DB9"/>
    <w:rsid w:val="000D101B"/>
    <w:rsid w:val="000E0EC3"/>
    <w:rsid w:val="000F6DE4"/>
    <w:rsid w:val="0010597D"/>
    <w:rsid w:val="0011725A"/>
    <w:rsid w:val="00137110"/>
    <w:rsid w:val="00137419"/>
    <w:rsid w:val="0013741D"/>
    <w:rsid w:val="00142DDE"/>
    <w:rsid w:val="00143AC4"/>
    <w:rsid w:val="00160F53"/>
    <w:rsid w:val="0016693B"/>
    <w:rsid w:val="00166F75"/>
    <w:rsid w:val="0016756F"/>
    <w:rsid w:val="001878F0"/>
    <w:rsid w:val="001A11B7"/>
    <w:rsid w:val="001C0D81"/>
    <w:rsid w:val="001C213A"/>
    <w:rsid w:val="001D4FE2"/>
    <w:rsid w:val="001D5E7F"/>
    <w:rsid w:val="001E5A12"/>
    <w:rsid w:val="001F5D89"/>
    <w:rsid w:val="001F6AA5"/>
    <w:rsid w:val="0020321E"/>
    <w:rsid w:val="0021432C"/>
    <w:rsid w:val="00225203"/>
    <w:rsid w:val="00237BB2"/>
    <w:rsid w:val="002435EA"/>
    <w:rsid w:val="002459FB"/>
    <w:rsid w:val="00290D4C"/>
    <w:rsid w:val="002923C8"/>
    <w:rsid w:val="002930C4"/>
    <w:rsid w:val="002B785B"/>
    <w:rsid w:val="002C3167"/>
    <w:rsid w:val="002C4344"/>
    <w:rsid w:val="002D7593"/>
    <w:rsid w:val="00304CD1"/>
    <w:rsid w:val="00337654"/>
    <w:rsid w:val="00352666"/>
    <w:rsid w:val="00361418"/>
    <w:rsid w:val="0037499A"/>
    <w:rsid w:val="00380267"/>
    <w:rsid w:val="00383E8D"/>
    <w:rsid w:val="0038742D"/>
    <w:rsid w:val="003A0909"/>
    <w:rsid w:val="003A0C61"/>
    <w:rsid w:val="003B525F"/>
    <w:rsid w:val="003B64B4"/>
    <w:rsid w:val="003D01BB"/>
    <w:rsid w:val="003F26B4"/>
    <w:rsid w:val="00401333"/>
    <w:rsid w:val="004020B4"/>
    <w:rsid w:val="00402732"/>
    <w:rsid w:val="004052A8"/>
    <w:rsid w:val="00417FB6"/>
    <w:rsid w:val="00423DF1"/>
    <w:rsid w:val="0043386F"/>
    <w:rsid w:val="00442C54"/>
    <w:rsid w:val="004675EA"/>
    <w:rsid w:val="00467EAE"/>
    <w:rsid w:val="00470B14"/>
    <w:rsid w:val="0048061A"/>
    <w:rsid w:val="004A588D"/>
    <w:rsid w:val="004A5895"/>
    <w:rsid w:val="004E4AF5"/>
    <w:rsid w:val="004E522D"/>
    <w:rsid w:val="005038DA"/>
    <w:rsid w:val="00507D54"/>
    <w:rsid w:val="00516E25"/>
    <w:rsid w:val="005662FE"/>
    <w:rsid w:val="0057429A"/>
    <w:rsid w:val="00590835"/>
    <w:rsid w:val="005A7B8E"/>
    <w:rsid w:val="005B6845"/>
    <w:rsid w:val="005C7955"/>
    <w:rsid w:val="005D4C15"/>
    <w:rsid w:val="005D781D"/>
    <w:rsid w:val="005E753F"/>
    <w:rsid w:val="00602E84"/>
    <w:rsid w:val="00613601"/>
    <w:rsid w:val="006225A7"/>
    <w:rsid w:val="00627567"/>
    <w:rsid w:val="0063410A"/>
    <w:rsid w:val="006533DF"/>
    <w:rsid w:val="00656AB3"/>
    <w:rsid w:val="00671853"/>
    <w:rsid w:val="00692B37"/>
    <w:rsid w:val="006B122F"/>
    <w:rsid w:val="006B39E8"/>
    <w:rsid w:val="006C6115"/>
    <w:rsid w:val="006C79C3"/>
    <w:rsid w:val="006D4221"/>
    <w:rsid w:val="006D64DC"/>
    <w:rsid w:val="006D771E"/>
    <w:rsid w:val="006E478A"/>
    <w:rsid w:val="006E4BBE"/>
    <w:rsid w:val="00706722"/>
    <w:rsid w:val="0074042E"/>
    <w:rsid w:val="007440D6"/>
    <w:rsid w:val="007514C1"/>
    <w:rsid w:val="00762C10"/>
    <w:rsid w:val="00762EB4"/>
    <w:rsid w:val="00766C74"/>
    <w:rsid w:val="007750ED"/>
    <w:rsid w:val="0078651A"/>
    <w:rsid w:val="00786D39"/>
    <w:rsid w:val="0079209C"/>
    <w:rsid w:val="007949C7"/>
    <w:rsid w:val="007A5108"/>
    <w:rsid w:val="007B3A5F"/>
    <w:rsid w:val="007B6EE8"/>
    <w:rsid w:val="007C361B"/>
    <w:rsid w:val="007C53F2"/>
    <w:rsid w:val="007C5DA1"/>
    <w:rsid w:val="007F0569"/>
    <w:rsid w:val="007F7EEF"/>
    <w:rsid w:val="00815601"/>
    <w:rsid w:val="00821978"/>
    <w:rsid w:val="008222D8"/>
    <w:rsid w:val="00823BB8"/>
    <w:rsid w:val="00836B4B"/>
    <w:rsid w:val="008404B3"/>
    <w:rsid w:val="00843430"/>
    <w:rsid w:val="00844E06"/>
    <w:rsid w:val="00851E76"/>
    <w:rsid w:val="00861C44"/>
    <w:rsid w:val="008706FD"/>
    <w:rsid w:val="008750F1"/>
    <w:rsid w:val="00875AB1"/>
    <w:rsid w:val="00882D86"/>
    <w:rsid w:val="00885B4C"/>
    <w:rsid w:val="008A49E6"/>
    <w:rsid w:val="008A4BF8"/>
    <w:rsid w:val="008B53A2"/>
    <w:rsid w:val="008C1CB8"/>
    <w:rsid w:val="008C5518"/>
    <w:rsid w:val="008E3798"/>
    <w:rsid w:val="00907780"/>
    <w:rsid w:val="00916CA9"/>
    <w:rsid w:val="00930011"/>
    <w:rsid w:val="00941FED"/>
    <w:rsid w:val="00944CBD"/>
    <w:rsid w:val="00951588"/>
    <w:rsid w:val="00953036"/>
    <w:rsid w:val="00964BA8"/>
    <w:rsid w:val="00972D62"/>
    <w:rsid w:val="00974BCA"/>
    <w:rsid w:val="00976699"/>
    <w:rsid w:val="009874EE"/>
    <w:rsid w:val="009D79BA"/>
    <w:rsid w:val="009E0357"/>
    <w:rsid w:val="009E15B2"/>
    <w:rsid w:val="009E2559"/>
    <w:rsid w:val="009E3411"/>
    <w:rsid w:val="009E6D1F"/>
    <w:rsid w:val="009F0097"/>
    <w:rsid w:val="009F5643"/>
    <w:rsid w:val="00A07FF3"/>
    <w:rsid w:val="00A15433"/>
    <w:rsid w:val="00A31458"/>
    <w:rsid w:val="00A317A5"/>
    <w:rsid w:val="00A36FD0"/>
    <w:rsid w:val="00A40238"/>
    <w:rsid w:val="00A5185A"/>
    <w:rsid w:val="00A53F4A"/>
    <w:rsid w:val="00A56294"/>
    <w:rsid w:val="00A60AC1"/>
    <w:rsid w:val="00A70C26"/>
    <w:rsid w:val="00A713BF"/>
    <w:rsid w:val="00A77BCA"/>
    <w:rsid w:val="00A77EB6"/>
    <w:rsid w:val="00AB5B5F"/>
    <w:rsid w:val="00B01AF5"/>
    <w:rsid w:val="00B12001"/>
    <w:rsid w:val="00B12A0C"/>
    <w:rsid w:val="00B12FD2"/>
    <w:rsid w:val="00B248D0"/>
    <w:rsid w:val="00B27AF5"/>
    <w:rsid w:val="00B30D70"/>
    <w:rsid w:val="00B575C7"/>
    <w:rsid w:val="00B64FF4"/>
    <w:rsid w:val="00B806CE"/>
    <w:rsid w:val="00B96046"/>
    <w:rsid w:val="00B97FD7"/>
    <w:rsid w:val="00BE0621"/>
    <w:rsid w:val="00C06A4A"/>
    <w:rsid w:val="00C13A0F"/>
    <w:rsid w:val="00C308D8"/>
    <w:rsid w:val="00C31C42"/>
    <w:rsid w:val="00C37C1E"/>
    <w:rsid w:val="00C82A45"/>
    <w:rsid w:val="00C94768"/>
    <w:rsid w:val="00CA196B"/>
    <w:rsid w:val="00CA3FC7"/>
    <w:rsid w:val="00CC09EC"/>
    <w:rsid w:val="00CC2517"/>
    <w:rsid w:val="00CD16FB"/>
    <w:rsid w:val="00CE3805"/>
    <w:rsid w:val="00CF2964"/>
    <w:rsid w:val="00CF4ED2"/>
    <w:rsid w:val="00D12E9D"/>
    <w:rsid w:val="00D1438A"/>
    <w:rsid w:val="00D408EF"/>
    <w:rsid w:val="00D41A6D"/>
    <w:rsid w:val="00D50C08"/>
    <w:rsid w:val="00D513AA"/>
    <w:rsid w:val="00D64207"/>
    <w:rsid w:val="00D7190F"/>
    <w:rsid w:val="00D76855"/>
    <w:rsid w:val="00D7785B"/>
    <w:rsid w:val="00D82A57"/>
    <w:rsid w:val="00D82DFC"/>
    <w:rsid w:val="00D9131A"/>
    <w:rsid w:val="00D96651"/>
    <w:rsid w:val="00DA06D5"/>
    <w:rsid w:val="00DA0C49"/>
    <w:rsid w:val="00DA5F50"/>
    <w:rsid w:val="00DB1B17"/>
    <w:rsid w:val="00DB2DE4"/>
    <w:rsid w:val="00DF673E"/>
    <w:rsid w:val="00DF6AC5"/>
    <w:rsid w:val="00E21043"/>
    <w:rsid w:val="00E241DF"/>
    <w:rsid w:val="00E26D46"/>
    <w:rsid w:val="00E37C4E"/>
    <w:rsid w:val="00E453E8"/>
    <w:rsid w:val="00E46633"/>
    <w:rsid w:val="00E47F1A"/>
    <w:rsid w:val="00E67ABF"/>
    <w:rsid w:val="00E708D3"/>
    <w:rsid w:val="00E84938"/>
    <w:rsid w:val="00E85089"/>
    <w:rsid w:val="00E90C55"/>
    <w:rsid w:val="00E91908"/>
    <w:rsid w:val="00E94B9C"/>
    <w:rsid w:val="00EA3475"/>
    <w:rsid w:val="00EB1C00"/>
    <w:rsid w:val="00EC7B09"/>
    <w:rsid w:val="00ED120D"/>
    <w:rsid w:val="00EE48C5"/>
    <w:rsid w:val="00EE65FD"/>
    <w:rsid w:val="00EF4378"/>
    <w:rsid w:val="00F00345"/>
    <w:rsid w:val="00F04220"/>
    <w:rsid w:val="00F249C4"/>
    <w:rsid w:val="00F321DC"/>
    <w:rsid w:val="00F334F1"/>
    <w:rsid w:val="00F35A33"/>
    <w:rsid w:val="00F548F5"/>
    <w:rsid w:val="00F617D1"/>
    <w:rsid w:val="00F65815"/>
    <w:rsid w:val="00F87EE9"/>
    <w:rsid w:val="00F93009"/>
    <w:rsid w:val="00F97931"/>
    <w:rsid w:val="00FC1879"/>
    <w:rsid w:val="00FD15A3"/>
    <w:rsid w:val="00FD4864"/>
    <w:rsid w:val="00FD4BA4"/>
    <w:rsid w:val="00FE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8AFE"/>
  <w15:chartTrackingRefBased/>
  <w15:docId w15:val="{90A6792D-4080-48A1-816F-4938397B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FD7"/>
  </w:style>
  <w:style w:type="paragraph" w:styleId="3">
    <w:name w:val="heading 3"/>
    <w:basedOn w:val="a"/>
    <w:link w:val="30"/>
    <w:uiPriority w:val="1"/>
    <w:qFormat/>
    <w:rsid w:val="00A56294"/>
    <w:pPr>
      <w:widowControl w:val="0"/>
      <w:spacing w:before="73" w:after="0" w:line="240" w:lineRule="auto"/>
      <w:ind w:left="114"/>
      <w:outlineLvl w:val="2"/>
    </w:pPr>
    <w:rPr>
      <w:rFonts w:ascii="Times New Roman" w:eastAsia="Times New Roman" w:hAnsi="Times New Roman"/>
      <w:b/>
      <w:bCs/>
      <w:sz w:val="23"/>
      <w:szCs w:val="23"/>
    </w:rPr>
  </w:style>
  <w:style w:type="paragraph" w:styleId="4">
    <w:name w:val="heading 4"/>
    <w:basedOn w:val="a"/>
    <w:link w:val="40"/>
    <w:uiPriority w:val="1"/>
    <w:qFormat/>
    <w:rsid w:val="00A56294"/>
    <w:pPr>
      <w:widowControl w:val="0"/>
      <w:spacing w:before="120" w:after="0" w:line="240" w:lineRule="auto"/>
      <w:ind w:left="528" w:hanging="414"/>
      <w:outlineLvl w:val="3"/>
    </w:pPr>
    <w:rPr>
      <w:rFonts w:ascii="Times New Roman" w:eastAsia="Times New Roman" w:hAnsi="Times New Roman"/>
      <w:b/>
      <w:bCs/>
      <w:i/>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97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B97FD7"/>
  </w:style>
  <w:style w:type="paragraph" w:customStyle="1" w:styleId="rvps2">
    <w:name w:val="rvps2"/>
    <w:basedOn w:val="a"/>
    <w:rsid w:val="00B97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B97FD7"/>
  </w:style>
  <w:style w:type="character" w:styleId="a3">
    <w:name w:val="Hyperlink"/>
    <w:basedOn w:val="a0"/>
    <w:uiPriority w:val="99"/>
    <w:semiHidden/>
    <w:unhideWhenUsed/>
    <w:rsid w:val="00B97FD7"/>
    <w:rPr>
      <w:color w:val="0000FF"/>
      <w:u w:val="single"/>
    </w:rPr>
  </w:style>
  <w:style w:type="character" w:customStyle="1" w:styleId="rvts11">
    <w:name w:val="rvts11"/>
    <w:basedOn w:val="a0"/>
    <w:rsid w:val="00B97FD7"/>
  </w:style>
  <w:style w:type="paragraph" w:styleId="a4">
    <w:name w:val="header"/>
    <w:basedOn w:val="a"/>
    <w:link w:val="a5"/>
    <w:uiPriority w:val="99"/>
    <w:unhideWhenUsed/>
    <w:rsid w:val="00B97FD7"/>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B97FD7"/>
  </w:style>
  <w:style w:type="table" w:styleId="a6">
    <w:name w:val="Table Grid"/>
    <w:basedOn w:val="a1"/>
    <w:uiPriority w:val="39"/>
    <w:rsid w:val="00B9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137419"/>
    <w:pPr>
      <w:widowControl w:val="0"/>
      <w:spacing w:before="117" w:after="0" w:line="240" w:lineRule="auto"/>
      <w:ind w:left="528" w:hanging="414"/>
    </w:pPr>
    <w:rPr>
      <w:rFonts w:ascii="Times New Roman" w:eastAsia="Times New Roman" w:hAnsi="Times New Roman"/>
      <w:sz w:val="23"/>
      <w:szCs w:val="23"/>
    </w:rPr>
  </w:style>
  <w:style w:type="character" w:customStyle="1" w:styleId="a8">
    <w:name w:val="Основной текст Знак"/>
    <w:basedOn w:val="a0"/>
    <w:link w:val="a7"/>
    <w:uiPriority w:val="1"/>
    <w:rsid w:val="00137419"/>
    <w:rPr>
      <w:rFonts w:ascii="Times New Roman" w:eastAsia="Times New Roman" w:hAnsi="Times New Roman"/>
      <w:sz w:val="23"/>
      <w:szCs w:val="23"/>
    </w:rPr>
  </w:style>
  <w:style w:type="paragraph" w:customStyle="1" w:styleId="TXT">
    <w:name w:val="TXT"/>
    <w:basedOn w:val="a"/>
    <w:uiPriority w:val="99"/>
    <w:rsid w:val="000A67B3"/>
    <w:pPr>
      <w:widowControl w:val="0"/>
      <w:tabs>
        <w:tab w:val="left" w:pos="547"/>
      </w:tabs>
      <w:suppressAutoHyphens/>
      <w:autoSpaceDE w:val="0"/>
      <w:autoSpaceDN w:val="0"/>
      <w:adjustRightInd w:val="0"/>
      <w:spacing w:before="120" w:after="0" w:line="240" w:lineRule="atLeast"/>
      <w:jc w:val="both"/>
      <w:textAlignment w:val="center"/>
    </w:pPr>
    <w:rPr>
      <w:rFonts w:ascii="TimesNewRomanPSMT" w:eastAsia="Times New Roman" w:hAnsi="TimesNewRomanPSMT" w:cs="TimesNewRomanPSMT"/>
      <w:color w:val="000000"/>
      <w:sz w:val="20"/>
      <w:szCs w:val="20"/>
      <w:lang w:val="en-GB" w:eastAsia="en-IN"/>
    </w:rPr>
  </w:style>
  <w:style w:type="paragraph" w:customStyle="1" w:styleId="NL1">
    <w:name w:val="NL1"/>
    <w:basedOn w:val="a"/>
    <w:uiPriority w:val="99"/>
    <w:rsid w:val="000A67B3"/>
    <w:pPr>
      <w:widowControl w:val="0"/>
      <w:tabs>
        <w:tab w:val="left" w:pos="0"/>
      </w:tabs>
      <w:suppressAutoHyphens/>
      <w:autoSpaceDE w:val="0"/>
      <w:autoSpaceDN w:val="0"/>
      <w:adjustRightInd w:val="0"/>
      <w:spacing w:before="40" w:after="0" w:line="240" w:lineRule="atLeast"/>
      <w:ind w:left="520" w:hanging="520"/>
      <w:textAlignment w:val="center"/>
    </w:pPr>
    <w:rPr>
      <w:rFonts w:ascii="TimesNewRomanPSMT" w:eastAsia="Times New Roman" w:hAnsi="TimesNewRomanPSMT" w:cs="TimesNewRomanPSMT"/>
      <w:color w:val="000000"/>
      <w:sz w:val="20"/>
      <w:szCs w:val="20"/>
      <w:lang w:val="en-GB" w:eastAsia="en-IN"/>
    </w:rPr>
  </w:style>
  <w:style w:type="character" w:customStyle="1" w:styleId="rvts9">
    <w:name w:val="rvts9"/>
    <w:basedOn w:val="a0"/>
    <w:rsid w:val="00762C10"/>
  </w:style>
  <w:style w:type="paragraph" w:styleId="2">
    <w:name w:val="List 2"/>
    <w:basedOn w:val="a"/>
    <w:next w:val="a7"/>
    <w:uiPriority w:val="99"/>
    <w:rsid w:val="00467EAE"/>
    <w:pPr>
      <w:widowControl w:val="0"/>
      <w:tabs>
        <w:tab w:val="left" w:pos="1240"/>
      </w:tabs>
      <w:suppressAutoHyphens/>
      <w:autoSpaceDE w:val="0"/>
      <w:autoSpaceDN w:val="0"/>
      <w:adjustRightInd w:val="0"/>
      <w:spacing w:before="120" w:after="0" w:line="240" w:lineRule="atLeast"/>
      <w:ind w:left="1240" w:hanging="500"/>
      <w:jc w:val="both"/>
      <w:textAlignment w:val="center"/>
    </w:pPr>
    <w:rPr>
      <w:rFonts w:ascii="TimesNewRomanPSMT" w:eastAsia="Times New Roman" w:hAnsi="TimesNewRomanPSMT" w:cs="TimesNewRomanPSMT"/>
      <w:color w:val="000000"/>
      <w:sz w:val="20"/>
      <w:szCs w:val="20"/>
      <w:lang w:eastAsia="en-IN"/>
    </w:rPr>
  </w:style>
  <w:style w:type="character" w:customStyle="1" w:styleId="30">
    <w:name w:val="Заголовок 3 Знак"/>
    <w:basedOn w:val="a0"/>
    <w:link w:val="3"/>
    <w:uiPriority w:val="1"/>
    <w:rsid w:val="00A56294"/>
    <w:rPr>
      <w:rFonts w:ascii="Times New Roman" w:eastAsia="Times New Roman" w:hAnsi="Times New Roman"/>
      <w:b/>
      <w:bCs/>
      <w:sz w:val="23"/>
      <w:szCs w:val="23"/>
    </w:rPr>
  </w:style>
  <w:style w:type="character" w:customStyle="1" w:styleId="40">
    <w:name w:val="Заголовок 4 Знак"/>
    <w:basedOn w:val="a0"/>
    <w:link w:val="4"/>
    <w:uiPriority w:val="1"/>
    <w:rsid w:val="00A56294"/>
    <w:rPr>
      <w:rFonts w:ascii="Times New Roman" w:eastAsia="Times New Roman" w:hAnsi="Times New Roman"/>
      <w:b/>
      <w:bCs/>
      <w:i/>
      <w:sz w:val="23"/>
      <w:szCs w:val="23"/>
    </w:rPr>
  </w:style>
  <w:style w:type="paragraph" w:customStyle="1" w:styleId="11">
    <w:name w:val="Знак Знак1 Знак Знак Знак1 Знак Знак Знак Знак Знак Знак Знак Знак Знак Знак"/>
    <w:basedOn w:val="a"/>
    <w:rsid w:val="00706722"/>
    <w:pPr>
      <w:spacing w:after="0" w:line="240" w:lineRule="auto"/>
    </w:pPr>
    <w:rPr>
      <w:rFonts w:ascii="Verdana" w:eastAsia="Times New Roman" w:hAnsi="Verdana" w:cs="Verdana"/>
      <w:sz w:val="20"/>
      <w:szCs w:val="20"/>
    </w:rPr>
  </w:style>
  <w:style w:type="paragraph" w:styleId="a9">
    <w:name w:val="Balloon Text"/>
    <w:basedOn w:val="a"/>
    <w:link w:val="aa"/>
    <w:uiPriority w:val="99"/>
    <w:semiHidden/>
    <w:unhideWhenUsed/>
    <w:rsid w:val="002923C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923C8"/>
    <w:rPr>
      <w:rFonts w:ascii="Segoe UI" w:hAnsi="Segoe UI" w:cs="Segoe UI"/>
      <w:sz w:val="18"/>
      <w:szCs w:val="18"/>
    </w:rPr>
  </w:style>
  <w:style w:type="paragraph" w:styleId="ab">
    <w:name w:val="No Spacing"/>
    <w:uiPriority w:val="1"/>
    <w:qFormat/>
    <w:rsid w:val="00974BCA"/>
    <w:pPr>
      <w:spacing w:after="0" w:line="240" w:lineRule="auto"/>
    </w:pPr>
  </w:style>
  <w:style w:type="character" w:styleId="ac">
    <w:name w:val="annotation reference"/>
    <w:basedOn w:val="a0"/>
    <w:uiPriority w:val="99"/>
    <w:semiHidden/>
    <w:unhideWhenUsed/>
    <w:rsid w:val="00A77BCA"/>
    <w:rPr>
      <w:sz w:val="16"/>
      <w:szCs w:val="16"/>
    </w:rPr>
  </w:style>
  <w:style w:type="paragraph" w:styleId="ad">
    <w:name w:val="annotation text"/>
    <w:basedOn w:val="a"/>
    <w:link w:val="ae"/>
    <w:uiPriority w:val="99"/>
    <w:unhideWhenUsed/>
    <w:rsid w:val="00A77BCA"/>
    <w:pPr>
      <w:spacing w:line="240" w:lineRule="auto"/>
    </w:pPr>
    <w:rPr>
      <w:sz w:val="20"/>
      <w:szCs w:val="20"/>
    </w:rPr>
  </w:style>
  <w:style w:type="character" w:customStyle="1" w:styleId="ae">
    <w:name w:val="Текст примечания Знак"/>
    <w:basedOn w:val="a0"/>
    <w:link w:val="ad"/>
    <w:uiPriority w:val="99"/>
    <w:rsid w:val="00A77BCA"/>
    <w:rPr>
      <w:sz w:val="20"/>
      <w:szCs w:val="20"/>
    </w:rPr>
  </w:style>
  <w:style w:type="paragraph" w:styleId="af">
    <w:name w:val="annotation subject"/>
    <w:basedOn w:val="ad"/>
    <w:next w:val="ad"/>
    <w:link w:val="af0"/>
    <w:uiPriority w:val="99"/>
    <w:semiHidden/>
    <w:unhideWhenUsed/>
    <w:rsid w:val="00A77BCA"/>
    <w:rPr>
      <w:b/>
      <w:bCs/>
    </w:rPr>
  </w:style>
  <w:style w:type="character" w:customStyle="1" w:styleId="af0">
    <w:name w:val="Тема примечания Знак"/>
    <w:basedOn w:val="ae"/>
    <w:link w:val="af"/>
    <w:uiPriority w:val="99"/>
    <w:semiHidden/>
    <w:rsid w:val="00A77BCA"/>
    <w:rPr>
      <w:b/>
      <w:bCs/>
      <w:sz w:val="20"/>
      <w:szCs w:val="20"/>
    </w:rPr>
  </w:style>
  <w:style w:type="paragraph" w:customStyle="1" w:styleId="rvps6">
    <w:name w:val="rvps6"/>
    <w:basedOn w:val="a"/>
    <w:rsid w:val="00964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964BA8"/>
  </w:style>
  <w:style w:type="paragraph" w:styleId="af1">
    <w:name w:val="Revision"/>
    <w:hidden/>
    <w:uiPriority w:val="99"/>
    <w:semiHidden/>
    <w:rsid w:val="003B525F"/>
    <w:pPr>
      <w:spacing w:after="0" w:line="240" w:lineRule="auto"/>
    </w:pPr>
  </w:style>
  <w:style w:type="character" w:customStyle="1" w:styleId="csItl">
    <w:name w:val="cs_Itl"/>
    <w:uiPriority w:val="99"/>
    <w:rsid w:val="00A36FD0"/>
    <w:rPr>
      <w:i/>
    </w:rPr>
  </w:style>
  <w:style w:type="paragraph" w:styleId="af2">
    <w:name w:val="footer"/>
    <w:basedOn w:val="a"/>
    <w:link w:val="af3"/>
    <w:uiPriority w:val="99"/>
    <w:unhideWhenUsed/>
    <w:rsid w:val="00E37C4E"/>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E3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68950">
      <w:bodyDiv w:val="1"/>
      <w:marLeft w:val="0"/>
      <w:marRight w:val="0"/>
      <w:marTop w:val="0"/>
      <w:marBottom w:val="0"/>
      <w:divBdr>
        <w:top w:val="none" w:sz="0" w:space="0" w:color="auto"/>
        <w:left w:val="none" w:sz="0" w:space="0" w:color="auto"/>
        <w:bottom w:val="none" w:sz="0" w:space="0" w:color="auto"/>
        <w:right w:val="none" w:sz="0" w:space="0" w:color="auto"/>
      </w:divBdr>
      <w:divsChild>
        <w:div w:id="128672388">
          <w:marLeft w:val="0"/>
          <w:marRight w:val="0"/>
          <w:marTop w:val="150"/>
          <w:marBottom w:val="150"/>
          <w:divBdr>
            <w:top w:val="none" w:sz="0" w:space="0" w:color="auto"/>
            <w:left w:val="none" w:sz="0" w:space="0" w:color="auto"/>
            <w:bottom w:val="none" w:sz="0" w:space="0" w:color="auto"/>
            <w:right w:val="none" w:sz="0" w:space="0" w:color="auto"/>
          </w:divBdr>
        </w:div>
      </w:divsChild>
    </w:div>
    <w:div w:id="20500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44A2F-329B-4833-A4D9-877F5DDC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8739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2022-09-06T10:05:00Z</dcterms:created>
  <dcterms:modified xsi:type="dcterms:W3CDTF">2022-09-06T10:05:00Z</dcterms:modified>
</cp:coreProperties>
</file>