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ED" w:rsidRDefault="00B83BED" w:rsidP="000837E2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lang w:val="en-US"/>
        </w:rPr>
      </w:pPr>
    </w:p>
    <w:p w:rsidR="00B14914" w:rsidRPr="00B14914" w:rsidRDefault="00B14914" w:rsidP="00B14914">
      <w:pPr>
        <w:rPr>
          <w:vanish/>
        </w:rPr>
      </w:pPr>
    </w:p>
    <w:tbl>
      <w:tblPr>
        <w:tblpPr w:leftFromText="45" w:rightFromText="45" w:vertAnchor="text" w:tblpXSpec="right" w:tblpYSpec="center"/>
        <w:tblW w:w="25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</w:tblGrid>
      <w:tr w:rsidR="00106B2F" w:rsidRPr="009D52AE" w:rsidTr="002971E6">
        <w:trPr>
          <w:trHeight w:val="1806"/>
          <w:tblCellSpacing w:w="22" w:type="dxa"/>
        </w:trPr>
        <w:tc>
          <w:tcPr>
            <w:tcW w:w="4906" w:type="pct"/>
            <w:hideMark/>
          </w:tcPr>
          <w:p w:rsidR="00106B2F" w:rsidRPr="009C6507" w:rsidRDefault="00106B2F" w:rsidP="009D52AE">
            <w:pPr>
              <w:pStyle w:val="2"/>
              <w:spacing w:before="0" w:beforeAutospacing="0" w:after="0" w:afterAutospacing="0" w:line="360" w:lineRule="auto"/>
              <w:ind w:right="-136"/>
              <w:rPr>
                <w:sz w:val="28"/>
                <w:szCs w:val="28"/>
                <w:lang w:val="uk-UA"/>
              </w:rPr>
            </w:pPr>
            <w:r w:rsidRPr="009C6507">
              <w:rPr>
                <w:b w:val="0"/>
                <w:bCs w:val="0"/>
                <w:sz w:val="28"/>
                <w:szCs w:val="28"/>
                <w:lang w:val="uk-UA"/>
              </w:rPr>
              <w:t>ЗАТВЕРДЖЕНО</w:t>
            </w:r>
            <w:r w:rsidRPr="009C6507">
              <w:rPr>
                <w:b w:val="0"/>
                <w:bCs w:val="0"/>
                <w:sz w:val="28"/>
                <w:szCs w:val="28"/>
                <w:lang w:val="uk-UA"/>
              </w:rPr>
              <w:br/>
              <w:t>Наказ Міністерства фінансів України</w:t>
            </w:r>
            <w:r w:rsidRPr="009C6507">
              <w:rPr>
                <w:sz w:val="28"/>
                <w:szCs w:val="28"/>
                <w:lang w:val="uk-UA"/>
              </w:rPr>
              <w:br/>
            </w:r>
            <w:r w:rsidR="002971E6">
              <w:rPr>
                <w:b w:val="0"/>
                <w:sz w:val="28"/>
                <w:szCs w:val="28"/>
                <w:lang w:val="uk-UA"/>
              </w:rPr>
              <w:t xml:space="preserve">14 грудня </w:t>
            </w:r>
            <w:r w:rsidRPr="009C6507">
              <w:rPr>
                <w:b w:val="0"/>
                <w:sz w:val="28"/>
                <w:szCs w:val="28"/>
                <w:lang w:val="uk-UA"/>
              </w:rPr>
              <w:t>20</w:t>
            </w:r>
            <w:r w:rsidR="00D3461B" w:rsidRPr="009C6507">
              <w:rPr>
                <w:b w:val="0"/>
                <w:sz w:val="28"/>
                <w:szCs w:val="28"/>
                <w:lang w:val="uk-UA"/>
              </w:rPr>
              <w:t>20</w:t>
            </w:r>
            <w:r w:rsidRPr="009C6507">
              <w:rPr>
                <w:b w:val="0"/>
                <w:sz w:val="28"/>
                <w:szCs w:val="28"/>
                <w:lang w:val="uk-UA"/>
              </w:rPr>
              <w:t xml:space="preserve"> року </w:t>
            </w:r>
            <w:r w:rsidR="00A622CC" w:rsidRPr="009C6507">
              <w:rPr>
                <w:b w:val="0"/>
                <w:sz w:val="28"/>
                <w:szCs w:val="28"/>
                <w:lang w:val="uk-UA"/>
              </w:rPr>
              <w:t>№</w:t>
            </w:r>
            <w:r w:rsidRPr="009C6507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2971E6">
              <w:rPr>
                <w:b w:val="0"/>
                <w:sz w:val="28"/>
                <w:szCs w:val="28"/>
                <w:lang w:val="uk-UA"/>
              </w:rPr>
              <w:t>763</w:t>
            </w:r>
          </w:p>
        </w:tc>
      </w:tr>
    </w:tbl>
    <w:p w:rsidR="00106B2F" w:rsidRDefault="00106B2F" w:rsidP="00FD5F8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4128F" w:rsidRPr="00FF7ADC" w:rsidRDefault="00F4128F" w:rsidP="00FD5F8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3621" w:rsidRDefault="00073621">
      <w:pPr>
        <w:pStyle w:val="3"/>
        <w:jc w:val="center"/>
        <w:rPr>
          <w:sz w:val="28"/>
          <w:szCs w:val="28"/>
          <w:lang w:val="uk-UA"/>
        </w:rPr>
      </w:pPr>
    </w:p>
    <w:p w:rsidR="007F2E60" w:rsidRDefault="007F2E60">
      <w:pPr>
        <w:pStyle w:val="3"/>
        <w:jc w:val="center"/>
        <w:rPr>
          <w:sz w:val="28"/>
          <w:szCs w:val="28"/>
          <w:lang w:val="uk-UA"/>
        </w:rPr>
      </w:pPr>
    </w:p>
    <w:p w:rsidR="00106B2F" w:rsidRPr="00FF7ADC" w:rsidRDefault="00106B2F">
      <w:pPr>
        <w:pStyle w:val="3"/>
        <w:jc w:val="center"/>
        <w:rPr>
          <w:sz w:val="28"/>
          <w:szCs w:val="28"/>
          <w:lang w:val="uk-UA"/>
        </w:rPr>
      </w:pPr>
      <w:r w:rsidRPr="00FF7ADC">
        <w:rPr>
          <w:sz w:val="28"/>
          <w:szCs w:val="28"/>
          <w:lang w:val="uk-UA"/>
        </w:rPr>
        <w:t>Перелік</w:t>
      </w:r>
      <w:r w:rsidRPr="00FF7ADC">
        <w:rPr>
          <w:sz w:val="28"/>
          <w:szCs w:val="28"/>
          <w:lang w:val="uk-UA"/>
        </w:rPr>
        <w:br/>
        <w:t xml:space="preserve">банків України та умови, на яких ці банки </w:t>
      </w:r>
      <w:r w:rsidR="00FF29E8" w:rsidRPr="00FF7ADC">
        <w:rPr>
          <w:sz w:val="28"/>
          <w:szCs w:val="28"/>
          <w:lang w:val="uk-UA"/>
        </w:rPr>
        <w:t xml:space="preserve">залучатимуться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</w:t>
      </w:r>
      <w:r w:rsidR="000B44CB">
        <w:rPr>
          <w:sz w:val="28"/>
          <w:szCs w:val="28"/>
          <w:lang w:val="uk-UA"/>
        </w:rPr>
        <w:t xml:space="preserve">України </w:t>
      </w:r>
      <w:r w:rsidR="00FF29E8" w:rsidRPr="00FF7ADC">
        <w:rPr>
          <w:sz w:val="28"/>
          <w:szCs w:val="28"/>
          <w:lang w:val="uk-UA"/>
        </w:rPr>
        <w:t>у 20</w:t>
      </w:r>
      <w:r w:rsidR="00F813F8">
        <w:rPr>
          <w:sz w:val="28"/>
          <w:szCs w:val="28"/>
          <w:lang w:val="uk-UA"/>
        </w:rPr>
        <w:t>21</w:t>
      </w:r>
      <w:r w:rsidR="0087089A" w:rsidRPr="00740547">
        <w:rPr>
          <w:sz w:val="28"/>
          <w:szCs w:val="28"/>
          <w:lang w:val="uk-UA"/>
        </w:rPr>
        <w:t xml:space="preserve"> </w:t>
      </w:r>
      <w:r w:rsidR="00FF29E8" w:rsidRPr="00FF7ADC">
        <w:rPr>
          <w:sz w:val="28"/>
          <w:szCs w:val="28"/>
          <w:lang w:val="uk-UA"/>
        </w:rPr>
        <w:t>–</w:t>
      </w:r>
      <w:r w:rsidR="0087089A" w:rsidRPr="00740547">
        <w:rPr>
          <w:sz w:val="28"/>
          <w:szCs w:val="28"/>
          <w:lang w:val="uk-UA"/>
        </w:rPr>
        <w:t xml:space="preserve"> </w:t>
      </w:r>
      <w:r w:rsidR="00FF29E8" w:rsidRPr="00FF7ADC">
        <w:rPr>
          <w:sz w:val="28"/>
          <w:szCs w:val="28"/>
          <w:lang w:val="uk-UA"/>
        </w:rPr>
        <w:t>202</w:t>
      </w:r>
      <w:r w:rsidR="00F813F8">
        <w:rPr>
          <w:sz w:val="28"/>
          <w:szCs w:val="28"/>
          <w:lang w:val="uk-UA"/>
        </w:rPr>
        <w:t>3</w:t>
      </w:r>
      <w:r w:rsidR="00FF29E8" w:rsidRPr="00FF7ADC">
        <w:rPr>
          <w:sz w:val="28"/>
          <w:szCs w:val="28"/>
          <w:lang w:val="uk-UA"/>
        </w:rPr>
        <w:t xml:space="preserve"> роках</w:t>
      </w:r>
    </w:p>
    <w:tbl>
      <w:tblPr>
        <w:tblW w:w="5136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5254"/>
        <w:gridCol w:w="1390"/>
        <w:gridCol w:w="2304"/>
      </w:tblGrid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b/>
                <w:bCs/>
                <w:sz w:val="28"/>
                <w:szCs w:val="28"/>
                <w:lang w:val="uk-UA"/>
              </w:rPr>
              <w:t>N</w:t>
            </w:r>
            <w:r w:rsidRPr="00FF7ADC">
              <w:rPr>
                <w:sz w:val="28"/>
                <w:szCs w:val="28"/>
                <w:lang w:val="uk-UA"/>
              </w:rPr>
              <w:br/>
            </w:r>
            <w:r w:rsidRPr="00FF7ADC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b/>
                <w:bCs/>
                <w:sz w:val="28"/>
                <w:szCs w:val="28"/>
                <w:lang w:val="uk-UA"/>
              </w:rPr>
              <w:t>Регіон/найменування банку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 w:rsidP="00D3461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b/>
                <w:bCs/>
                <w:sz w:val="28"/>
                <w:szCs w:val="28"/>
                <w:lang w:val="uk-UA"/>
              </w:rPr>
              <w:t>Гранична ціна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b/>
                <w:bCs/>
                <w:sz w:val="28"/>
                <w:szCs w:val="28"/>
                <w:lang w:val="uk-UA"/>
              </w:rPr>
              <w:t>Схема надання послуг</w:t>
            </w:r>
          </w:p>
        </w:tc>
      </w:tr>
      <w:tr w:rsidR="00106B2F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Вінницька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F813F8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 w:rsidR="00262FFA"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 w:rsidR="00262FFA"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8D42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0,16</w:t>
            </w:r>
          </w:p>
          <w:p w:rsidR="008D42C9" w:rsidRPr="008D42C9" w:rsidRDefault="008D42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 w:rsidP="00E714F0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F813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>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8D42C9" w:rsidRDefault="008D42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 w:rsidP="00E714F0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3820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>кціонерне това</w:t>
            </w:r>
            <w:r>
              <w:rPr>
                <w:color w:val="000000"/>
                <w:sz w:val="28"/>
                <w:szCs w:val="28"/>
                <w:lang w:val="uk-UA"/>
              </w:rPr>
              <w:t>риство комерційний банк «ПриватБ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>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8D42C9" w:rsidRDefault="008D42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 w:rsidP="00E714F0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F813F8" w:rsidP="003820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Публічне акціонерне товариство </w:t>
            </w:r>
            <w:r w:rsidR="00382002"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>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8D42C9" w:rsidRDefault="008D42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 w:rsidP="00E714F0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Default="00F4128F" w:rsidP="000C19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="000C199B">
              <w:rPr>
                <w:color w:val="000000"/>
                <w:sz w:val="28"/>
                <w:szCs w:val="28"/>
                <w:lang w:val="uk-UA"/>
              </w:rPr>
              <w:t>кціонерне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C199B">
              <w:rPr>
                <w:color w:val="000000"/>
                <w:sz w:val="28"/>
                <w:szCs w:val="28"/>
                <w:lang w:val="uk-UA"/>
              </w:rPr>
              <w:t>товариство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813F8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="000C199B">
              <w:rPr>
                <w:color w:val="000000"/>
                <w:sz w:val="28"/>
                <w:szCs w:val="28"/>
                <w:lang w:val="uk-UA"/>
              </w:rPr>
              <w:t>кціонерний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C199B">
              <w:rPr>
                <w:color w:val="000000"/>
                <w:sz w:val="28"/>
                <w:szCs w:val="28"/>
                <w:lang w:val="uk-UA"/>
              </w:rPr>
              <w:t>банк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62FF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>«</w:t>
            </w:r>
            <w:r w:rsidR="00F813F8">
              <w:rPr>
                <w:color w:val="000000"/>
                <w:sz w:val="28"/>
                <w:szCs w:val="28"/>
                <w:lang w:val="uk-UA"/>
              </w:rPr>
              <w:t>РАДАБАНК</w:t>
            </w:r>
            <w:r w:rsidR="00262FFA">
              <w:rPr>
                <w:color w:val="000000"/>
                <w:sz w:val="28"/>
                <w:szCs w:val="28"/>
                <w:lang w:val="uk-UA"/>
              </w:rPr>
              <w:t>»</w:t>
            </w:r>
            <w:r w:rsidR="00262FF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8D42C9" w:rsidRDefault="008D42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FA" w:rsidRPr="00FF7ADC" w:rsidRDefault="00262FFA" w:rsidP="00E714F0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106B2F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Волинська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D42C9" w:rsidRDefault="008D42C9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D42C9" w:rsidRDefault="008D42C9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106B2F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 w:rsidP="000E1D8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Дніпропетровська область</w:t>
            </w:r>
            <w:r w:rsidR="000E1D88" w:rsidRPr="00FF7AD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3.3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3.4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3.5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106B2F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B2F" w:rsidRPr="00FF7ADC" w:rsidRDefault="00106B2F" w:rsidP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Донецька область</w:t>
            </w:r>
            <w:r w:rsidR="000E1D88" w:rsidRPr="00FF7ADC">
              <w:rPr>
                <w:sz w:val="28"/>
                <w:szCs w:val="28"/>
                <w:lang w:val="uk-UA"/>
              </w:rPr>
              <w:t xml:space="preserve"> </w:t>
            </w:r>
            <w:r w:rsidR="000E1D88" w:rsidRPr="00FF7AD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Житомирська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5.2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5.3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8F7210" w:rsidRDefault="008F7210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Закарпатська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7C07FB" w:rsidRDefault="007C07FB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6.2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6.3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7C07FB" w:rsidRDefault="007C07FB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6.4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7C07FB" w:rsidRDefault="007C07FB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Запорізька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7.1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7C07FB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7.2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7.3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7C07FB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7.4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7C07FB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7.5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7C07FB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Івано-Франківська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1F69C6" w:rsidRDefault="001F69C6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8.3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1F69C6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Київська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9.1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9.2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9.3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9.4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Default="00F4128F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28F" w:rsidRPr="00FF7ADC" w:rsidRDefault="00F4128F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Кіровоградська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10.2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10.3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10.4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 w:rsidP="0007362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 xml:space="preserve">Луганська область 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11.2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11.3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B369CB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CB" w:rsidRPr="00FF7ADC" w:rsidRDefault="00B369C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Львівська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12.5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Миколаївська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13.1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13.2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13.3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13.4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14.5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Полтавська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15.1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15.2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15.3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15.4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Рівненська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16.1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16.2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16.3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Сумська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17.1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17.2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17.3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Тернопільська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18.5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Харківська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19.1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19.2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19.3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19.4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19.5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Херсонська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20.1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20.2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20.3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0,17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20.4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Хмельницька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21.5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Черкаська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22.1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22.2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22.3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0,17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22.4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Чернівецька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lastRenderedPageBreak/>
              <w:t>23.1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23.2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23.3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Чернігівська область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24.1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24.2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24.3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24.4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475E18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18" w:rsidRPr="00FF7ADC" w:rsidRDefault="00475E1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місто Київ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25.1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 w:rsidRPr="00A810BE">
              <w:rPr>
                <w:color w:val="000000"/>
                <w:sz w:val="28"/>
                <w:szCs w:val="28"/>
              </w:rPr>
              <w:t>А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кціонерне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товариство «Державний ощадний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25.2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«Державний експортно-імпортний банк України»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F7210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25.3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Акціонерне товариство комерційний банк «ПриватБанк»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25.4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875D54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Публічне акціонерне товариство Акціонерний банк «Південний»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CB3D4E" w:rsidRDefault="00CB3D4E" w:rsidP="00875D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  <w:tr w:rsidR="00074536" w:rsidRPr="00FF7ADC" w:rsidTr="00074536">
        <w:trPr>
          <w:tblCellSpacing w:w="22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25.5</w:t>
            </w:r>
          </w:p>
        </w:tc>
        <w:tc>
          <w:tcPr>
            <w:tcW w:w="2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0C199B" w:rsidP="00875D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Акціонерне товариство «Акціонерний банк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«РАДАБАНК»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Default="00CB3D4E" w:rsidP="00875D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54" w:rsidRPr="00FF7ADC" w:rsidRDefault="00875D54" w:rsidP="00875D54">
            <w:pPr>
              <w:pStyle w:val="a3"/>
              <w:rPr>
                <w:sz w:val="28"/>
                <w:szCs w:val="28"/>
                <w:lang w:val="uk-UA"/>
              </w:rPr>
            </w:pPr>
            <w:r w:rsidRPr="00FF7ADC">
              <w:rPr>
                <w:sz w:val="28"/>
                <w:szCs w:val="28"/>
                <w:lang w:val="uk-UA"/>
              </w:rPr>
              <w:t>Спеціальна</w:t>
            </w:r>
            <w:r w:rsidRPr="00FF7ADC">
              <w:rPr>
                <w:sz w:val="28"/>
                <w:szCs w:val="28"/>
                <w:vertAlign w:val="superscript"/>
                <w:lang w:val="uk-UA"/>
              </w:rPr>
              <w:t xml:space="preserve"> 2</w:t>
            </w:r>
          </w:p>
        </w:tc>
      </w:tr>
    </w:tbl>
    <w:p w:rsidR="00E714F0" w:rsidRPr="00E714F0" w:rsidRDefault="00E714F0" w:rsidP="00E714F0">
      <w:pPr>
        <w:rPr>
          <w:vertAlign w:val="superscript"/>
          <w:lang w:val="uk-UA"/>
        </w:rPr>
      </w:pPr>
      <w:r w:rsidRPr="00E714F0">
        <w:rPr>
          <w:vertAlign w:val="superscript"/>
          <w:lang w:val="uk-UA"/>
        </w:rPr>
        <w:t>____________</w:t>
      </w:r>
    </w:p>
    <w:p w:rsidR="00254023" w:rsidRPr="00E714F0" w:rsidRDefault="00254023" w:rsidP="00254023">
      <w:pPr>
        <w:rPr>
          <w:sz w:val="28"/>
          <w:szCs w:val="28"/>
          <w:vertAlign w:val="superscript"/>
          <w:lang w:val="uk-UA"/>
        </w:rPr>
      </w:pPr>
      <w:r w:rsidRPr="007F2E60">
        <w:rPr>
          <w:sz w:val="28"/>
          <w:szCs w:val="28"/>
          <w:vertAlign w:val="superscript"/>
          <w:lang w:val="uk-UA"/>
        </w:rPr>
        <w:t>1</w:t>
      </w:r>
      <w:r w:rsidRPr="00E714F0">
        <w:rPr>
          <w:sz w:val="28"/>
          <w:szCs w:val="28"/>
          <w:vertAlign w:val="superscript"/>
          <w:lang w:val="uk-UA"/>
        </w:rPr>
        <w:t xml:space="preserve"> У відсотках до обсягів готівки, яка видається за чеками органів Державної казначейської служби України.</w:t>
      </w:r>
    </w:p>
    <w:p w:rsidR="00254023" w:rsidRPr="00E714F0" w:rsidRDefault="00254023" w:rsidP="00254023">
      <w:pPr>
        <w:rPr>
          <w:sz w:val="28"/>
          <w:szCs w:val="28"/>
          <w:vertAlign w:val="superscript"/>
          <w:lang w:val="uk-UA"/>
        </w:rPr>
      </w:pPr>
      <w:r w:rsidRPr="00E714F0">
        <w:rPr>
          <w:sz w:val="28"/>
          <w:szCs w:val="28"/>
          <w:vertAlign w:val="superscript"/>
          <w:lang w:val="uk-UA"/>
        </w:rPr>
        <w:t xml:space="preserve">2 </w:t>
      </w:r>
      <w:proofErr w:type="spellStart"/>
      <w:r w:rsidRPr="00E714F0">
        <w:rPr>
          <w:sz w:val="28"/>
          <w:szCs w:val="28"/>
          <w:vertAlign w:val="superscript"/>
          <w:lang w:val="uk-UA"/>
        </w:rPr>
        <w:t>Безризикова</w:t>
      </w:r>
      <w:proofErr w:type="spellEnd"/>
      <w:r w:rsidRPr="00E714F0">
        <w:rPr>
          <w:sz w:val="28"/>
          <w:szCs w:val="28"/>
          <w:vertAlign w:val="superscript"/>
          <w:lang w:val="uk-UA"/>
        </w:rPr>
        <w:t xml:space="preserve"> схема, яка передбачає на кінець операційного дня банку нульовий залишок на рахунках 257 групи Плану рахунків бухгалтерського обліку банків України, затвердженого постановою Правління Національного банку України від 11 вересня 2017 року </w:t>
      </w:r>
      <w:r>
        <w:rPr>
          <w:sz w:val="28"/>
          <w:szCs w:val="28"/>
          <w:vertAlign w:val="superscript"/>
          <w:lang w:val="uk-UA"/>
        </w:rPr>
        <w:t>№</w:t>
      </w:r>
      <w:r w:rsidRPr="00E714F0">
        <w:rPr>
          <w:sz w:val="28"/>
          <w:szCs w:val="28"/>
          <w:vertAlign w:val="superscript"/>
          <w:lang w:val="uk-UA"/>
        </w:rPr>
        <w:t xml:space="preserve"> 89, відкритих на ім'я органів Державної казначейської служби України. Забезпечення роботи програмно-технічного комплексу "Клієнт Банку </w:t>
      </w:r>
      <w:r w:rsidRPr="00073621">
        <w:rPr>
          <w:sz w:val="28"/>
          <w:szCs w:val="28"/>
          <w:vertAlign w:val="superscript"/>
          <w:lang w:val="uk-UA"/>
        </w:rPr>
        <w:t>–</w:t>
      </w:r>
      <w:r w:rsidRPr="00E714F0">
        <w:rPr>
          <w:sz w:val="28"/>
          <w:szCs w:val="28"/>
          <w:vertAlign w:val="superscript"/>
          <w:lang w:val="uk-UA"/>
        </w:rPr>
        <w:t xml:space="preserve"> Банк" у режимі реального часу.</w:t>
      </w:r>
    </w:p>
    <w:p w:rsidR="00254023" w:rsidRPr="00E714F0" w:rsidRDefault="00254023" w:rsidP="00254023">
      <w:pPr>
        <w:rPr>
          <w:sz w:val="28"/>
          <w:szCs w:val="28"/>
          <w:lang w:val="uk-UA"/>
        </w:rPr>
      </w:pPr>
      <w:r w:rsidRPr="00E714F0">
        <w:rPr>
          <w:sz w:val="28"/>
          <w:szCs w:val="28"/>
          <w:vertAlign w:val="superscript"/>
          <w:lang w:val="uk-UA"/>
        </w:rPr>
        <w:t>3 Крім територій, на яких органи державної влади тимчасово не здійснюють своїх повноважень.</w:t>
      </w:r>
      <w:r w:rsidRPr="00E714F0">
        <w:rPr>
          <w:sz w:val="28"/>
          <w:szCs w:val="28"/>
          <w:lang w:val="uk-UA"/>
        </w:rPr>
        <w:t> </w:t>
      </w:r>
    </w:p>
    <w:p w:rsidR="00106B2F" w:rsidRDefault="00106B2F" w:rsidP="00E714F0">
      <w:pPr>
        <w:rPr>
          <w:sz w:val="22"/>
          <w:szCs w:val="22"/>
          <w:lang w:val="uk-UA"/>
        </w:rPr>
      </w:pPr>
      <w:r w:rsidRPr="00DC6BB1">
        <w:rPr>
          <w:sz w:val="22"/>
          <w:szCs w:val="22"/>
          <w:lang w:val="uk-UA"/>
        </w:rPr>
        <w:t> </w:t>
      </w:r>
    </w:p>
    <w:p w:rsidR="007F2E60" w:rsidRPr="00DC6BB1" w:rsidRDefault="007F2E60" w:rsidP="00E714F0">
      <w:pPr>
        <w:rPr>
          <w:sz w:val="22"/>
          <w:szCs w:val="22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6"/>
        <w:gridCol w:w="4680"/>
      </w:tblGrid>
      <w:tr w:rsidR="00106B2F" w:rsidRPr="00FF7ADC" w:rsidTr="00A013F5">
        <w:trPr>
          <w:tblCellSpacing w:w="22" w:type="dxa"/>
        </w:trPr>
        <w:tc>
          <w:tcPr>
            <w:tcW w:w="2465" w:type="pct"/>
            <w:hideMark/>
          </w:tcPr>
          <w:p w:rsidR="00106B2F" w:rsidRPr="00FF7ADC" w:rsidRDefault="00106B2F" w:rsidP="00E672C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F7ADC">
              <w:rPr>
                <w:b/>
                <w:bCs/>
                <w:sz w:val="28"/>
                <w:szCs w:val="28"/>
                <w:lang w:val="uk-UA"/>
              </w:rPr>
              <w:lastRenderedPageBreak/>
              <w:t>Директор Департаменту</w:t>
            </w:r>
            <w:r w:rsidRPr="00FF7ADC">
              <w:rPr>
                <w:sz w:val="28"/>
                <w:szCs w:val="28"/>
                <w:lang w:val="uk-UA"/>
              </w:rPr>
              <w:br/>
            </w:r>
            <w:r w:rsidRPr="00FF7ADC">
              <w:rPr>
                <w:b/>
                <w:bCs/>
                <w:sz w:val="28"/>
                <w:szCs w:val="28"/>
                <w:lang w:val="uk-UA"/>
              </w:rPr>
              <w:t>фінансової політики</w:t>
            </w:r>
          </w:p>
        </w:tc>
        <w:tc>
          <w:tcPr>
            <w:tcW w:w="2466" w:type="pct"/>
            <w:vAlign w:val="bottom"/>
            <w:hideMark/>
          </w:tcPr>
          <w:p w:rsidR="00106B2F" w:rsidRPr="00FF7ADC" w:rsidRDefault="00074536" w:rsidP="0007453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Дмитро ОЛІЙНИК</w:t>
            </w:r>
          </w:p>
        </w:tc>
      </w:tr>
    </w:tbl>
    <w:p w:rsidR="00106B2F" w:rsidRPr="00FF7ADC" w:rsidRDefault="00106B2F" w:rsidP="00A013F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106B2F" w:rsidRPr="00FF7ADC" w:rsidSect="002971E6">
      <w:headerReference w:type="default" r:id="rId7"/>
      <w:headerReference w:type="first" r:id="rId8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6C" w:rsidRDefault="004A1B6C" w:rsidP="00A013F5">
      <w:r>
        <w:separator/>
      </w:r>
    </w:p>
  </w:endnote>
  <w:endnote w:type="continuationSeparator" w:id="0">
    <w:p w:rsidR="004A1B6C" w:rsidRDefault="004A1B6C" w:rsidP="00A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6C" w:rsidRDefault="004A1B6C" w:rsidP="00A013F5">
      <w:r>
        <w:separator/>
      </w:r>
    </w:p>
  </w:footnote>
  <w:footnote w:type="continuationSeparator" w:id="0">
    <w:p w:rsidR="004A1B6C" w:rsidRDefault="004A1B6C" w:rsidP="00A0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9900"/>
      <w:docPartObj>
        <w:docPartGallery w:val="Page Numbers (Top of Page)"/>
        <w:docPartUnique/>
      </w:docPartObj>
    </w:sdtPr>
    <w:sdtEndPr/>
    <w:sdtContent>
      <w:p w:rsidR="003E6BC9" w:rsidRDefault="003E6B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8D" w:rsidRPr="0080288D">
          <w:rPr>
            <w:noProof/>
            <w:lang w:val="uk-UA"/>
          </w:rPr>
          <w:t>7</w:t>
        </w:r>
        <w:r>
          <w:fldChar w:fldCharType="end"/>
        </w:r>
      </w:p>
    </w:sdtContent>
  </w:sdt>
  <w:p w:rsidR="003E6BC9" w:rsidRDefault="003E6B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07" w:rsidRDefault="009C6507">
    <w:pPr>
      <w:pStyle w:val="a8"/>
      <w:jc w:val="center"/>
    </w:pPr>
  </w:p>
  <w:p w:rsidR="009C6507" w:rsidRDefault="009C65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5539B"/>
    <w:multiLevelType w:val="hybridMultilevel"/>
    <w:tmpl w:val="EFB82022"/>
    <w:lvl w:ilvl="0" w:tplc="34CC078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E"/>
    <w:rsid w:val="00001482"/>
    <w:rsid w:val="00013B10"/>
    <w:rsid w:val="000435AE"/>
    <w:rsid w:val="00043A6A"/>
    <w:rsid w:val="00073621"/>
    <w:rsid w:val="00074536"/>
    <w:rsid w:val="000837E2"/>
    <w:rsid w:val="000A055F"/>
    <w:rsid w:val="000A5D40"/>
    <w:rsid w:val="000B44CB"/>
    <w:rsid w:val="000C199B"/>
    <w:rsid w:val="000E1D88"/>
    <w:rsid w:val="000F5333"/>
    <w:rsid w:val="00106B2F"/>
    <w:rsid w:val="00111210"/>
    <w:rsid w:val="0013742D"/>
    <w:rsid w:val="001B1275"/>
    <w:rsid w:val="001C0384"/>
    <w:rsid w:val="001C69CB"/>
    <w:rsid w:val="001F4E76"/>
    <w:rsid w:val="001F69C6"/>
    <w:rsid w:val="00203FE6"/>
    <w:rsid w:val="002336A5"/>
    <w:rsid w:val="00234B1B"/>
    <w:rsid w:val="00254023"/>
    <w:rsid w:val="00257262"/>
    <w:rsid w:val="00262FFA"/>
    <w:rsid w:val="0028743F"/>
    <w:rsid w:val="002971E6"/>
    <w:rsid w:val="002C294E"/>
    <w:rsid w:val="00382002"/>
    <w:rsid w:val="00396E57"/>
    <w:rsid w:val="003B02CB"/>
    <w:rsid w:val="003E6BC9"/>
    <w:rsid w:val="00404012"/>
    <w:rsid w:val="00433B30"/>
    <w:rsid w:val="00472990"/>
    <w:rsid w:val="00475E18"/>
    <w:rsid w:val="004A1411"/>
    <w:rsid w:val="004A1B6C"/>
    <w:rsid w:val="004C709C"/>
    <w:rsid w:val="004D4693"/>
    <w:rsid w:val="00543904"/>
    <w:rsid w:val="00546C16"/>
    <w:rsid w:val="00585B98"/>
    <w:rsid w:val="00595AD2"/>
    <w:rsid w:val="005A2005"/>
    <w:rsid w:val="005D388C"/>
    <w:rsid w:val="005E158D"/>
    <w:rsid w:val="005E74D7"/>
    <w:rsid w:val="005F4F8C"/>
    <w:rsid w:val="0060283E"/>
    <w:rsid w:val="00740547"/>
    <w:rsid w:val="00774469"/>
    <w:rsid w:val="00780A02"/>
    <w:rsid w:val="00781B1D"/>
    <w:rsid w:val="007A2FCF"/>
    <w:rsid w:val="007A7305"/>
    <w:rsid w:val="007C07FB"/>
    <w:rsid w:val="007D0CFB"/>
    <w:rsid w:val="007F2E60"/>
    <w:rsid w:val="007F708D"/>
    <w:rsid w:val="0080288D"/>
    <w:rsid w:val="0086495E"/>
    <w:rsid w:val="0087089A"/>
    <w:rsid w:val="00875D54"/>
    <w:rsid w:val="008860F8"/>
    <w:rsid w:val="008D42C9"/>
    <w:rsid w:val="008F7210"/>
    <w:rsid w:val="0093498E"/>
    <w:rsid w:val="00982D32"/>
    <w:rsid w:val="009A0D6F"/>
    <w:rsid w:val="009B4FBB"/>
    <w:rsid w:val="009B568B"/>
    <w:rsid w:val="009C6507"/>
    <w:rsid w:val="009D52AE"/>
    <w:rsid w:val="009F3A45"/>
    <w:rsid w:val="00A013F5"/>
    <w:rsid w:val="00A50960"/>
    <w:rsid w:val="00A622CC"/>
    <w:rsid w:val="00A810BE"/>
    <w:rsid w:val="00A81CA2"/>
    <w:rsid w:val="00AB7456"/>
    <w:rsid w:val="00AC3703"/>
    <w:rsid w:val="00B05F55"/>
    <w:rsid w:val="00B14914"/>
    <w:rsid w:val="00B3067A"/>
    <w:rsid w:val="00B369CB"/>
    <w:rsid w:val="00B43FD7"/>
    <w:rsid w:val="00B650AD"/>
    <w:rsid w:val="00B83BED"/>
    <w:rsid w:val="00BA6625"/>
    <w:rsid w:val="00BD4633"/>
    <w:rsid w:val="00C531DC"/>
    <w:rsid w:val="00C7251A"/>
    <w:rsid w:val="00C90007"/>
    <w:rsid w:val="00CB3D4E"/>
    <w:rsid w:val="00CE113D"/>
    <w:rsid w:val="00D00049"/>
    <w:rsid w:val="00D25AFA"/>
    <w:rsid w:val="00D3461B"/>
    <w:rsid w:val="00D41128"/>
    <w:rsid w:val="00DC6BB1"/>
    <w:rsid w:val="00E00A9F"/>
    <w:rsid w:val="00E23063"/>
    <w:rsid w:val="00E25F0D"/>
    <w:rsid w:val="00E40F4B"/>
    <w:rsid w:val="00E4178C"/>
    <w:rsid w:val="00E672C0"/>
    <w:rsid w:val="00E714F0"/>
    <w:rsid w:val="00EA3891"/>
    <w:rsid w:val="00EB5C6F"/>
    <w:rsid w:val="00EF4384"/>
    <w:rsid w:val="00F4128F"/>
    <w:rsid w:val="00F4463F"/>
    <w:rsid w:val="00F813F8"/>
    <w:rsid w:val="00FB189A"/>
    <w:rsid w:val="00FD4FA3"/>
    <w:rsid w:val="00FD5F8B"/>
    <w:rsid w:val="00FF29E8"/>
    <w:rsid w:val="00FF499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9086-8EDF-4385-ACCA-E621B69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B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81B1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1D88"/>
    <w:pPr>
      <w:ind w:left="708"/>
    </w:pPr>
  </w:style>
  <w:style w:type="table" w:styleId="a7">
    <w:name w:val="Table Grid"/>
    <w:basedOn w:val="a1"/>
    <w:uiPriority w:val="59"/>
    <w:rsid w:val="00E2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3F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013F5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013F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013F5"/>
    <w:rPr>
      <w:sz w:val="24"/>
      <w:szCs w:val="24"/>
      <w:lang w:val="ru-RU" w:eastAsia="ru-RU"/>
    </w:rPr>
  </w:style>
  <w:style w:type="paragraph" w:customStyle="1" w:styleId="xmsonormal">
    <w:name w:val="x_msonormal"/>
    <w:basedOn w:val="a"/>
    <w:rsid w:val="00585B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8776</Characters>
  <Application>Microsoft Office Word</Application>
  <DocSecurity>0</DocSecurity>
  <Lines>73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p_sidorenko</dc:creator>
  <cp:keywords/>
  <cp:lastModifiedBy>user</cp:lastModifiedBy>
  <cp:revision>6</cp:revision>
  <cp:lastPrinted>2020-11-19T13:08:00Z</cp:lastPrinted>
  <dcterms:created xsi:type="dcterms:W3CDTF">2020-12-29T12:20:00Z</dcterms:created>
  <dcterms:modified xsi:type="dcterms:W3CDTF">2020-12-29T12:22:00Z</dcterms:modified>
</cp:coreProperties>
</file>