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10135D" w:rsidRDefault="00430885" w:rsidP="0020261B">
      <w:pPr>
        <w:jc w:val="center"/>
        <w:rPr>
          <w:b/>
          <w:bCs/>
          <w:sz w:val="28"/>
          <w:szCs w:val="28"/>
        </w:rPr>
      </w:pPr>
      <w:r w:rsidRPr="0010135D">
        <w:rPr>
          <w:b/>
          <w:bCs/>
          <w:sz w:val="28"/>
          <w:szCs w:val="28"/>
        </w:rPr>
        <w:t>ПОЯСНЮВАЛЬНА ЗАПИСКА</w:t>
      </w:r>
    </w:p>
    <w:p w:rsidR="00713A32" w:rsidRPr="0010135D" w:rsidRDefault="00713A32" w:rsidP="0020261B">
      <w:pPr>
        <w:jc w:val="center"/>
        <w:rPr>
          <w:b/>
          <w:sz w:val="28"/>
          <w:szCs w:val="28"/>
        </w:rPr>
      </w:pPr>
      <w:r w:rsidRPr="0010135D">
        <w:rPr>
          <w:b/>
          <w:sz w:val="28"/>
          <w:szCs w:val="28"/>
        </w:rPr>
        <w:t xml:space="preserve">до проекту Закону України </w:t>
      </w:r>
      <w:r w:rsidRPr="0010135D">
        <w:rPr>
          <w:b/>
          <w:sz w:val="28"/>
          <w:szCs w:val="28"/>
        </w:rPr>
        <w:br/>
        <w:t xml:space="preserve">«Про внесення змін до Податкового кодексу України щодо особливостей оподаткування податком на прибуток </w:t>
      </w:r>
      <w:r w:rsidR="00352FFC" w:rsidRPr="0010135D">
        <w:rPr>
          <w:b/>
          <w:sz w:val="28"/>
          <w:szCs w:val="28"/>
        </w:rPr>
        <w:t>підприємств</w:t>
      </w:r>
      <w:r w:rsidRPr="0010135D">
        <w:rPr>
          <w:b/>
          <w:sz w:val="28"/>
          <w:szCs w:val="28"/>
        </w:rPr>
        <w:t>»</w:t>
      </w:r>
    </w:p>
    <w:p w:rsidR="00713A32" w:rsidRPr="0010135D" w:rsidRDefault="00713A32" w:rsidP="00713A32">
      <w:pPr>
        <w:ind w:firstLine="720"/>
        <w:jc w:val="center"/>
        <w:rPr>
          <w:b/>
          <w:sz w:val="28"/>
          <w:szCs w:val="28"/>
        </w:rPr>
      </w:pPr>
    </w:p>
    <w:p w:rsidR="00A77B3E" w:rsidRPr="0010135D" w:rsidRDefault="00430885" w:rsidP="00713A32">
      <w:pPr>
        <w:ind w:firstLine="720"/>
        <w:rPr>
          <w:b/>
          <w:bCs/>
          <w:sz w:val="28"/>
          <w:szCs w:val="28"/>
        </w:rPr>
      </w:pPr>
      <w:r w:rsidRPr="0010135D">
        <w:rPr>
          <w:b/>
          <w:bCs/>
          <w:sz w:val="28"/>
          <w:szCs w:val="28"/>
        </w:rPr>
        <w:t xml:space="preserve">1. Обґрунтування необхідності прийняття </w:t>
      </w:r>
      <w:proofErr w:type="spellStart"/>
      <w:r w:rsidRPr="0010135D">
        <w:rPr>
          <w:b/>
          <w:bCs/>
          <w:sz w:val="28"/>
          <w:szCs w:val="28"/>
        </w:rPr>
        <w:t>акта</w:t>
      </w:r>
      <w:proofErr w:type="spellEnd"/>
    </w:p>
    <w:p w:rsidR="000C0DD5" w:rsidRPr="0010135D" w:rsidRDefault="000C0DD5" w:rsidP="000C0DD5">
      <w:pPr>
        <w:ind w:firstLine="720"/>
        <w:jc w:val="both"/>
        <w:rPr>
          <w:color w:val="auto"/>
          <w:sz w:val="28"/>
          <w:szCs w:val="28"/>
        </w:rPr>
      </w:pPr>
      <w:r w:rsidRPr="0010135D">
        <w:rPr>
          <w:sz w:val="28"/>
          <w:szCs w:val="28"/>
        </w:rPr>
        <w:t>Чинна класична модель оподаткування прибутку підприємств має низку недоліків, серед яких:</w:t>
      </w:r>
    </w:p>
    <w:p w:rsidR="000C0DD5" w:rsidRPr="0010135D" w:rsidRDefault="000C0DD5" w:rsidP="000C0DD5">
      <w:pPr>
        <w:ind w:firstLine="720"/>
        <w:jc w:val="both"/>
        <w:rPr>
          <w:sz w:val="28"/>
          <w:szCs w:val="28"/>
        </w:rPr>
      </w:pPr>
      <w:r w:rsidRPr="0010135D">
        <w:rPr>
          <w:sz w:val="28"/>
          <w:szCs w:val="28"/>
        </w:rPr>
        <w:t xml:space="preserve">складні правила розрахунку об'єкта оподаткування </w:t>
      </w:r>
      <w:r w:rsidRPr="0010135D">
        <w:rPr>
          <w:sz w:val="28"/>
          <w:szCs w:val="28"/>
          <w:lang w:val="ru-RU"/>
        </w:rPr>
        <w:t>(</w:t>
      </w:r>
      <w:r w:rsidRPr="0010135D">
        <w:rPr>
          <w:sz w:val="28"/>
          <w:szCs w:val="28"/>
        </w:rPr>
        <w:t>фінансовий результат як базовий показник для розрахунку об'єкта оподаткування з подальшим коригуванням на різниці);</w:t>
      </w:r>
      <w:bookmarkStart w:id="0" w:name="_GoBack"/>
      <w:bookmarkEnd w:id="0"/>
    </w:p>
    <w:p w:rsidR="000C0DD5" w:rsidRPr="0010135D" w:rsidRDefault="000C0DD5" w:rsidP="000C0DD5">
      <w:pPr>
        <w:ind w:firstLine="720"/>
        <w:jc w:val="both"/>
        <w:rPr>
          <w:sz w:val="28"/>
          <w:szCs w:val="28"/>
        </w:rPr>
      </w:pPr>
      <w:r w:rsidRPr="0010135D">
        <w:rPr>
          <w:sz w:val="28"/>
          <w:szCs w:val="28"/>
        </w:rPr>
        <w:t>необхідність ведення окремого обліку податкової амортизації;</w:t>
      </w:r>
    </w:p>
    <w:p w:rsidR="000C0DD5" w:rsidRPr="0010135D" w:rsidRDefault="000C0DD5" w:rsidP="000C0DD5">
      <w:pPr>
        <w:ind w:firstLine="720"/>
        <w:jc w:val="both"/>
        <w:rPr>
          <w:sz w:val="28"/>
          <w:szCs w:val="28"/>
        </w:rPr>
      </w:pPr>
      <w:r w:rsidRPr="0010135D">
        <w:rPr>
          <w:sz w:val="28"/>
          <w:szCs w:val="28"/>
        </w:rPr>
        <w:t>проблеми з накопиченням збитків.</w:t>
      </w:r>
    </w:p>
    <w:p w:rsidR="000C0DD5" w:rsidRPr="0010135D" w:rsidRDefault="000C0DD5" w:rsidP="000C0DD5">
      <w:pPr>
        <w:ind w:firstLine="720"/>
        <w:jc w:val="both"/>
        <w:rPr>
          <w:sz w:val="28"/>
          <w:szCs w:val="28"/>
        </w:rPr>
      </w:pPr>
      <w:r w:rsidRPr="0010135D">
        <w:rPr>
          <w:sz w:val="28"/>
          <w:szCs w:val="28"/>
        </w:rPr>
        <w:t>Водночас значною перешкодою для становлення в Україні конкурентоспроможної у глобальному вимірі національної економіки, забезпечення належної технологічної та екологічної безпеки є високий рівень зносу основних засобів.</w:t>
      </w:r>
    </w:p>
    <w:p w:rsidR="000C0DD5" w:rsidRPr="0010135D" w:rsidRDefault="000C0DD5" w:rsidP="000C0DD5">
      <w:pPr>
        <w:ind w:firstLine="709"/>
        <w:jc w:val="both"/>
        <w:rPr>
          <w:sz w:val="28"/>
          <w:szCs w:val="28"/>
        </w:rPr>
      </w:pPr>
      <w:r w:rsidRPr="0010135D">
        <w:rPr>
          <w:sz w:val="28"/>
          <w:szCs w:val="28"/>
        </w:rPr>
        <w:t>У зв'язку з цим та з метою вивільнення коштів на розвиток та модернізацію підприємств і стимулювання економічного зростання доцільним є запровадження оподаткування лише тієї частини прибутку підприємств, яка не спрямовується на розширення чи створення виробництва.</w:t>
      </w:r>
    </w:p>
    <w:p w:rsidR="000C0DD5" w:rsidRPr="0010135D" w:rsidRDefault="000C0DD5" w:rsidP="000C0DD5">
      <w:pPr>
        <w:ind w:firstLine="709"/>
        <w:jc w:val="both"/>
        <w:rPr>
          <w:sz w:val="28"/>
          <w:szCs w:val="28"/>
        </w:rPr>
      </w:pPr>
      <w:r w:rsidRPr="0010135D">
        <w:rPr>
          <w:sz w:val="28"/>
          <w:szCs w:val="28"/>
        </w:rPr>
        <w:t xml:space="preserve">Оподаткування розподіленого прибутку спрямоване на збільшення обігових коштів платників податків, можливість їх реінвестування для проведення </w:t>
      </w:r>
      <w:proofErr w:type="spellStart"/>
      <w:r w:rsidRPr="0010135D">
        <w:rPr>
          <w:sz w:val="28"/>
          <w:szCs w:val="28"/>
        </w:rPr>
        <w:t>модернізаційних</w:t>
      </w:r>
      <w:proofErr w:type="spellEnd"/>
      <w:r w:rsidRPr="0010135D">
        <w:rPr>
          <w:sz w:val="28"/>
          <w:szCs w:val="28"/>
        </w:rPr>
        <w:t xml:space="preserve"> процесів, розширення виробництва, поповнення власного капіталу, зростання рівня капіталізації підприємств та створення більш сприятливих умов для  інвестиційного клімату.</w:t>
      </w:r>
    </w:p>
    <w:p w:rsidR="000C0DD5" w:rsidRPr="0010135D" w:rsidRDefault="007A5C82" w:rsidP="000C0DD5">
      <w:pPr>
        <w:ind w:firstLine="709"/>
        <w:jc w:val="both"/>
        <w:rPr>
          <w:sz w:val="28"/>
          <w:szCs w:val="28"/>
        </w:rPr>
      </w:pPr>
      <w:r w:rsidRPr="0010135D">
        <w:rPr>
          <w:sz w:val="28"/>
          <w:szCs w:val="28"/>
        </w:rPr>
        <w:t>В</w:t>
      </w:r>
      <w:r w:rsidR="000C0DD5" w:rsidRPr="0010135D">
        <w:rPr>
          <w:sz w:val="28"/>
          <w:szCs w:val="28"/>
        </w:rPr>
        <w:t xml:space="preserve">провадження оподаткування розподіленого прибутку </w:t>
      </w:r>
      <w:r w:rsidRPr="0010135D">
        <w:rPr>
          <w:sz w:val="28"/>
          <w:szCs w:val="28"/>
        </w:rPr>
        <w:t xml:space="preserve">для усіх платників податку на прибуток підприємств </w:t>
      </w:r>
      <w:r w:rsidR="000C0DD5" w:rsidRPr="0010135D">
        <w:rPr>
          <w:sz w:val="28"/>
          <w:szCs w:val="28"/>
        </w:rPr>
        <w:t>є важливою ініціативою, яка має переваги як для бізнесу, так і держави, але й несе ризики. Ключовим ризиком є значні втрати бюджету в перші роки його запровадження.</w:t>
      </w:r>
    </w:p>
    <w:p w:rsidR="000C0DD5" w:rsidRPr="0010135D" w:rsidRDefault="000C0DD5" w:rsidP="000C0DD5">
      <w:pPr>
        <w:ind w:firstLine="709"/>
        <w:jc w:val="both"/>
        <w:rPr>
          <w:sz w:val="28"/>
          <w:szCs w:val="28"/>
        </w:rPr>
      </w:pPr>
      <w:r w:rsidRPr="0010135D">
        <w:rPr>
          <w:sz w:val="28"/>
          <w:szCs w:val="28"/>
        </w:rPr>
        <w:t>Водночас, важливою є умова щодо дотримання фіскальної нейтральності зміни  моделі оподаткування.</w:t>
      </w:r>
    </w:p>
    <w:p w:rsidR="000C0DD5" w:rsidRPr="0010135D" w:rsidRDefault="000C0DD5" w:rsidP="000C0DD5">
      <w:pPr>
        <w:ind w:firstLine="709"/>
        <w:jc w:val="both"/>
        <w:rPr>
          <w:sz w:val="28"/>
          <w:szCs w:val="28"/>
        </w:rPr>
      </w:pPr>
      <w:r w:rsidRPr="0010135D">
        <w:rPr>
          <w:sz w:val="28"/>
          <w:szCs w:val="28"/>
        </w:rPr>
        <w:t>З огляду на зазначене, запровадження моделі опода</w:t>
      </w:r>
      <w:r w:rsidR="007A5C82" w:rsidRPr="0010135D">
        <w:rPr>
          <w:sz w:val="28"/>
          <w:szCs w:val="28"/>
        </w:rPr>
        <w:t xml:space="preserve">ткування розподіленого прибутку повинно здійснюватися </w:t>
      </w:r>
      <w:r w:rsidRPr="0010135D">
        <w:rPr>
          <w:sz w:val="28"/>
          <w:szCs w:val="28"/>
        </w:rPr>
        <w:t>на умовах податкової нейтральності для бюджету та дотримання стабільності податкової системи.</w:t>
      </w:r>
    </w:p>
    <w:p w:rsidR="007A5C82" w:rsidRPr="0010135D" w:rsidRDefault="000C0DD5" w:rsidP="000C0DD5">
      <w:pPr>
        <w:ind w:firstLine="709"/>
        <w:jc w:val="both"/>
        <w:rPr>
          <w:sz w:val="28"/>
          <w:szCs w:val="28"/>
        </w:rPr>
      </w:pPr>
      <w:r w:rsidRPr="0010135D">
        <w:rPr>
          <w:sz w:val="28"/>
          <w:szCs w:val="28"/>
        </w:rPr>
        <w:t xml:space="preserve">З метою пошуку ефективного рішення </w:t>
      </w:r>
      <w:r w:rsidR="007A5C82" w:rsidRPr="0010135D">
        <w:rPr>
          <w:sz w:val="28"/>
          <w:szCs w:val="28"/>
        </w:rPr>
        <w:t xml:space="preserve">пропонується </w:t>
      </w:r>
      <w:r w:rsidRPr="0010135D">
        <w:rPr>
          <w:sz w:val="28"/>
          <w:szCs w:val="28"/>
        </w:rPr>
        <w:t>запровад</w:t>
      </w:r>
      <w:r w:rsidR="007A5C82" w:rsidRPr="0010135D">
        <w:rPr>
          <w:sz w:val="28"/>
          <w:szCs w:val="28"/>
        </w:rPr>
        <w:t xml:space="preserve">ити </w:t>
      </w:r>
      <w:r w:rsidRPr="0010135D">
        <w:rPr>
          <w:sz w:val="28"/>
          <w:szCs w:val="28"/>
        </w:rPr>
        <w:t>особливост</w:t>
      </w:r>
      <w:r w:rsidR="007A5C82" w:rsidRPr="0010135D">
        <w:rPr>
          <w:sz w:val="28"/>
          <w:szCs w:val="28"/>
        </w:rPr>
        <w:t>і</w:t>
      </w:r>
      <w:r w:rsidRPr="0010135D">
        <w:rPr>
          <w:sz w:val="28"/>
          <w:szCs w:val="28"/>
        </w:rPr>
        <w:t xml:space="preserve"> оподаткування податком на прибуток підприємств (оподаткування розподіленого прибутку)</w:t>
      </w:r>
      <w:r w:rsidR="007A5C82" w:rsidRPr="0010135D">
        <w:rPr>
          <w:sz w:val="28"/>
          <w:szCs w:val="28"/>
        </w:rPr>
        <w:t xml:space="preserve"> для </w:t>
      </w:r>
      <w:r w:rsidRPr="0010135D">
        <w:rPr>
          <w:sz w:val="28"/>
          <w:szCs w:val="28"/>
        </w:rPr>
        <w:t>платників податків – юридичних осіб в межах окремих регіонів, в яких незначні надходження податку на прибуток підприємств (Закарпатська, Кіровоградська, Тернопільська, Чернівецька, Чернігівська)</w:t>
      </w:r>
      <w:r w:rsidR="007A5C82" w:rsidRPr="0010135D">
        <w:rPr>
          <w:sz w:val="28"/>
          <w:szCs w:val="28"/>
        </w:rPr>
        <w:t>.</w:t>
      </w:r>
    </w:p>
    <w:p w:rsidR="007A5C82" w:rsidRPr="0010135D" w:rsidRDefault="007A5C82" w:rsidP="007A5C82">
      <w:pPr>
        <w:ind w:firstLine="709"/>
        <w:jc w:val="both"/>
        <w:rPr>
          <w:sz w:val="28"/>
          <w:szCs w:val="28"/>
        </w:rPr>
      </w:pPr>
      <w:r w:rsidRPr="0010135D">
        <w:rPr>
          <w:sz w:val="28"/>
          <w:szCs w:val="28"/>
        </w:rPr>
        <w:t xml:space="preserve">Слід зазначити, що питома вага надходжень податку на прибуток підприємств </w:t>
      </w:r>
      <w:r w:rsidR="00352FFC" w:rsidRPr="0010135D">
        <w:rPr>
          <w:sz w:val="28"/>
          <w:szCs w:val="28"/>
        </w:rPr>
        <w:t xml:space="preserve">кожної із </w:t>
      </w:r>
      <w:r w:rsidRPr="0010135D">
        <w:rPr>
          <w:sz w:val="28"/>
          <w:szCs w:val="28"/>
        </w:rPr>
        <w:t>зазначених областей у загальній сумі надходжень до державного бюджету цього податку</w:t>
      </w:r>
      <w:r w:rsidR="00352FFC" w:rsidRPr="0010135D">
        <w:rPr>
          <w:sz w:val="28"/>
          <w:szCs w:val="28"/>
        </w:rPr>
        <w:t xml:space="preserve"> не перевищує</w:t>
      </w:r>
      <w:r w:rsidRPr="0010135D">
        <w:rPr>
          <w:sz w:val="28"/>
          <w:szCs w:val="28"/>
        </w:rPr>
        <w:t xml:space="preserve"> </w:t>
      </w:r>
      <w:r w:rsidR="00BD2415" w:rsidRPr="0010135D">
        <w:rPr>
          <w:sz w:val="28"/>
          <w:szCs w:val="28"/>
        </w:rPr>
        <w:t>0,4</w:t>
      </w:r>
      <w:r w:rsidRPr="0010135D">
        <w:rPr>
          <w:sz w:val="28"/>
          <w:szCs w:val="28"/>
        </w:rPr>
        <w:t xml:space="preserve"> відсотка.  </w:t>
      </w:r>
    </w:p>
    <w:p w:rsidR="007A3858" w:rsidRPr="0010135D" w:rsidRDefault="007A5C82" w:rsidP="007A3858">
      <w:pPr>
        <w:ind w:firstLine="720"/>
        <w:jc w:val="both"/>
        <w:rPr>
          <w:sz w:val="28"/>
          <w:szCs w:val="28"/>
        </w:rPr>
      </w:pPr>
      <w:r w:rsidRPr="0010135D">
        <w:rPr>
          <w:sz w:val="28"/>
          <w:szCs w:val="28"/>
        </w:rPr>
        <w:lastRenderedPageBreak/>
        <w:t xml:space="preserve">Законопроектом передбачається оподаткування операцій </w:t>
      </w:r>
      <w:r w:rsidR="007A3858" w:rsidRPr="0010135D">
        <w:rPr>
          <w:sz w:val="28"/>
          <w:szCs w:val="28"/>
        </w:rPr>
        <w:t>з виплати дивідендів та прирівняних до них платежів на користь неплатників податку за окремо визначеним переліком господарських операцій за ставкою 18 відсотків, а також зберігається передбачений статтею 141 Податкового кодексу України (далі – Кодекс) порядок оподаткування доходів, отриманих нерезидентом із джерелом походження із України.</w:t>
      </w:r>
    </w:p>
    <w:p w:rsidR="007A5C82" w:rsidRPr="0010135D" w:rsidRDefault="007A5C82" w:rsidP="007A5C82">
      <w:pPr>
        <w:ind w:firstLine="720"/>
        <w:jc w:val="both"/>
        <w:rPr>
          <w:sz w:val="28"/>
          <w:szCs w:val="28"/>
        </w:rPr>
      </w:pPr>
      <w:r w:rsidRPr="0010135D">
        <w:rPr>
          <w:sz w:val="28"/>
          <w:szCs w:val="28"/>
        </w:rPr>
        <w:t xml:space="preserve">Зазначене запроваджується без ризику мінімізації податкових зобов’язань, оскільки ставка податку на прибуток </w:t>
      </w:r>
      <w:r w:rsidR="00BD2415" w:rsidRPr="0010135D">
        <w:rPr>
          <w:sz w:val="28"/>
          <w:szCs w:val="28"/>
        </w:rPr>
        <w:t xml:space="preserve">підприємств </w:t>
      </w:r>
      <w:r w:rsidRPr="0010135D">
        <w:rPr>
          <w:sz w:val="28"/>
          <w:szCs w:val="28"/>
        </w:rPr>
        <w:t xml:space="preserve">для платників, які будуть застосовувати визначені цим законопроектом особливості, буде уніфікованою та складатиме 18 відсотків. </w:t>
      </w:r>
    </w:p>
    <w:p w:rsidR="007A5C82" w:rsidRPr="0010135D" w:rsidRDefault="007A5C82" w:rsidP="007A5C82">
      <w:pPr>
        <w:ind w:firstLine="709"/>
        <w:jc w:val="both"/>
        <w:rPr>
          <w:bCs/>
          <w:sz w:val="28"/>
          <w:szCs w:val="28"/>
        </w:rPr>
      </w:pPr>
      <w:r w:rsidRPr="0010135D">
        <w:rPr>
          <w:bCs/>
          <w:sz w:val="28"/>
          <w:szCs w:val="28"/>
        </w:rPr>
        <w:t xml:space="preserve">Запропонований підхід оподаткування </w:t>
      </w:r>
      <w:proofErr w:type="spellStart"/>
      <w:r w:rsidRPr="0010135D">
        <w:rPr>
          <w:bCs/>
          <w:sz w:val="28"/>
          <w:szCs w:val="28"/>
        </w:rPr>
        <w:t>надасть</w:t>
      </w:r>
      <w:proofErr w:type="spellEnd"/>
      <w:r w:rsidRPr="0010135D">
        <w:rPr>
          <w:bCs/>
          <w:sz w:val="28"/>
          <w:szCs w:val="28"/>
        </w:rPr>
        <w:t xml:space="preserve"> можливість підвищити виробничий потенціал цих областей за рахунок внутрішніх інвестиційних ресурсів з одночасним забезпеченням балансу бюджетних надходжень податку. Крім того відібране коло платників не створить будь-якого ризику переструктурування бізнес-середовища на території зазначених регіонів та країни в цілому.</w:t>
      </w:r>
    </w:p>
    <w:p w:rsidR="00A77B3E" w:rsidRPr="0010135D" w:rsidRDefault="00A77B3E">
      <w:pPr>
        <w:ind w:firstLine="720"/>
        <w:jc w:val="both"/>
        <w:rPr>
          <w:sz w:val="28"/>
          <w:szCs w:val="28"/>
        </w:rPr>
      </w:pPr>
    </w:p>
    <w:p w:rsidR="00A77B3E" w:rsidRPr="0010135D" w:rsidRDefault="00430885">
      <w:pPr>
        <w:ind w:firstLine="720"/>
        <w:jc w:val="both"/>
        <w:rPr>
          <w:b/>
          <w:bCs/>
          <w:sz w:val="28"/>
          <w:szCs w:val="28"/>
        </w:rPr>
      </w:pPr>
      <w:r w:rsidRPr="0010135D">
        <w:rPr>
          <w:b/>
          <w:bCs/>
          <w:sz w:val="28"/>
          <w:szCs w:val="28"/>
        </w:rPr>
        <w:t xml:space="preserve">2. Цілі і завдання прийняття </w:t>
      </w:r>
      <w:proofErr w:type="spellStart"/>
      <w:r w:rsidRPr="0010135D">
        <w:rPr>
          <w:b/>
          <w:bCs/>
          <w:sz w:val="28"/>
          <w:szCs w:val="28"/>
        </w:rPr>
        <w:t>акта</w:t>
      </w:r>
      <w:proofErr w:type="spellEnd"/>
    </w:p>
    <w:p w:rsidR="001D25B4" w:rsidRPr="0010135D" w:rsidRDefault="007A5C82" w:rsidP="001D25B4">
      <w:pPr>
        <w:pStyle w:val="ab"/>
        <w:ind w:left="33" w:firstLine="676"/>
        <w:jc w:val="both"/>
        <w:rPr>
          <w:sz w:val="28"/>
          <w:szCs w:val="28"/>
        </w:rPr>
      </w:pPr>
      <w:r w:rsidRPr="0010135D">
        <w:rPr>
          <w:sz w:val="28"/>
          <w:szCs w:val="28"/>
        </w:rPr>
        <w:t xml:space="preserve">Для збільшення інвестиційного потенціалу підприємств, що здійснюють діяльність на території Закарпатської, Кіровоградської, Тернопільської, Чернівецької та Чернігівської областей тимчасово, терміном на </w:t>
      </w:r>
      <w:r w:rsidR="00352FFC" w:rsidRPr="0010135D">
        <w:rPr>
          <w:sz w:val="28"/>
          <w:szCs w:val="28"/>
        </w:rPr>
        <w:t>1</w:t>
      </w:r>
      <w:r w:rsidRPr="0010135D">
        <w:rPr>
          <w:sz w:val="28"/>
          <w:szCs w:val="28"/>
        </w:rPr>
        <w:t>5 років (з 1 січня 202</w:t>
      </w:r>
      <w:r w:rsidR="00352FFC" w:rsidRPr="0010135D">
        <w:rPr>
          <w:sz w:val="28"/>
          <w:szCs w:val="28"/>
        </w:rPr>
        <w:t>1</w:t>
      </w:r>
      <w:r w:rsidRPr="0010135D">
        <w:rPr>
          <w:sz w:val="28"/>
          <w:szCs w:val="28"/>
        </w:rPr>
        <w:t xml:space="preserve"> року до 31 грудня 20</w:t>
      </w:r>
      <w:r w:rsidR="00352FFC" w:rsidRPr="0010135D">
        <w:rPr>
          <w:sz w:val="28"/>
          <w:szCs w:val="28"/>
        </w:rPr>
        <w:t>35</w:t>
      </w:r>
      <w:r w:rsidRPr="0010135D">
        <w:rPr>
          <w:sz w:val="28"/>
          <w:szCs w:val="28"/>
        </w:rPr>
        <w:t xml:space="preserve"> року) запровадити особливості оподаткування податком на прибуток підприємств таких суб’єктів, господарювання</w:t>
      </w:r>
      <w:r w:rsidR="001D25B4" w:rsidRPr="0010135D">
        <w:rPr>
          <w:sz w:val="28"/>
          <w:szCs w:val="28"/>
        </w:rPr>
        <w:t>, крім платників податків, включених до Реєстру великих платників податків</w:t>
      </w:r>
      <w:r w:rsidR="00352FFC" w:rsidRPr="0010135D">
        <w:rPr>
          <w:sz w:val="28"/>
          <w:szCs w:val="28"/>
        </w:rPr>
        <w:t xml:space="preserve">, </w:t>
      </w:r>
      <w:r w:rsidR="00CC52A2" w:rsidRPr="0010135D">
        <w:rPr>
          <w:sz w:val="28"/>
          <w:szCs w:val="28"/>
        </w:rPr>
        <w:t>та</w:t>
      </w:r>
      <w:r w:rsidR="00352FFC" w:rsidRPr="0010135D">
        <w:rPr>
          <w:sz w:val="28"/>
          <w:szCs w:val="28"/>
        </w:rPr>
        <w:t xml:space="preserve"> </w:t>
      </w:r>
      <w:r w:rsidR="001D25B4" w:rsidRPr="0010135D">
        <w:rPr>
          <w:sz w:val="28"/>
          <w:szCs w:val="28"/>
        </w:rPr>
        <w:t>суб’єктів господарювання, які утворені шляхом реорганізації (поділу, виділення) суб’єктів господарювання</w:t>
      </w:r>
      <w:r w:rsidR="00352FFC" w:rsidRPr="0010135D">
        <w:rPr>
          <w:sz w:val="28"/>
          <w:szCs w:val="28"/>
        </w:rPr>
        <w:t xml:space="preserve">, зареєстрованих </w:t>
      </w:r>
      <w:r w:rsidR="00CC52A2" w:rsidRPr="0010135D">
        <w:rPr>
          <w:sz w:val="28"/>
          <w:szCs w:val="28"/>
        </w:rPr>
        <w:t>в інших областях</w:t>
      </w:r>
      <w:r w:rsidR="001D25B4" w:rsidRPr="0010135D">
        <w:rPr>
          <w:sz w:val="28"/>
          <w:szCs w:val="28"/>
        </w:rPr>
        <w:t>.</w:t>
      </w:r>
    </w:p>
    <w:p w:rsidR="00A77B3E" w:rsidRPr="0010135D" w:rsidRDefault="00430885">
      <w:pPr>
        <w:ind w:firstLine="720"/>
        <w:jc w:val="both"/>
        <w:rPr>
          <w:sz w:val="28"/>
          <w:szCs w:val="28"/>
        </w:rPr>
      </w:pPr>
      <w:r w:rsidRPr="0010135D">
        <w:rPr>
          <w:sz w:val="28"/>
          <w:szCs w:val="28"/>
        </w:rPr>
        <w:t xml:space="preserve">Передбачене законопроектом запровадження нових правил оподаткування прибутку підприємств дасть змогу спростити ведення бізнесу, скоротити витрати платників податків на виконання податкового обов'язку та </w:t>
      </w:r>
      <w:r w:rsidR="003C6A1B" w:rsidRPr="0010135D">
        <w:rPr>
          <w:bCs/>
          <w:sz w:val="28"/>
          <w:szCs w:val="28"/>
        </w:rPr>
        <w:t xml:space="preserve">підвищити виробничий потенціал цих областей за рахунок внутрішніх інвестиційних ресурсів.  </w:t>
      </w:r>
    </w:p>
    <w:p w:rsidR="00A77B3E" w:rsidRPr="0010135D" w:rsidRDefault="00A77B3E">
      <w:pPr>
        <w:ind w:firstLine="720"/>
        <w:jc w:val="both"/>
        <w:rPr>
          <w:sz w:val="28"/>
          <w:szCs w:val="28"/>
        </w:rPr>
      </w:pPr>
    </w:p>
    <w:p w:rsidR="00A77B3E" w:rsidRPr="0010135D" w:rsidRDefault="00430885">
      <w:pPr>
        <w:ind w:firstLine="720"/>
        <w:jc w:val="both"/>
        <w:rPr>
          <w:b/>
          <w:bCs/>
          <w:sz w:val="28"/>
          <w:szCs w:val="28"/>
        </w:rPr>
      </w:pPr>
      <w:r w:rsidRPr="0010135D">
        <w:rPr>
          <w:b/>
          <w:bCs/>
          <w:sz w:val="28"/>
          <w:szCs w:val="28"/>
        </w:rPr>
        <w:t xml:space="preserve">3. Загальна характеристика і основні положення проекту </w:t>
      </w:r>
      <w:proofErr w:type="spellStart"/>
      <w:r w:rsidRPr="0010135D">
        <w:rPr>
          <w:b/>
          <w:bCs/>
          <w:sz w:val="28"/>
          <w:szCs w:val="28"/>
        </w:rPr>
        <w:t>акта</w:t>
      </w:r>
      <w:proofErr w:type="spellEnd"/>
    </w:p>
    <w:p w:rsidR="003C6A1B" w:rsidRPr="0010135D" w:rsidRDefault="00430885">
      <w:pPr>
        <w:ind w:firstLine="720"/>
        <w:jc w:val="both"/>
        <w:rPr>
          <w:sz w:val="28"/>
          <w:szCs w:val="28"/>
        </w:rPr>
      </w:pPr>
      <w:r w:rsidRPr="0010135D">
        <w:rPr>
          <w:sz w:val="28"/>
          <w:szCs w:val="28"/>
        </w:rPr>
        <w:t xml:space="preserve">Законопроект передбачає </w:t>
      </w:r>
      <w:r w:rsidR="003C6A1B" w:rsidRPr="0010135D">
        <w:rPr>
          <w:sz w:val="28"/>
          <w:szCs w:val="28"/>
        </w:rPr>
        <w:t xml:space="preserve">сплату </w:t>
      </w:r>
      <w:r w:rsidR="000C0DD5" w:rsidRPr="0010135D">
        <w:rPr>
          <w:sz w:val="28"/>
          <w:szCs w:val="28"/>
        </w:rPr>
        <w:t xml:space="preserve">підприємствами, </w:t>
      </w:r>
      <w:r w:rsidR="00CC52A2" w:rsidRPr="0010135D">
        <w:rPr>
          <w:sz w:val="28"/>
          <w:szCs w:val="28"/>
        </w:rPr>
        <w:t>які</w:t>
      </w:r>
      <w:r w:rsidR="000C0DD5" w:rsidRPr="0010135D">
        <w:rPr>
          <w:sz w:val="28"/>
          <w:szCs w:val="28"/>
        </w:rPr>
        <w:t xml:space="preserve"> </w:t>
      </w:r>
      <w:r w:rsidR="00CC52A2" w:rsidRPr="0010135D">
        <w:rPr>
          <w:sz w:val="28"/>
          <w:szCs w:val="28"/>
        </w:rPr>
        <w:t xml:space="preserve">зареєстровані та </w:t>
      </w:r>
      <w:r w:rsidR="000C0DD5" w:rsidRPr="0010135D">
        <w:rPr>
          <w:sz w:val="28"/>
          <w:szCs w:val="28"/>
        </w:rPr>
        <w:t xml:space="preserve">здійснюють діяльність на території Закарпатської, Кіровоградської, Тернопільської, Чернівецької та Чернігівської областей, </w:t>
      </w:r>
      <w:r w:rsidRPr="0010135D">
        <w:rPr>
          <w:sz w:val="28"/>
          <w:szCs w:val="28"/>
        </w:rPr>
        <w:t>податку на прибуток підприємств</w:t>
      </w:r>
      <w:r w:rsidR="003C6A1B" w:rsidRPr="0010135D">
        <w:rPr>
          <w:sz w:val="28"/>
          <w:szCs w:val="28"/>
        </w:rPr>
        <w:t xml:space="preserve"> з певними особливостями.</w:t>
      </w:r>
    </w:p>
    <w:p w:rsidR="000C0DD5" w:rsidRPr="0010135D" w:rsidRDefault="000C0DD5" w:rsidP="007A3858">
      <w:pPr>
        <w:ind w:firstLine="709"/>
        <w:jc w:val="both"/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0135D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 xml:space="preserve">Особливості оподаткування полягають у тому, що об'єктом оподаткування є операції, до яких належать операції з </w:t>
      </w:r>
      <w:r w:rsidR="007A3858" w:rsidRPr="0010135D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>операцій з виплати дивідендів та прирівняних до них платежів на користь неплатників податку за окремо визначеним переліком господарських операцій</w:t>
      </w:r>
      <w:r w:rsidRPr="0010135D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а саме:  </w:t>
      </w:r>
    </w:p>
    <w:p w:rsidR="0040538A" w:rsidRPr="0010135D" w:rsidRDefault="0040538A" w:rsidP="0040538A">
      <w:pPr>
        <w:ind w:firstLine="426"/>
        <w:jc w:val="both"/>
        <w:rPr>
          <w:bCs/>
          <w:sz w:val="28"/>
          <w:szCs w:val="28"/>
          <w:lang w:val="ru-RU"/>
        </w:rPr>
      </w:pPr>
      <w:r w:rsidRPr="0010135D">
        <w:rPr>
          <w:bCs/>
          <w:sz w:val="28"/>
          <w:szCs w:val="28"/>
        </w:rPr>
        <w:t xml:space="preserve">- </w:t>
      </w:r>
      <w:r w:rsidR="000C0DD5" w:rsidRPr="0010135D">
        <w:rPr>
          <w:bCs/>
          <w:sz w:val="28"/>
          <w:szCs w:val="28"/>
        </w:rPr>
        <w:t>юридичні особи, які не застосовують особливості оподаткування податком на прибуток</w:t>
      </w:r>
      <w:r w:rsidR="000C0DD5" w:rsidRPr="0010135D">
        <w:rPr>
          <w:bCs/>
          <w:sz w:val="28"/>
          <w:szCs w:val="28"/>
          <w:lang w:val="ru-RU"/>
        </w:rPr>
        <w:t>;</w:t>
      </w:r>
    </w:p>
    <w:p w:rsidR="0040538A" w:rsidRPr="0010135D" w:rsidRDefault="000C0DD5" w:rsidP="0040538A">
      <w:pPr>
        <w:ind w:firstLine="426"/>
        <w:jc w:val="both"/>
        <w:rPr>
          <w:bCs/>
          <w:sz w:val="28"/>
          <w:szCs w:val="28"/>
          <w:lang w:val="ru-RU"/>
        </w:rPr>
      </w:pPr>
      <w:r w:rsidRPr="0010135D">
        <w:lastRenderedPageBreak/>
        <w:t xml:space="preserve">- </w:t>
      </w:r>
      <w:r w:rsidRPr="0010135D">
        <w:rPr>
          <w:bCs/>
          <w:sz w:val="28"/>
          <w:szCs w:val="28"/>
        </w:rPr>
        <w:t>неприбуткові установи та організацій, внесені до Реєстру неприбуткових установ та організацій</w:t>
      </w:r>
      <w:r w:rsidRPr="0010135D">
        <w:rPr>
          <w:bCs/>
          <w:sz w:val="28"/>
          <w:szCs w:val="28"/>
          <w:lang w:val="ru-RU"/>
        </w:rPr>
        <w:t>;</w:t>
      </w:r>
    </w:p>
    <w:p w:rsidR="0040538A" w:rsidRPr="0010135D" w:rsidRDefault="000C0DD5" w:rsidP="0040538A">
      <w:pPr>
        <w:ind w:firstLine="426"/>
        <w:jc w:val="both"/>
        <w:rPr>
          <w:bCs/>
          <w:sz w:val="28"/>
          <w:szCs w:val="28"/>
          <w:lang w:val="ru-RU"/>
        </w:rPr>
      </w:pPr>
      <w:r w:rsidRPr="0010135D">
        <w:rPr>
          <w:bCs/>
          <w:sz w:val="28"/>
          <w:szCs w:val="28"/>
        </w:rPr>
        <w:t xml:space="preserve">- фізичні особи, в тому числі </w:t>
      </w:r>
      <w:r w:rsidRPr="0010135D">
        <w:t xml:space="preserve"> </w:t>
      </w:r>
      <w:r w:rsidRPr="0010135D">
        <w:rPr>
          <w:bCs/>
          <w:sz w:val="28"/>
          <w:szCs w:val="28"/>
        </w:rPr>
        <w:t>фізичні особи, що обрали спрощену систему оподаткування</w:t>
      </w:r>
      <w:r w:rsidRPr="0010135D">
        <w:rPr>
          <w:bCs/>
          <w:sz w:val="28"/>
          <w:szCs w:val="28"/>
          <w:lang w:val="ru-RU"/>
        </w:rPr>
        <w:t>;</w:t>
      </w:r>
    </w:p>
    <w:p w:rsidR="0040538A" w:rsidRPr="0010135D" w:rsidRDefault="000C0DD5" w:rsidP="0040538A">
      <w:pPr>
        <w:ind w:firstLine="426"/>
        <w:jc w:val="both"/>
        <w:rPr>
          <w:bCs/>
          <w:sz w:val="28"/>
          <w:szCs w:val="28"/>
        </w:rPr>
      </w:pPr>
      <w:r w:rsidRPr="0010135D">
        <w:rPr>
          <w:bCs/>
          <w:sz w:val="28"/>
          <w:szCs w:val="28"/>
        </w:rPr>
        <w:t>- юридичні особи, що обрали спрощену систему оподаткування;</w:t>
      </w:r>
    </w:p>
    <w:p w:rsidR="000C0DD5" w:rsidRPr="0010135D" w:rsidRDefault="000C0DD5" w:rsidP="0040538A">
      <w:pPr>
        <w:ind w:firstLine="426"/>
        <w:jc w:val="both"/>
        <w:rPr>
          <w:bCs/>
          <w:sz w:val="28"/>
          <w:szCs w:val="28"/>
        </w:rPr>
      </w:pPr>
      <w:r w:rsidRPr="0010135D">
        <w:rPr>
          <w:bCs/>
          <w:sz w:val="28"/>
          <w:szCs w:val="28"/>
        </w:rPr>
        <w:t>- нерезиденти.</w:t>
      </w:r>
    </w:p>
    <w:p w:rsidR="002D34BA" w:rsidRPr="0010135D" w:rsidRDefault="002D34BA" w:rsidP="0040538A">
      <w:pPr>
        <w:spacing w:before="120"/>
        <w:ind w:firstLine="360"/>
        <w:jc w:val="both"/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0135D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</w:rPr>
        <w:t>Об'єктом оподаткування є операції, до яких належать операції з:</w:t>
      </w:r>
    </w:p>
    <w:p w:rsidR="00265018" w:rsidRPr="0010135D" w:rsidRDefault="00BD2415" w:rsidP="00BD2415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10135D">
        <w:rPr>
          <w:bCs/>
          <w:sz w:val="28"/>
          <w:szCs w:val="28"/>
        </w:rPr>
        <w:t>в</w:t>
      </w:r>
      <w:r w:rsidR="00265018" w:rsidRPr="0010135D">
        <w:rPr>
          <w:bCs/>
          <w:sz w:val="28"/>
          <w:szCs w:val="28"/>
        </w:rPr>
        <w:t xml:space="preserve">иплата дивідендів, процентів, роялті неплатнику податку; </w:t>
      </w:r>
    </w:p>
    <w:p w:rsidR="00265018" w:rsidRPr="0010135D" w:rsidRDefault="00265018" w:rsidP="00BD2415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10135D">
        <w:rPr>
          <w:bCs/>
          <w:sz w:val="28"/>
          <w:szCs w:val="28"/>
        </w:rPr>
        <w:t>повернення внесків та/або інших сум власнику корпоративних прав-неплатнику податку (в сумі перевищення внесків);</w:t>
      </w:r>
    </w:p>
    <w:p w:rsidR="00265018" w:rsidRPr="0010135D" w:rsidRDefault="00265018" w:rsidP="00BD2415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10135D">
        <w:rPr>
          <w:bCs/>
          <w:sz w:val="28"/>
          <w:szCs w:val="28"/>
        </w:rPr>
        <w:t>виплата до бюджету держ</w:t>
      </w:r>
      <w:r w:rsidR="002B35C0">
        <w:rPr>
          <w:bCs/>
          <w:sz w:val="28"/>
          <w:szCs w:val="28"/>
        </w:rPr>
        <w:t xml:space="preserve">авними </w:t>
      </w:r>
      <w:r w:rsidRPr="0010135D">
        <w:rPr>
          <w:bCs/>
          <w:sz w:val="28"/>
          <w:szCs w:val="28"/>
        </w:rPr>
        <w:t xml:space="preserve">підприємствами частини чистого прибутку; </w:t>
      </w:r>
    </w:p>
    <w:p w:rsidR="00265018" w:rsidRPr="0010135D" w:rsidRDefault="00265018" w:rsidP="00BD2415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10135D">
        <w:rPr>
          <w:bCs/>
          <w:sz w:val="28"/>
          <w:szCs w:val="28"/>
        </w:rPr>
        <w:t>повернення внесків або суми, що перевищує суму внесків, неплатнику податку, що надавала майно в довірче управління чи спільну діяльність;</w:t>
      </w:r>
    </w:p>
    <w:p w:rsidR="00265018" w:rsidRPr="0010135D" w:rsidRDefault="00265018" w:rsidP="00BD2415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10135D">
        <w:rPr>
          <w:bCs/>
          <w:sz w:val="28"/>
          <w:szCs w:val="28"/>
        </w:rPr>
        <w:t xml:space="preserve">безоплатна передача майна неплатнику податку; </w:t>
      </w:r>
    </w:p>
    <w:p w:rsidR="00265018" w:rsidRPr="0010135D" w:rsidRDefault="00265018" w:rsidP="00BD2415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10135D">
        <w:rPr>
          <w:bCs/>
          <w:sz w:val="28"/>
          <w:szCs w:val="28"/>
        </w:rPr>
        <w:t xml:space="preserve">надання </w:t>
      </w:r>
      <w:proofErr w:type="spellStart"/>
      <w:r w:rsidRPr="0010135D">
        <w:rPr>
          <w:bCs/>
          <w:sz w:val="28"/>
          <w:szCs w:val="28"/>
        </w:rPr>
        <w:t>фіндопомоги</w:t>
      </w:r>
      <w:proofErr w:type="spellEnd"/>
      <w:r w:rsidRPr="0010135D">
        <w:rPr>
          <w:bCs/>
          <w:sz w:val="28"/>
          <w:szCs w:val="28"/>
        </w:rPr>
        <w:t xml:space="preserve">  неплатнику податку, якщо така фінансова допомога не підлягає поверненню,  пов'язаній </w:t>
      </w:r>
      <w:proofErr w:type="spellStart"/>
      <w:r w:rsidRPr="0010135D">
        <w:rPr>
          <w:bCs/>
          <w:sz w:val="28"/>
          <w:szCs w:val="28"/>
        </w:rPr>
        <w:t>фізособі</w:t>
      </w:r>
      <w:proofErr w:type="spellEnd"/>
      <w:r w:rsidRPr="0010135D">
        <w:rPr>
          <w:bCs/>
          <w:sz w:val="28"/>
          <w:szCs w:val="28"/>
        </w:rPr>
        <w:t xml:space="preserve"> - неплатнику податку або пов’язаній особі – нерезиденту незалежно від наявності умови про повернення,  пов'язаній </w:t>
      </w:r>
      <w:proofErr w:type="spellStart"/>
      <w:r w:rsidRPr="0010135D">
        <w:rPr>
          <w:bCs/>
          <w:sz w:val="28"/>
          <w:szCs w:val="28"/>
        </w:rPr>
        <w:t>юрособі</w:t>
      </w:r>
      <w:proofErr w:type="spellEnd"/>
      <w:r w:rsidR="002B35C0">
        <w:rPr>
          <w:bCs/>
          <w:sz w:val="28"/>
          <w:szCs w:val="28"/>
        </w:rPr>
        <w:t xml:space="preserve"> </w:t>
      </w:r>
      <w:r w:rsidRPr="0010135D">
        <w:rPr>
          <w:bCs/>
          <w:sz w:val="28"/>
          <w:szCs w:val="28"/>
        </w:rPr>
        <w:t>-</w:t>
      </w:r>
      <w:r w:rsidR="002B35C0">
        <w:rPr>
          <w:bCs/>
          <w:sz w:val="28"/>
          <w:szCs w:val="28"/>
        </w:rPr>
        <w:t xml:space="preserve"> </w:t>
      </w:r>
      <w:r w:rsidRPr="0010135D">
        <w:rPr>
          <w:bCs/>
          <w:sz w:val="28"/>
          <w:szCs w:val="28"/>
        </w:rPr>
        <w:t>неплатнику податку чи непов'язаній особі та залишається неповернутою протягом 12 місяців;</w:t>
      </w:r>
    </w:p>
    <w:p w:rsidR="00265018" w:rsidRPr="0010135D" w:rsidRDefault="00265018" w:rsidP="00BD2415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10135D">
        <w:rPr>
          <w:bCs/>
          <w:sz w:val="28"/>
          <w:szCs w:val="28"/>
        </w:rPr>
        <w:t>переказ коштів з рахунків в українських банках на рахунки платника податку, відкриті за кордоном; погашення зобов'язань , що виникли за договорами, виконання яких не призводить до зарахування коштів на рахунки платників податку в українських банках або до отримання платником податку майна, робіт, послуг; вкладення в об'єкти інвестицій (в тому числі придбанням майна), які перебувають за межами території України; переказ коштів в зв'язку з придбанням робіт (послуг) у неплатника податку</w:t>
      </w:r>
      <w:r w:rsidR="002B35C0">
        <w:rPr>
          <w:bCs/>
          <w:sz w:val="28"/>
          <w:szCs w:val="28"/>
        </w:rPr>
        <w:t xml:space="preserve"> </w:t>
      </w:r>
      <w:r w:rsidRPr="0010135D">
        <w:rPr>
          <w:bCs/>
          <w:sz w:val="28"/>
          <w:szCs w:val="28"/>
        </w:rPr>
        <w:t>–</w:t>
      </w:r>
      <w:r w:rsidR="002B35C0">
        <w:rPr>
          <w:bCs/>
          <w:sz w:val="28"/>
          <w:szCs w:val="28"/>
        </w:rPr>
        <w:t xml:space="preserve"> </w:t>
      </w:r>
      <w:r w:rsidRPr="0010135D">
        <w:rPr>
          <w:bCs/>
          <w:sz w:val="28"/>
          <w:szCs w:val="28"/>
        </w:rPr>
        <w:t>нерезидента (якщо не отримана протягом 12 місяців оплата);</w:t>
      </w:r>
    </w:p>
    <w:p w:rsidR="00265018" w:rsidRPr="0010135D" w:rsidRDefault="00265018" w:rsidP="00BD2415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10135D">
        <w:rPr>
          <w:bCs/>
          <w:sz w:val="28"/>
          <w:szCs w:val="28"/>
        </w:rPr>
        <w:t>передача майна, надання робіт, послуг  неплатнику податку, за договором, який передбачає виплату компенсації його (їх) вартості (якщо не отримана протягом 12 місяців оплата);</w:t>
      </w:r>
    </w:p>
    <w:p w:rsidR="00265018" w:rsidRPr="0010135D" w:rsidRDefault="00265018" w:rsidP="00BD2415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10135D">
        <w:rPr>
          <w:bCs/>
          <w:sz w:val="28"/>
          <w:szCs w:val="28"/>
        </w:rPr>
        <w:t xml:space="preserve"> виплата коштів та/або передача майна платником податку – резидентом, який провадить діяльність від імені, за рахунок та за дорученням нерезидента, на користь такого нерезидента в межах відповідного договору комісії, доручення, агентського договору чи аналогічних договорів;</w:t>
      </w:r>
    </w:p>
    <w:p w:rsidR="00265018" w:rsidRPr="0010135D" w:rsidRDefault="00265018" w:rsidP="00BD2415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10135D">
        <w:rPr>
          <w:bCs/>
          <w:sz w:val="28"/>
          <w:szCs w:val="28"/>
        </w:rPr>
        <w:t>виплата в якості внеску до статутного капіталу або у спільну діяльність, в довірче управління, якщо отримувачем таких коштів та/або майна є особа – неплатник податку;</w:t>
      </w:r>
    </w:p>
    <w:p w:rsidR="00265018" w:rsidRPr="0010135D" w:rsidRDefault="00265018" w:rsidP="00BD2415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10135D">
        <w:rPr>
          <w:bCs/>
          <w:sz w:val="28"/>
          <w:szCs w:val="28"/>
        </w:rPr>
        <w:t xml:space="preserve"> виплата як оплата за придбання майна (робіт, послуг) у неплатника податку, що перебуває на спрощеній системі оподаткування; </w:t>
      </w:r>
    </w:p>
    <w:p w:rsidR="00265018" w:rsidRPr="0010135D" w:rsidRDefault="00265018" w:rsidP="00BD2415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10135D">
        <w:rPr>
          <w:bCs/>
          <w:sz w:val="28"/>
          <w:szCs w:val="28"/>
        </w:rPr>
        <w:t xml:space="preserve"> операції, які визнаються контрольованими, якщо їх умови не відповідають принципу «витягнутої руки»;</w:t>
      </w:r>
    </w:p>
    <w:p w:rsidR="00265018" w:rsidRPr="0010135D" w:rsidRDefault="00265018" w:rsidP="00BD2415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10135D">
        <w:rPr>
          <w:bCs/>
          <w:sz w:val="28"/>
          <w:szCs w:val="28"/>
        </w:rPr>
        <w:lastRenderedPageBreak/>
        <w:t xml:space="preserve"> виплата коштів, що перераховуються нерезидентам у межах договорів страхування, укладених зі страховиками – нерезидентами, та у межах договорів перестрахування (в певних випадках)</w:t>
      </w:r>
      <w:r w:rsidR="00BD2415" w:rsidRPr="0010135D">
        <w:rPr>
          <w:bCs/>
          <w:sz w:val="28"/>
          <w:szCs w:val="28"/>
        </w:rPr>
        <w:t>.</w:t>
      </w:r>
    </w:p>
    <w:p w:rsidR="007A3858" w:rsidRPr="0010135D" w:rsidRDefault="007A3858" w:rsidP="002D34BA">
      <w:pPr>
        <w:ind w:firstLine="709"/>
        <w:jc w:val="both"/>
        <w:rPr>
          <w:rStyle w:val="rvts9"/>
          <w:bCs/>
          <w:color w:val="auto"/>
          <w:sz w:val="28"/>
          <w:szCs w:val="28"/>
          <w:bdr w:val="none" w:sz="0" w:space="0" w:color="auto" w:frame="1"/>
          <w:shd w:val="clear" w:color="auto" w:fill="FFFFFF"/>
        </w:rPr>
      </w:pPr>
    </w:p>
    <w:p w:rsidR="00A77B3E" w:rsidRPr="0010135D" w:rsidRDefault="00430885">
      <w:pPr>
        <w:ind w:firstLine="720"/>
        <w:jc w:val="both"/>
        <w:rPr>
          <w:b/>
          <w:bCs/>
          <w:sz w:val="28"/>
          <w:szCs w:val="28"/>
        </w:rPr>
      </w:pPr>
      <w:r w:rsidRPr="0010135D">
        <w:rPr>
          <w:b/>
          <w:bCs/>
          <w:sz w:val="28"/>
          <w:szCs w:val="28"/>
        </w:rPr>
        <w:t>4. Стан нормативно-правової бази у зазначеній сфері правового регулювання</w:t>
      </w:r>
    </w:p>
    <w:p w:rsidR="00A77B3E" w:rsidRPr="0010135D" w:rsidRDefault="00430885">
      <w:pPr>
        <w:ind w:firstLine="720"/>
        <w:jc w:val="both"/>
        <w:rPr>
          <w:sz w:val="28"/>
          <w:szCs w:val="28"/>
        </w:rPr>
      </w:pPr>
      <w:r w:rsidRPr="0010135D">
        <w:rPr>
          <w:sz w:val="28"/>
          <w:szCs w:val="28"/>
        </w:rPr>
        <w:t>Основним нормативно-правовим актом, що регулює відповідні питання, є Податковий кодекс України.</w:t>
      </w:r>
    </w:p>
    <w:p w:rsidR="00A77B3E" w:rsidRPr="0010135D" w:rsidRDefault="00A77B3E">
      <w:pPr>
        <w:ind w:firstLine="720"/>
        <w:jc w:val="both"/>
        <w:rPr>
          <w:sz w:val="28"/>
          <w:szCs w:val="28"/>
        </w:rPr>
      </w:pPr>
    </w:p>
    <w:p w:rsidR="00A77B3E" w:rsidRPr="0010135D" w:rsidRDefault="00430885">
      <w:pPr>
        <w:ind w:firstLine="720"/>
        <w:jc w:val="both"/>
        <w:rPr>
          <w:b/>
          <w:bCs/>
          <w:sz w:val="28"/>
          <w:szCs w:val="28"/>
        </w:rPr>
      </w:pPr>
      <w:r w:rsidRPr="0010135D">
        <w:rPr>
          <w:b/>
          <w:bCs/>
          <w:sz w:val="28"/>
          <w:szCs w:val="28"/>
        </w:rPr>
        <w:t>5. Фінансово-економічне обґрунтування</w:t>
      </w:r>
    </w:p>
    <w:p w:rsidR="00A77B3E" w:rsidRPr="0010135D" w:rsidRDefault="00430885">
      <w:pPr>
        <w:ind w:firstLine="720"/>
        <w:jc w:val="both"/>
        <w:rPr>
          <w:color w:val="auto"/>
          <w:sz w:val="28"/>
          <w:szCs w:val="28"/>
        </w:rPr>
      </w:pPr>
      <w:r w:rsidRPr="0010135D">
        <w:rPr>
          <w:color w:val="auto"/>
          <w:sz w:val="28"/>
          <w:szCs w:val="28"/>
        </w:rPr>
        <w:t>Реалізація норм законопроекту впливатиме на бюджетні показники.</w:t>
      </w:r>
      <w:r w:rsidR="003C6A1B" w:rsidRPr="0010135D">
        <w:rPr>
          <w:color w:val="auto"/>
          <w:sz w:val="28"/>
          <w:szCs w:val="28"/>
        </w:rPr>
        <w:t xml:space="preserve"> Сума втрат надходжень податку на прибуток підприємств </w:t>
      </w:r>
      <w:r w:rsidR="00CC52A2" w:rsidRPr="0010135D">
        <w:rPr>
          <w:color w:val="auto"/>
          <w:sz w:val="28"/>
          <w:szCs w:val="28"/>
        </w:rPr>
        <w:t xml:space="preserve">за експертною оцінкою може скласти </w:t>
      </w:r>
      <w:r w:rsidR="00BD2415" w:rsidRPr="0010135D">
        <w:rPr>
          <w:color w:val="auto"/>
          <w:sz w:val="28"/>
          <w:szCs w:val="28"/>
        </w:rPr>
        <w:t xml:space="preserve">близько </w:t>
      </w:r>
      <w:r w:rsidR="003C6A1B" w:rsidRPr="0010135D">
        <w:rPr>
          <w:color w:val="auto"/>
          <w:sz w:val="28"/>
          <w:szCs w:val="28"/>
        </w:rPr>
        <w:t>1</w:t>
      </w:r>
      <w:r w:rsidR="00BD2415" w:rsidRPr="0010135D">
        <w:rPr>
          <w:color w:val="auto"/>
          <w:sz w:val="28"/>
          <w:szCs w:val="28"/>
        </w:rPr>
        <w:t>,0</w:t>
      </w:r>
      <w:r w:rsidR="003C6A1B" w:rsidRPr="0010135D">
        <w:rPr>
          <w:color w:val="auto"/>
          <w:sz w:val="28"/>
          <w:szCs w:val="28"/>
        </w:rPr>
        <w:t xml:space="preserve"> </w:t>
      </w:r>
      <w:r w:rsidR="002B2B98" w:rsidRPr="0010135D">
        <w:rPr>
          <w:color w:val="auto"/>
          <w:sz w:val="28"/>
          <w:szCs w:val="28"/>
        </w:rPr>
        <w:t>млрд</w:t>
      </w:r>
      <w:r w:rsidR="003C6A1B" w:rsidRPr="0010135D">
        <w:rPr>
          <w:color w:val="auto"/>
          <w:sz w:val="28"/>
          <w:szCs w:val="28"/>
        </w:rPr>
        <w:t xml:space="preserve"> гривень в перший рік запровадження </w:t>
      </w:r>
      <w:r w:rsidR="00B5384D" w:rsidRPr="0010135D">
        <w:rPr>
          <w:color w:val="auto"/>
          <w:sz w:val="28"/>
          <w:szCs w:val="28"/>
        </w:rPr>
        <w:t>особливостей оподаткування, передбачених положеннями</w:t>
      </w:r>
      <w:r w:rsidR="003C6A1B" w:rsidRPr="0010135D">
        <w:rPr>
          <w:color w:val="auto"/>
          <w:sz w:val="28"/>
          <w:szCs w:val="28"/>
        </w:rPr>
        <w:t xml:space="preserve"> законопроекту.</w:t>
      </w:r>
      <w:r w:rsidRPr="0010135D">
        <w:rPr>
          <w:color w:val="auto"/>
          <w:sz w:val="28"/>
          <w:szCs w:val="28"/>
        </w:rPr>
        <w:t xml:space="preserve"> </w:t>
      </w:r>
    </w:p>
    <w:p w:rsidR="00CC52A2" w:rsidRPr="0010135D" w:rsidRDefault="00CC52A2" w:rsidP="00CC52A2">
      <w:pPr>
        <w:ind w:firstLine="720"/>
        <w:jc w:val="both"/>
        <w:rPr>
          <w:color w:val="auto"/>
          <w:sz w:val="28"/>
          <w:szCs w:val="28"/>
        </w:rPr>
      </w:pPr>
      <w:r w:rsidRPr="0010135D">
        <w:rPr>
          <w:color w:val="auto"/>
          <w:sz w:val="28"/>
          <w:szCs w:val="28"/>
        </w:rPr>
        <w:t xml:space="preserve">Разом з тим слід зазначити, що у зв’язку з вжиттям термінових заходів, направлених на нейтралізацію негативних наслідків поширення </w:t>
      </w:r>
      <w:proofErr w:type="spellStart"/>
      <w:r w:rsidRPr="0010135D">
        <w:rPr>
          <w:color w:val="auto"/>
          <w:sz w:val="28"/>
          <w:szCs w:val="28"/>
        </w:rPr>
        <w:t>коронавірусної</w:t>
      </w:r>
      <w:proofErr w:type="spellEnd"/>
      <w:r w:rsidRPr="0010135D">
        <w:rPr>
          <w:color w:val="auto"/>
          <w:sz w:val="28"/>
          <w:szCs w:val="28"/>
        </w:rPr>
        <w:t xml:space="preserve"> інфекції COVID-19 та пов’язаних із цим додатковими витратами бюджету, Мінекономіки наразі переглядає основні макроекономічні показники економічного і соціального розвитку України, в тому числі і на 2021 рік. Після отримання від Мінекономіки уточнених </w:t>
      </w:r>
      <w:proofErr w:type="spellStart"/>
      <w:r w:rsidRPr="0010135D">
        <w:rPr>
          <w:color w:val="auto"/>
          <w:sz w:val="28"/>
          <w:szCs w:val="28"/>
        </w:rPr>
        <w:t>макропоказників</w:t>
      </w:r>
      <w:proofErr w:type="spellEnd"/>
      <w:r w:rsidRPr="0010135D">
        <w:rPr>
          <w:color w:val="auto"/>
          <w:sz w:val="28"/>
          <w:szCs w:val="28"/>
        </w:rPr>
        <w:t xml:space="preserve"> на 2021 рік вищезазначені оцінки запровадження податку на виведений капітал можуть бути оновлені.</w:t>
      </w:r>
    </w:p>
    <w:p w:rsidR="00CC52A2" w:rsidRPr="0010135D" w:rsidRDefault="00CC52A2">
      <w:pPr>
        <w:ind w:firstLine="720"/>
        <w:jc w:val="both"/>
        <w:rPr>
          <w:color w:val="auto"/>
          <w:sz w:val="28"/>
          <w:szCs w:val="28"/>
        </w:rPr>
      </w:pPr>
    </w:p>
    <w:p w:rsidR="00A77B3E" w:rsidRPr="0010135D" w:rsidRDefault="00430885">
      <w:pPr>
        <w:ind w:firstLine="720"/>
        <w:jc w:val="both"/>
        <w:rPr>
          <w:b/>
          <w:bCs/>
          <w:sz w:val="28"/>
          <w:szCs w:val="28"/>
        </w:rPr>
      </w:pPr>
      <w:r w:rsidRPr="0010135D">
        <w:rPr>
          <w:b/>
          <w:bCs/>
          <w:color w:val="auto"/>
          <w:sz w:val="28"/>
          <w:szCs w:val="28"/>
        </w:rPr>
        <w:t>6. Прогноз соціально-економічних та інших</w:t>
      </w:r>
      <w:r w:rsidRPr="0010135D">
        <w:rPr>
          <w:b/>
          <w:bCs/>
          <w:sz w:val="28"/>
          <w:szCs w:val="28"/>
        </w:rPr>
        <w:t xml:space="preserve"> наслідків прийняття </w:t>
      </w:r>
      <w:proofErr w:type="spellStart"/>
      <w:r w:rsidRPr="0010135D">
        <w:rPr>
          <w:b/>
          <w:bCs/>
          <w:sz w:val="28"/>
          <w:szCs w:val="28"/>
        </w:rPr>
        <w:t>акта</w:t>
      </w:r>
      <w:proofErr w:type="spellEnd"/>
    </w:p>
    <w:p w:rsidR="00186FCA" w:rsidRPr="0010135D" w:rsidRDefault="00430885">
      <w:pPr>
        <w:ind w:firstLine="720"/>
        <w:jc w:val="both"/>
        <w:rPr>
          <w:sz w:val="28"/>
          <w:szCs w:val="28"/>
        </w:rPr>
      </w:pPr>
      <w:r w:rsidRPr="0010135D">
        <w:rPr>
          <w:sz w:val="28"/>
          <w:szCs w:val="28"/>
        </w:rPr>
        <w:t>Прийняття законопроекту сприятиме</w:t>
      </w:r>
      <w:r w:rsidR="00186FCA" w:rsidRPr="0010135D">
        <w:rPr>
          <w:sz w:val="28"/>
          <w:szCs w:val="28"/>
        </w:rPr>
        <w:t>:</w:t>
      </w:r>
    </w:p>
    <w:p w:rsidR="00185CA6" w:rsidRPr="0010135D" w:rsidRDefault="007B7CC0" w:rsidP="00186FCA">
      <w:pPr>
        <w:numPr>
          <w:ilvl w:val="0"/>
          <w:numId w:val="6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10135D">
        <w:rPr>
          <w:sz w:val="28"/>
          <w:szCs w:val="28"/>
        </w:rPr>
        <w:t>створенн</w:t>
      </w:r>
      <w:r w:rsidR="00186FCA" w:rsidRPr="0010135D">
        <w:rPr>
          <w:sz w:val="28"/>
          <w:szCs w:val="28"/>
        </w:rPr>
        <w:t>ю</w:t>
      </w:r>
      <w:r w:rsidRPr="0010135D">
        <w:rPr>
          <w:sz w:val="28"/>
          <w:szCs w:val="28"/>
        </w:rPr>
        <w:t xml:space="preserve"> стимулів до нарощування інвестиційної активності в </w:t>
      </w:r>
      <w:r w:rsidR="00186FCA" w:rsidRPr="0010135D">
        <w:rPr>
          <w:sz w:val="28"/>
          <w:szCs w:val="28"/>
        </w:rPr>
        <w:t>Закарпатській, Кіровоградській, Тернопільській, Чернівецькій та Чернігівській областях;</w:t>
      </w:r>
    </w:p>
    <w:p w:rsidR="00185CA6" w:rsidRPr="0010135D" w:rsidRDefault="007B7CC0" w:rsidP="00186FCA">
      <w:pPr>
        <w:numPr>
          <w:ilvl w:val="0"/>
          <w:numId w:val="6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10135D">
        <w:rPr>
          <w:sz w:val="28"/>
          <w:szCs w:val="28"/>
        </w:rPr>
        <w:t>спрямуванн</w:t>
      </w:r>
      <w:r w:rsidR="00186FCA" w:rsidRPr="0010135D">
        <w:rPr>
          <w:sz w:val="28"/>
          <w:szCs w:val="28"/>
        </w:rPr>
        <w:t>ю</w:t>
      </w:r>
      <w:r w:rsidRPr="0010135D">
        <w:rPr>
          <w:sz w:val="28"/>
          <w:szCs w:val="28"/>
        </w:rPr>
        <w:t xml:space="preserve"> прибутку підприємств на розвиток і техніко-технологічне оновлення вітчизняного виробництва</w:t>
      </w:r>
      <w:r w:rsidR="00186FCA" w:rsidRPr="0010135D">
        <w:rPr>
          <w:sz w:val="28"/>
          <w:szCs w:val="28"/>
        </w:rPr>
        <w:t>;</w:t>
      </w:r>
    </w:p>
    <w:p w:rsidR="00185CA6" w:rsidRPr="0010135D" w:rsidRDefault="007B7CC0" w:rsidP="00186FCA">
      <w:pPr>
        <w:numPr>
          <w:ilvl w:val="0"/>
          <w:numId w:val="6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10135D">
        <w:rPr>
          <w:sz w:val="28"/>
          <w:szCs w:val="28"/>
        </w:rPr>
        <w:t>спрощенн</w:t>
      </w:r>
      <w:r w:rsidR="00186FCA" w:rsidRPr="0010135D">
        <w:rPr>
          <w:sz w:val="28"/>
          <w:szCs w:val="28"/>
        </w:rPr>
        <w:t>ю</w:t>
      </w:r>
      <w:r w:rsidRPr="0010135D">
        <w:rPr>
          <w:sz w:val="28"/>
          <w:szCs w:val="28"/>
        </w:rPr>
        <w:t xml:space="preserve"> ведення бізнесу та податкового адміністрування</w:t>
      </w:r>
      <w:r w:rsidR="00186FCA" w:rsidRPr="0010135D">
        <w:rPr>
          <w:sz w:val="28"/>
          <w:szCs w:val="28"/>
        </w:rPr>
        <w:t>;</w:t>
      </w:r>
    </w:p>
    <w:p w:rsidR="00185CA6" w:rsidRPr="0010135D" w:rsidRDefault="007B7CC0" w:rsidP="00186FCA">
      <w:pPr>
        <w:numPr>
          <w:ilvl w:val="0"/>
          <w:numId w:val="6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10135D">
        <w:rPr>
          <w:sz w:val="28"/>
          <w:szCs w:val="28"/>
        </w:rPr>
        <w:t>підвищенн</w:t>
      </w:r>
      <w:r w:rsidR="00186FCA" w:rsidRPr="0010135D">
        <w:rPr>
          <w:sz w:val="28"/>
          <w:szCs w:val="28"/>
        </w:rPr>
        <w:t>ю</w:t>
      </w:r>
      <w:r w:rsidRPr="0010135D">
        <w:rPr>
          <w:sz w:val="28"/>
          <w:szCs w:val="28"/>
        </w:rPr>
        <w:t xml:space="preserve"> економічної активності в зазначених регіонах</w:t>
      </w:r>
      <w:r w:rsidR="00186FCA" w:rsidRPr="0010135D">
        <w:rPr>
          <w:sz w:val="28"/>
          <w:szCs w:val="28"/>
        </w:rPr>
        <w:t>;</w:t>
      </w:r>
    </w:p>
    <w:p w:rsidR="00185CA6" w:rsidRPr="0010135D" w:rsidRDefault="007B7CC0" w:rsidP="00186FCA">
      <w:pPr>
        <w:numPr>
          <w:ilvl w:val="0"/>
          <w:numId w:val="6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10135D">
        <w:rPr>
          <w:sz w:val="28"/>
          <w:szCs w:val="28"/>
        </w:rPr>
        <w:t>створенн</w:t>
      </w:r>
      <w:r w:rsidR="00186FCA" w:rsidRPr="0010135D">
        <w:rPr>
          <w:sz w:val="28"/>
          <w:szCs w:val="28"/>
        </w:rPr>
        <w:t>ю</w:t>
      </w:r>
      <w:r w:rsidRPr="0010135D">
        <w:rPr>
          <w:sz w:val="28"/>
          <w:szCs w:val="28"/>
        </w:rPr>
        <w:t xml:space="preserve"> нових робочих місць</w:t>
      </w:r>
      <w:r w:rsidR="00186FCA" w:rsidRPr="0010135D">
        <w:rPr>
          <w:sz w:val="28"/>
          <w:szCs w:val="28"/>
        </w:rPr>
        <w:t>;</w:t>
      </w:r>
    </w:p>
    <w:p w:rsidR="00185CA6" w:rsidRPr="0010135D" w:rsidRDefault="007B7CC0" w:rsidP="00186FCA">
      <w:pPr>
        <w:numPr>
          <w:ilvl w:val="0"/>
          <w:numId w:val="6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10135D">
        <w:rPr>
          <w:sz w:val="28"/>
          <w:szCs w:val="28"/>
        </w:rPr>
        <w:t>збільшенн</w:t>
      </w:r>
      <w:r w:rsidR="00186FCA" w:rsidRPr="0010135D">
        <w:rPr>
          <w:sz w:val="28"/>
          <w:szCs w:val="28"/>
        </w:rPr>
        <w:t>ю</w:t>
      </w:r>
      <w:r w:rsidRPr="0010135D">
        <w:rPr>
          <w:sz w:val="28"/>
          <w:szCs w:val="28"/>
        </w:rPr>
        <w:t xml:space="preserve"> надходжень до Державного і місцевих бюджетів від п</w:t>
      </w:r>
      <w:r w:rsidR="00186FCA" w:rsidRPr="0010135D">
        <w:rPr>
          <w:sz w:val="28"/>
          <w:szCs w:val="28"/>
        </w:rPr>
        <w:t>ідприємств відповідних областей.</w:t>
      </w:r>
    </w:p>
    <w:p w:rsidR="00186FCA" w:rsidRPr="00C36984" w:rsidRDefault="00186FCA">
      <w:pPr>
        <w:ind w:firstLine="720"/>
        <w:jc w:val="both"/>
        <w:rPr>
          <w:sz w:val="28"/>
          <w:szCs w:val="28"/>
        </w:rPr>
      </w:pPr>
    </w:p>
    <w:sectPr w:rsidR="00186FCA" w:rsidRPr="00C36984" w:rsidSect="002203D0">
      <w:headerReference w:type="default" r:id="rId7"/>
      <w:pgSz w:w="11900" w:h="16820"/>
      <w:pgMar w:top="1134" w:right="1134" w:bottom="1134" w:left="1134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55" w:rsidRDefault="00965555">
      <w:r>
        <w:separator/>
      </w:r>
    </w:p>
  </w:endnote>
  <w:endnote w:type="continuationSeparator" w:id="0">
    <w:p w:rsidR="00965555" w:rsidRDefault="0096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55" w:rsidRDefault="00965555">
      <w:r>
        <w:separator/>
      </w:r>
    </w:p>
  </w:footnote>
  <w:footnote w:type="continuationSeparator" w:id="0">
    <w:p w:rsidR="00965555" w:rsidRDefault="00965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85" w:rsidRDefault="00430885">
    <w:pPr>
      <w:tabs>
        <w:tab w:val="center" w:pos="4819"/>
        <w:tab w:val="right" w:pos="9639"/>
      </w:tabs>
      <w:rPr>
        <w:sz w:val="28"/>
        <w:szCs w:val="28"/>
        <w:lang w:val="en-US"/>
      </w:rPr>
    </w:pPr>
  </w:p>
  <w:p w:rsidR="00430885" w:rsidRDefault="00430885">
    <w:pPr>
      <w:tabs>
        <w:tab w:val="center" w:pos="4819"/>
        <w:tab w:val="right" w:pos="9639"/>
      </w:tabs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2AB7"/>
    <w:multiLevelType w:val="hybridMultilevel"/>
    <w:tmpl w:val="8FB0B43C"/>
    <w:lvl w:ilvl="0" w:tplc="297CC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716C1"/>
    <w:multiLevelType w:val="hybridMultilevel"/>
    <w:tmpl w:val="2A8CB828"/>
    <w:lvl w:ilvl="0" w:tplc="8D3E1F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EC7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98CE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45A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7289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EBA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45C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6806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E872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14B6E"/>
    <w:multiLevelType w:val="hybridMultilevel"/>
    <w:tmpl w:val="02A247F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C678F"/>
    <w:multiLevelType w:val="hybridMultilevel"/>
    <w:tmpl w:val="D05E5DDA"/>
    <w:lvl w:ilvl="0" w:tplc="B8563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85159"/>
    <w:multiLevelType w:val="hybridMultilevel"/>
    <w:tmpl w:val="10B2D758"/>
    <w:lvl w:ilvl="0" w:tplc="C7D24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8A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2F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0E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23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EC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08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A6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98F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671633"/>
    <w:multiLevelType w:val="hybridMultilevel"/>
    <w:tmpl w:val="D51C0A44"/>
    <w:lvl w:ilvl="0" w:tplc="324A8A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6AE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1452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6F3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232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1C70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443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00B3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ADD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E9"/>
    <w:rsid w:val="000C0DD5"/>
    <w:rsid w:val="0010135D"/>
    <w:rsid w:val="00114CEB"/>
    <w:rsid w:val="0017518F"/>
    <w:rsid w:val="00185CA6"/>
    <w:rsid w:val="00186FCA"/>
    <w:rsid w:val="001B270C"/>
    <w:rsid w:val="001D25B4"/>
    <w:rsid w:val="0020261B"/>
    <w:rsid w:val="0020448B"/>
    <w:rsid w:val="00211DF9"/>
    <w:rsid w:val="002203D0"/>
    <w:rsid w:val="00265018"/>
    <w:rsid w:val="002B2B98"/>
    <w:rsid w:val="002B35C0"/>
    <w:rsid w:val="002D34BA"/>
    <w:rsid w:val="00302458"/>
    <w:rsid w:val="00352FFC"/>
    <w:rsid w:val="003A0A83"/>
    <w:rsid w:val="003C6A1B"/>
    <w:rsid w:val="003D605D"/>
    <w:rsid w:val="003E40FC"/>
    <w:rsid w:val="003F4834"/>
    <w:rsid w:val="0040538A"/>
    <w:rsid w:val="00430885"/>
    <w:rsid w:val="00485EE8"/>
    <w:rsid w:val="004C1BA2"/>
    <w:rsid w:val="004C2D06"/>
    <w:rsid w:val="00564B65"/>
    <w:rsid w:val="00566586"/>
    <w:rsid w:val="00634BE0"/>
    <w:rsid w:val="00713A32"/>
    <w:rsid w:val="00774822"/>
    <w:rsid w:val="00795E17"/>
    <w:rsid w:val="007A3858"/>
    <w:rsid w:val="007A5C82"/>
    <w:rsid w:val="007B7CC0"/>
    <w:rsid w:val="007F53E9"/>
    <w:rsid w:val="008351C4"/>
    <w:rsid w:val="008367EE"/>
    <w:rsid w:val="00965555"/>
    <w:rsid w:val="00967E20"/>
    <w:rsid w:val="00976C3F"/>
    <w:rsid w:val="009F2F79"/>
    <w:rsid w:val="00A127BE"/>
    <w:rsid w:val="00A41E2A"/>
    <w:rsid w:val="00A77B3E"/>
    <w:rsid w:val="00A84A1B"/>
    <w:rsid w:val="00A94DE5"/>
    <w:rsid w:val="00AB121D"/>
    <w:rsid w:val="00B5384D"/>
    <w:rsid w:val="00BD2415"/>
    <w:rsid w:val="00BF71DE"/>
    <w:rsid w:val="00C1147F"/>
    <w:rsid w:val="00C36984"/>
    <w:rsid w:val="00C63C54"/>
    <w:rsid w:val="00CC52A2"/>
    <w:rsid w:val="00CD557A"/>
    <w:rsid w:val="00CE09F7"/>
    <w:rsid w:val="00CF68D2"/>
    <w:rsid w:val="00DD4977"/>
    <w:rsid w:val="00E04B8F"/>
    <w:rsid w:val="00F3405E"/>
    <w:rsid w:val="00FD6ABA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E1FB4C-727A-48C6-93DB-A561E687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a3">
    <w:name w:val="Title"/>
    <w:basedOn w:val="a"/>
    <w:link w:val="a4"/>
    <w:uiPriority w:val="10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spacing w:after="60"/>
      <w:jc w:val="center"/>
    </w:pPr>
    <w:rPr>
      <w:rFonts w:ascii="Arial" w:hAnsi="Arial" w:cs="Arial"/>
    </w:rPr>
  </w:style>
  <w:style w:type="character" w:customStyle="1" w:styleId="a6">
    <w:name w:val="Підзаголовок Знак"/>
    <w:basedOn w:val="a0"/>
    <w:link w:val="a5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C3698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C36984"/>
    <w:rPr>
      <w:rFonts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C3698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C36984"/>
    <w:rPr>
      <w:rFonts w:cs="Times New Roman"/>
      <w:color w:val="000000"/>
      <w:sz w:val="24"/>
      <w:szCs w:val="24"/>
    </w:rPr>
  </w:style>
  <w:style w:type="character" w:customStyle="1" w:styleId="rvts9">
    <w:name w:val="rvts9"/>
    <w:basedOn w:val="a0"/>
    <w:rsid w:val="00A84A1B"/>
    <w:rPr>
      <w:rFonts w:cs="Times New Roman"/>
    </w:rPr>
  </w:style>
  <w:style w:type="paragraph" w:styleId="ab">
    <w:name w:val="List Paragraph"/>
    <w:basedOn w:val="a"/>
    <w:uiPriority w:val="34"/>
    <w:qFormat/>
    <w:locked/>
    <w:rsid w:val="007A3858"/>
    <w:pPr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8936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247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811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627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488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074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81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5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5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54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5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5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5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5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6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6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6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8147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6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6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6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6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7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7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7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7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7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7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7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5932</Words>
  <Characters>3382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Роман Володимирович</dc:creator>
  <cp:keywords/>
  <dc:description/>
  <cp:lastModifiedBy>Ганнисик Людмила Василівна</cp:lastModifiedBy>
  <cp:revision>2</cp:revision>
  <dcterms:created xsi:type="dcterms:W3CDTF">2020-06-25T07:18:00Z</dcterms:created>
  <dcterms:modified xsi:type="dcterms:W3CDTF">2020-06-25T07:18:00Z</dcterms:modified>
</cp:coreProperties>
</file>