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03" w:rsidRPr="00C901B2" w:rsidRDefault="00EE1603" w:rsidP="00EE1603">
      <w:pPr>
        <w:jc w:val="center"/>
        <w:rPr>
          <w:b/>
          <w:sz w:val="28"/>
          <w:szCs w:val="28"/>
          <w:lang w:val="uk-UA"/>
        </w:rPr>
      </w:pPr>
      <w:r w:rsidRPr="00C901B2">
        <w:rPr>
          <w:b/>
          <w:sz w:val="28"/>
          <w:szCs w:val="28"/>
          <w:lang w:val="uk-UA"/>
        </w:rPr>
        <w:t>ПОРІВНЯЛЬНА ТАБЛИЦЯ</w:t>
      </w:r>
    </w:p>
    <w:p w:rsidR="0011246F" w:rsidRDefault="00EE1603" w:rsidP="00EE1603">
      <w:pPr>
        <w:jc w:val="center"/>
        <w:rPr>
          <w:b/>
          <w:sz w:val="28"/>
          <w:szCs w:val="28"/>
          <w:lang w:val="uk-UA"/>
        </w:rPr>
      </w:pPr>
      <w:r w:rsidRPr="00C901B2">
        <w:rPr>
          <w:b/>
          <w:sz w:val="28"/>
          <w:szCs w:val="28"/>
          <w:lang w:val="uk-UA"/>
        </w:rPr>
        <w:t>до проекту наказу Міністерства фінансів України</w:t>
      </w:r>
      <w:r w:rsidRPr="00C901B2">
        <w:rPr>
          <w:sz w:val="28"/>
          <w:szCs w:val="28"/>
          <w:lang w:val="uk-UA"/>
        </w:rPr>
        <w:t xml:space="preserve"> </w:t>
      </w:r>
      <w:r w:rsidRPr="00C901B2">
        <w:rPr>
          <w:b/>
          <w:sz w:val="28"/>
          <w:szCs w:val="28"/>
          <w:lang w:val="uk-UA"/>
        </w:rPr>
        <w:t xml:space="preserve">«Про затвердження Змін до </w:t>
      </w:r>
      <w:r w:rsidR="00FC5F65" w:rsidRPr="00FC5F65">
        <w:rPr>
          <w:b/>
          <w:sz w:val="28"/>
          <w:szCs w:val="28"/>
          <w:lang w:val="uk-UA"/>
        </w:rPr>
        <w:t>Порядку</w:t>
      </w:r>
      <w:r w:rsidR="00FC5F65" w:rsidRPr="00FC5F65">
        <w:rPr>
          <w:b/>
          <w:sz w:val="28"/>
          <w:szCs w:val="28"/>
          <w:lang w:val="uk-UA"/>
        </w:rPr>
        <w:t xml:space="preserve"> заповнення форм фінансової звітності в державному секторі</w:t>
      </w:r>
      <w:r w:rsidRPr="00C901B2">
        <w:rPr>
          <w:b/>
          <w:sz w:val="28"/>
          <w:szCs w:val="28"/>
          <w:lang w:val="uk-UA"/>
        </w:rPr>
        <w:t>»</w:t>
      </w:r>
    </w:p>
    <w:p w:rsidR="00FC5F65" w:rsidRDefault="00FC5F65" w:rsidP="00EE160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FC5F65" w:rsidTr="00FC5F65">
        <w:tc>
          <w:tcPr>
            <w:tcW w:w="7564" w:type="dxa"/>
          </w:tcPr>
          <w:p w:rsidR="00FC5F65" w:rsidRDefault="00FC5F65" w:rsidP="00EE1603">
            <w:pPr>
              <w:jc w:val="center"/>
              <w:rPr>
                <w:lang w:val="uk-UA"/>
              </w:rPr>
            </w:pPr>
            <w:r w:rsidRPr="00C901B2">
              <w:rPr>
                <w:b/>
                <w:lang w:val="uk-UA"/>
              </w:rPr>
              <w:t xml:space="preserve">Зміст положення (норми) чинного </w:t>
            </w:r>
            <w:proofErr w:type="spellStart"/>
            <w:r w:rsidRPr="00C901B2">
              <w:rPr>
                <w:b/>
                <w:lang w:val="uk-UA"/>
              </w:rPr>
              <w:t>акта</w:t>
            </w:r>
            <w:proofErr w:type="spellEnd"/>
            <w:r w:rsidRPr="00C901B2">
              <w:rPr>
                <w:b/>
                <w:lang w:val="uk-UA"/>
              </w:rPr>
              <w:t xml:space="preserve"> законодавства</w:t>
            </w:r>
          </w:p>
        </w:tc>
        <w:tc>
          <w:tcPr>
            <w:tcW w:w="7564" w:type="dxa"/>
          </w:tcPr>
          <w:p w:rsidR="00FC5F65" w:rsidRDefault="00FC5F65" w:rsidP="00FC5F65">
            <w:pPr>
              <w:tabs>
                <w:tab w:val="left" w:pos="51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C901B2">
              <w:rPr>
                <w:b/>
                <w:lang w:val="uk-UA"/>
              </w:rPr>
              <w:t>Зміст від</w:t>
            </w:r>
            <w:r>
              <w:rPr>
                <w:b/>
                <w:lang w:val="uk-UA"/>
              </w:rPr>
              <w:t>повідного положення (норми) прое</w:t>
            </w:r>
            <w:r w:rsidRPr="00C901B2">
              <w:rPr>
                <w:b/>
                <w:lang w:val="uk-UA"/>
              </w:rPr>
              <w:t xml:space="preserve">кту </w:t>
            </w:r>
            <w:proofErr w:type="spellStart"/>
            <w:r w:rsidRPr="00C901B2">
              <w:rPr>
                <w:b/>
                <w:lang w:val="uk-UA"/>
              </w:rPr>
              <w:t>акта</w:t>
            </w:r>
            <w:proofErr w:type="spellEnd"/>
          </w:p>
        </w:tc>
      </w:tr>
      <w:tr w:rsidR="00FC5F65" w:rsidTr="00F878FC">
        <w:tc>
          <w:tcPr>
            <w:tcW w:w="15128" w:type="dxa"/>
            <w:gridSpan w:val="2"/>
          </w:tcPr>
          <w:p w:rsidR="00FC5F65" w:rsidRDefault="00FC5F65" w:rsidP="00EE1603">
            <w:pPr>
              <w:jc w:val="center"/>
              <w:rPr>
                <w:lang w:val="uk-UA"/>
              </w:rPr>
            </w:pPr>
            <w:r w:rsidRPr="00C901B2">
              <w:rPr>
                <w:b/>
                <w:lang w:val="uk-UA"/>
              </w:rPr>
              <w:t>Розділ I. Загальні положення</w:t>
            </w:r>
          </w:p>
        </w:tc>
      </w:tr>
      <w:tr w:rsidR="00FC5F65" w:rsidTr="00F878FC">
        <w:tc>
          <w:tcPr>
            <w:tcW w:w="15128" w:type="dxa"/>
            <w:gridSpan w:val="2"/>
          </w:tcPr>
          <w:p w:rsidR="00FC5F65" w:rsidRDefault="00FC5F65" w:rsidP="00EE16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………………</w:t>
            </w:r>
          </w:p>
        </w:tc>
      </w:tr>
      <w:tr w:rsidR="00FC5F65" w:rsidTr="00FC5F65">
        <w:tc>
          <w:tcPr>
            <w:tcW w:w="7564" w:type="dxa"/>
          </w:tcPr>
          <w:p w:rsidR="00FC5F65" w:rsidRPr="00EE1603" w:rsidRDefault="00FC5F65" w:rsidP="00FC5F65">
            <w:pPr>
              <w:ind w:firstLine="454"/>
              <w:jc w:val="both"/>
              <w:rPr>
                <w:lang w:val="uk-UA"/>
              </w:rPr>
            </w:pPr>
            <w:r w:rsidRPr="00EE1603">
              <w:rPr>
                <w:lang w:val="uk-UA"/>
              </w:rPr>
              <w:t>8. Суб'єкти державного сектору, створені протягом звітного періоду, фінансову звітність складають і подають контролюючим суб'єктам державного сектору та органам Казначейства за місцем обслуговування в установленому законодавством порядку. У фінансовій звітності таких суб'єктів державного сектору залишки на початок звітного періоду та показники за аналогічний період попереднього року не зазначаються.</w:t>
            </w:r>
          </w:p>
          <w:p w:rsidR="00FC5F65" w:rsidRPr="00EE1603" w:rsidRDefault="00FC5F65" w:rsidP="00FC5F65">
            <w:pPr>
              <w:ind w:firstLine="454"/>
              <w:jc w:val="both"/>
              <w:rPr>
                <w:lang w:val="uk-UA"/>
              </w:rPr>
            </w:pPr>
            <w:r w:rsidRPr="00EE1603">
              <w:rPr>
                <w:lang w:val="uk-UA"/>
              </w:rPr>
              <w:t>Суб'єкти державного сектору, які ліквідовані або припинили свою діяльність протягом звітного періоду, складають фінансову звітність в обсязі річної і подають суб'єкту державного сектору, під контролем якого вони перебували, та органам Казначейства за місцем обслуговування. У фінансовій звітності таких суб'єктів державного сектору залишки на кінець звітного періоду не зазначаються.</w:t>
            </w:r>
          </w:p>
          <w:p w:rsidR="00FC5F65" w:rsidRDefault="00FC5F65" w:rsidP="00FC5F65">
            <w:pPr>
              <w:ind w:firstLine="454"/>
              <w:jc w:val="both"/>
            </w:pPr>
            <w:r w:rsidRPr="00EE1603">
              <w:rPr>
                <w:lang w:val="uk-UA"/>
              </w:rPr>
              <w:t>Суб'єкти державного сектору у разі зміни протягом звітного періоду контролюючого суб'єкта державного сектору фінансову звітність складають як такі, що ліквідовані або припинили свою діяльність, та подають її в обсязі річної суб'єкту державного сектору, під контролем якого вони перебували. Контролюючому суб'єкту державного сектору подається фінансова звітність, складена як для новоствореного суб'єкта державного сектору, в установленому законодавством порядку.</w:t>
            </w:r>
          </w:p>
        </w:tc>
        <w:tc>
          <w:tcPr>
            <w:tcW w:w="7564" w:type="dxa"/>
          </w:tcPr>
          <w:p w:rsidR="00FC5F65" w:rsidRPr="00EE1603" w:rsidRDefault="00FC5F65" w:rsidP="00FC5F65">
            <w:pPr>
              <w:ind w:firstLine="454"/>
              <w:jc w:val="both"/>
              <w:rPr>
                <w:lang w:val="uk-UA"/>
              </w:rPr>
            </w:pPr>
            <w:r w:rsidRPr="00EE1603">
              <w:rPr>
                <w:lang w:val="uk-UA"/>
              </w:rPr>
              <w:t>8. Суб'єкти державного сектору, створені протягом звітного періоду, фінансову звітність складають і подають контролюючим суб'єктам державного сектору та органам Казначейства за місцем обслуговування в установленому законодавством порядку. У фінансовій звітності таких суб'єктів державного сектору залишки на початок звітного періоду та показники за аналогічний період попереднього року не зазначаються.</w:t>
            </w:r>
          </w:p>
          <w:p w:rsidR="00FC5F65" w:rsidRPr="00EE1603" w:rsidRDefault="00FC5F65" w:rsidP="00FC5F65">
            <w:pPr>
              <w:ind w:firstLine="454"/>
              <w:jc w:val="both"/>
              <w:rPr>
                <w:lang w:val="uk-UA"/>
              </w:rPr>
            </w:pPr>
            <w:r w:rsidRPr="00EE1603">
              <w:rPr>
                <w:lang w:val="uk-UA"/>
              </w:rPr>
              <w:t xml:space="preserve">Суб'єкти державного сектору, які </w:t>
            </w:r>
            <w:r w:rsidRPr="00945CF4">
              <w:rPr>
                <w:lang w:val="uk-UA"/>
              </w:rPr>
              <w:t>ліквідовані або</w:t>
            </w:r>
            <w:r w:rsidRPr="00EE1603">
              <w:rPr>
                <w:lang w:val="uk-UA"/>
              </w:rPr>
              <w:t xml:space="preserve"> припинили свою діяльність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шляхом</w:t>
            </w:r>
            <w:r w:rsidRPr="008C1E4F">
              <w:rPr>
                <w:b/>
                <w:lang w:val="uk-UA"/>
              </w:rPr>
              <w:t xml:space="preserve"> реорганізації </w:t>
            </w:r>
            <w:r w:rsidRPr="00EE1603">
              <w:rPr>
                <w:lang w:val="uk-UA"/>
              </w:rPr>
              <w:t>протягом звітного періоду, складають фінансову звітність в обсязі річної і подають суб'єкту державного сектору, під контролем якого вони перебували, та органам Казначейства за місцем обслуговування. У фінансовій звітності таких суб'єктів державного сектору залишки на кінець звітного періоду не зазначаються.</w:t>
            </w:r>
          </w:p>
          <w:p w:rsidR="00FC5F65" w:rsidRPr="008A6A22" w:rsidRDefault="00FC5F65" w:rsidP="00FC5F65">
            <w:pPr>
              <w:ind w:firstLine="547"/>
              <w:jc w:val="both"/>
            </w:pPr>
            <w:r w:rsidRPr="00EE1603">
              <w:rPr>
                <w:lang w:val="uk-UA"/>
              </w:rPr>
              <w:t xml:space="preserve">Суб'єкти державного сектору у разі зміни протягом звітного періоду контролюючого суб'єкта державного сектору фінансову звітність складають як такі, </w:t>
            </w:r>
            <w:r w:rsidRPr="00317FD7">
              <w:rPr>
                <w:lang w:val="uk-UA"/>
              </w:rPr>
              <w:t xml:space="preserve">що </w:t>
            </w:r>
            <w:r w:rsidRPr="00945CF4">
              <w:rPr>
                <w:lang w:val="uk-UA"/>
              </w:rPr>
              <w:t>ліквідовані або</w:t>
            </w:r>
            <w:r w:rsidRPr="00317FD7">
              <w:rPr>
                <w:lang w:val="uk-UA"/>
              </w:rPr>
              <w:t xml:space="preserve"> припинили свою діяльність</w:t>
            </w:r>
            <w:r>
              <w:rPr>
                <w:lang w:val="uk-UA"/>
              </w:rPr>
              <w:t xml:space="preserve"> </w:t>
            </w:r>
            <w:r w:rsidRPr="00945CF4">
              <w:rPr>
                <w:b/>
                <w:lang w:val="uk-UA"/>
              </w:rPr>
              <w:t>шляхом реорганізації</w:t>
            </w:r>
            <w:r w:rsidRPr="00EE1603">
              <w:rPr>
                <w:lang w:val="uk-UA"/>
              </w:rPr>
              <w:t>, та подають її в обсязі річної суб'єкту державного сектору, під контролем якого вони перебували. Контролюючому суб'єкту державного сектору подається фінансова звітність, складена як для новоствореного суб'єкта державного сектору, в установленому законодавством порядку.</w:t>
            </w:r>
          </w:p>
        </w:tc>
      </w:tr>
      <w:tr w:rsidR="00FC5F65" w:rsidTr="00FC5F65">
        <w:tc>
          <w:tcPr>
            <w:tcW w:w="7564" w:type="dxa"/>
          </w:tcPr>
          <w:p w:rsidR="00FC5F65" w:rsidRPr="00E273E9" w:rsidRDefault="00FC5F65" w:rsidP="00FC5F65">
            <w:pPr>
              <w:ind w:firstLine="315"/>
              <w:jc w:val="both"/>
              <w:rPr>
                <w:lang w:val="uk-UA"/>
              </w:rPr>
            </w:pPr>
            <w:r w:rsidRPr="00E273E9">
              <w:rPr>
                <w:lang w:val="uk-UA"/>
              </w:rPr>
              <w:t>9. Фінансова звітність суб'єктів державного сектору подається контролюючим суб'єктам державного сектору з відміткою органів Казначейства щодо відповідності аналогічним даним, відображеним у бухгалтерському обліку органів Казначейства.</w:t>
            </w:r>
          </w:p>
          <w:p w:rsidR="00FC5F65" w:rsidRPr="00E273E9" w:rsidRDefault="00FC5F65" w:rsidP="00FC5F65">
            <w:pPr>
              <w:ind w:firstLine="315"/>
              <w:jc w:val="both"/>
              <w:rPr>
                <w:lang w:val="uk-UA"/>
              </w:rPr>
            </w:pPr>
            <w:r w:rsidRPr="00E273E9">
              <w:rPr>
                <w:lang w:val="uk-UA"/>
              </w:rPr>
              <w:t xml:space="preserve">Усі форми фінансової звітності суб'єктів державного сектору, а також консолідована фінансова звітність перевіряються і візуються </w:t>
            </w:r>
            <w:r w:rsidRPr="00BB1B21">
              <w:rPr>
                <w:lang w:val="uk-UA"/>
              </w:rPr>
              <w:t xml:space="preserve">відповідним </w:t>
            </w:r>
            <w:r>
              <w:rPr>
                <w:lang w:val="uk-UA"/>
              </w:rPr>
              <w:t>органом Казначейства шляхом:</w:t>
            </w:r>
          </w:p>
          <w:p w:rsidR="00FC5F65" w:rsidRPr="00E273E9" w:rsidRDefault="00FC5F65" w:rsidP="00FC5F65">
            <w:pPr>
              <w:ind w:firstLine="315"/>
              <w:jc w:val="both"/>
              <w:rPr>
                <w:strike/>
                <w:lang w:val="uk-UA"/>
              </w:rPr>
            </w:pPr>
            <w:r w:rsidRPr="00E273E9">
              <w:rPr>
                <w:lang w:val="uk-UA"/>
              </w:rPr>
              <w:t xml:space="preserve">накладання кваліфікованого електронного підпису на кожну форму фінансової звітності </w:t>
            </w:r>
            <w:r w:rsidRPr="00BB1B21">
              <w:rPr>
                <w:lang w:val="uk-UA"/>
              </w:rPr>
              <w:t>(у разі подання звітності із застосуванням автоматизованої системи подання електронної звітності клієнтами Казначейства (далі - АС "Є-Звітність");</w:t>
            </w:r>
          </w:p>
          <w:p w:rsidR="00FC5F65" w:rsidRPr="00E273E9" w:rsidRDefault="00FC5F65" w:rsidP="00FC5F65">
            <w:pPr>
              <w:ind w:firstLine="315"/>
              <w:jc w:val="both"/>
              <w:rPr>
                <w:strike/>
                <w:lang w:val="uk-UA"/>
              </w:rPr>
            </w:pPr>
            <w:r w:rsidRPr="00BB1B21">
              <w:rPr>
                <w:lang w:val="uk-UA"/>
              </w:rPr>
              <w:t>засвідчення підписом</w:t>
            </w:r>
            <w:r w:rsidRPr="00BB1B21">
              <w:rPr>
                <w:strike/>
                <w:lang w:val="uk-UA"/>
              </w:rPr>
              <w:t>, п</w:t>
            </w:r>
            <w:r w:rsidRPr="00E273E9">
              <w:rPr>
                <w:strike/>
                <w:lang w:val="uk-UA"/>
              </w:rPr>
              <w:t xml:space="preserve">ечаткою або штампом </w:t>
            </w:r>
            <w:r w:rsidRPr="00BB1B21">
              <w:rPr>
                <w:lang w:val="uk-UA"/>
              </w:rPr>
              <w:t>на кожній сторінці всіх форм фінансової звітності (у разі подання звітності на паперових носіях).</w:t>
            </w:r>
          </w:p>
          <w:p w:rsidR="00FC5F65" w:rsidRDefault="00FC5F65" w:rsidP="00FC5F65">
            <w:pPr>
              <w:ind w:firstLine="315"/>
              <w:jc w:val="both"/>
              <w:rPr>
                <w:strike/>
                <w:lang w:val="uk-UA"/>
              </w:rPr>
            </w:pPr>
          </w:p>
          <w:p w:rsidR="00FC5F65" w:rsidRPr="004F0E09" w:rsidRDefault="00FC5F65" w:rsidP="00FC5F65">
            <w:pPr>
              <w:ind w:firstLine="315"/>
              <w:jc w:val="both"/>
              <w:rPr>
                <w:lang w:val="uk-UA"/>
              </w:rPr>
            </w:pPr>
            <w:r w:rsidRPr="004F0E09">
              <w:rPr>
                <w:lang w:val="uk-UA"/>
              </w:rPr>
              <w:t>Контролюючі суб'єкти державного сектору до фінансової звітності додають форми фінансової звітності контрольованих суб'єктів державного сектору, які територіально розміщені в інших областях, з відміткою відповідних органів Казначейства.</w:t>
            </w:r>
          </w:p>
        </w:tc>
        <w:tc>
          <w:tcPr>
            <w:tcW w:w="7564" w:type="dxa"/>
          </w:tcPr>
          <w:p w:rsidR="00FC5F65" w:rsidRPr="00E273E9" w:rsidRDefault="00FC5F65" w:rsidP="00FC5F65">
            <w:pPr>
              <w:ind w:firstLine="315"/>
              <w:jc w:val="both"/>
              <w:rPr>
                <w:lang w:val="uk-UA"/>
              </w:rPr>
            </w:pPr>
            <w:r w:rsidRPr="00E273E9">
              <w:rPr>
                <w:lang w:val="uk-UA"/>
              </w:rPr>
              <w:t>9. Фінансова звітність суб'єктів державного сектору подається контролюючим суб'єктам державного сектору з відміткою органів Казначейства щодо відповідності аналогічним даним, відображеним у бухгалтерському обліку органів Казначейства.</w:t>
            </w:r>
          </w:p>
          <w:p w:rsidR="00FC5F65" w:rsidRPr="00E273E9" w:rsidRDefault="00FC5F65" w:rsidP="00FC5F65">
            <w:pPr>
              <w:ind w:firstLine="315"/>
              <w:jc w:val="both"/>
              <w:rPr>
                <w:lang w:val="uk-UA"/>
              </w:rPr>
            </w:pPr>
            <w:r w:rsidRPr="00E273E9">
              <w:rPr>
                <w:lang w:val="uk-UA"/>
              </w:rPr>
              <w:t xml:space="preserve">Усі форми фінансової звітності суб'єктів державного сектору, а також консолідована фінансова звітність перевіряються і візуються </w:t>
            </w:r>
            <w:r w:rsidRPr="007F5020">
              <w:rPr>
                <w:lang w:val="uk-UA"/>
              </w:rPr>
              <w:t>відповідним</w:t>
            </w:r>
            <w:r>
              <w:rPr>
                <w:lang w:val="uk-UA"/>
              </w:rPr>
              <w:t xml:space="preserve"> органом Казначейства шляхом:</w:t>
            </w:r>
          </w:p>
          <w:p w:rsidR="00FC5F65" w:rsidRPr="007F5020" w:rsidRDefault="00FC5F65" w:rsidP="00FC5F65">
            <w:pPr>
              <w:ind w:firstLine="315"/>
              <w:jc w:val="both"/>
              <w:rPr>
                <w:lang w:val="uk-UA"/>
              </w:rPr>
            </w:pPr>
            <w:r w:rsidRPr="00E273E9">
              <w:rPr>
                <w:lang w:val="uk-UA"/>
              </w:rPr>
              <w:t xml:space="preserve">накладання кваліфікованого електронного підпису на кожну форму фінансової звітності </w:t>
            </w:r>
            <w:r w:rsidRPr="007F5020">
              <w:rPr>
                <w:lang w:val="uk-UA"/>
              </w:rPr>
              <w:t>(у разі подання звітності із застосуванням автоматизованої системи подання електронної звітності клієнтами Казначейства (далі - АС "Є-Звітність");</w:t>
            </w:r>
          </w:p>
          <w:p w:rsidR="00FC5F65" w:rsidRPr="007F5020" w:rsidRDefault="00FC5F65" w:rsidP="00FC5F65">
            <w:pPr>
              <w:ind w:firstLine="315"/>
              <w:jc w:val="both"/>
              <w:rPr>
                <w:lang w:val="uk-UA"/>
              </w:rPr>
            </w:pPr>
            <w:r w:rsidRPr="007F5020">
              <w:rPr>
                <w:lang w:val="uk-UA"/>
              </w:rPr>
              <w:t xml:space="preserve">засвідчення підписом на кожній сторінці всіх форм фінансової звітності </w:t>
            </w:r>
            <w:r w:rsidRPr="00381D83">
              <w:rPr>
                <w:b/>
                <w:lang w:val="uk-UA"/>
              </w:rPr>
              <w:t xml:space="preserve">із зазначенням посади, власного імені та прізвища відповідальної особи органу Казначейства та дати перевірки звітності </w:t>
            </w:r>
            <w:r w:rsidRPr="007F5020">
              <w:rPr>
                <w:lang w:val="uk-UA"/>
              </w:rPr>
              <w:t>(у разі подання звітності на паперових носіях).</w:t>
            </w:r>
          </w:p>
          <w:p w:rsidR="00FC5F65" w:rsidRPr="007F5020" w:rsidRDefault="00FC5F65" w:rsidP="00FC5F65">
            <w:pPr>
              <w:ind w:firstLine="310"/>
              <w:jc w:val="both"/>
              <w:rPr>
                <w:lang w:val="uk-UA"/>
              </w:rPr>
            </w:pPr>
            <w:r w:rsidRPr="007F5020">
              <w:rPr>
                <w:lang w:val="uk-UA"/>
              </w:rPr>
              <w:t>Контролюючі суб'єкти державного сектору до фінансової звітності додають форми фінансової звітності контрольованих суб'єктів державного сектору, які територіально розміщені в інших областях, з відміткою відповідних органів Казначейства.</w:t>
            </w:r>
          </w:p>
        </w:tc>
      </w:tr>
      <w:tr w:rsidR="00BB1B21" w:rsidTr="00FC5F65">
        <w:tc>
          <w:tcPr>
            <w:tcW w:w="7564" w:type="dxa"/>
          </w:tcPr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13. У процесі подання звітності органам Казначейства може здійснюватися обмін документами в електронному вигляді, в тому числі електронними документами. При поданні звітності в електронному вигляді застосовуються вимоги Законів України "Про електронні документи та електронний документообіг", "Про електронні довірчі послуги".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 xml:space="preserve">Форми звітності складаються та подаються із </w:t>
            </w:r>
            <w:r>
              <w:rPr>
                <w:lang w:val="uk-UA"/>
              </w:rPr>
              <w:t>застосуванням АС "Є-Звітність".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Казначейство забезпечує розміщення на офіційному веб-сайті Казначейства інформації щодо пор</w:t>
            </w:r>
            <w:r>
              <w:rPr>
                <w:lang w:val="uk-UA"/>
              </w:rPr>
              <w:t>ядку роботи в АС "Є-Звітність".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При поданні звітності до органів Казначейства АС "Є-Звітність" формує пов</w:t>
            </w:r>
            <w:r>
              <w:rPr>
                <w:lang w:val="uk-UA"/>
              </w:rPr>
              <w:t>ідомлення про статус документа.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 xml:space="preserve">Підтвердженням </w:t>
            </w:r>
            <w:r>
              <w:rPr>
                <w:lang w:val="uk-UA"/>
              </w:rPr>
              <w:t>ус</w:t>
            </w:r>
            <w:r w:rsidRPr="00FF737D">
              <w:rPr>
                <w:lang w:val="uk-UA"/>
              </w:rPr>
              <w:t>пішної передачі звітності до органів Казначейства є повідомлення про статус переданог</w:t>
            </w:r>
            <w:r>
              <w:rPr>
                <w:lang w:val="uk-UA"/>
              </w:rPr>
              <w:t>о документа в АС "Є-Звітність".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У разі невдалої спроби передавання звітності в електронному вигляді до органів Казначейства АС "Є-Звітність" формує повідомлення про неприйняття звітності. Суб'єкти державного сектору здійснюють заходи щодо по</w:t>
            </w:r>
            <w:r>
              <w:rPr>
                <w:lang w:val="uk-UA"/>
              </w:rPr>
              <w:t>вторного передавання звітності.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У разі неможливості подання звітності до АС "Є-Звітність" через мережу Інтернет з технічних причин або в інших випадках, визначених законодавством, звітність подається до АС "Є-Звітність" з окремо налаштованого робочо</w:t>
            </w:r>
            <w:r>
              <w:rPr>
                <w:lang w:val="uk-UA"/>
              </w:rPr>
              <w:t>го місця в органі Казначейства.</w:t>
            </w:r>
          </w:p>
          <w:p w:rsidR="00BB1B21" w:rsidRPr="00CA2389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CA2389">
              <w:rPr>
                <w:lang w:val="uk-UA"/>
              </w:rPr>
              <w:t>У разі неможливості подання звітності до АС "Є-Звітність" в порядку, визначеному в абзацах другому, сьомому цього пункту, звітність до органів Казначейства подається на паперових носіях.</w:t>
            </w:r>
          </w:p>
        </w:tc>
        <w:tc>
          <w:tcPr>
            <w:tcW w:w="7564" w:type="dxa"/>
          </w:tcPr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13. У процесі подання звітності органам Казначейства може здійснюватися обмін документами в електронному вигляді, в тому числі електронними документами. При поданні звітності в електронному вигляді застосовуються вимоги Законів України "Про електронні документи та електронний документообіг", "Про електронні довірчі послуги".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 xml:space="preserve">Форми звітності складаються та подаються із </w:t>
            </w:r>
            <w:r>
              <w:rPr>
                <w:lang w:val="uk-UA"/>
              </w:rPr>
              <w:t>застосуванням АС "Є-Звітність".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Казначейство забезпеч</w:t>
            </w:r>
            <w:r>
              <w:rPr>
                <w:lang w:val="uk-UA"/>
              </w:rPr>
              <w:t xml:space="preserve">ує розміщення на офіційному </w:t>
            </w:r>
            <w:proofErr w:type="spellStart"/>
            <w:r w:rsidRPr="00C348BD">
              <w:rPr>
                <w:b/>
                <w:lang w:val="uk-UA"/>
              </w:rPr>
              <w:t>вебсайті</w:t>
            </w:r>
            <w:proofErr w:type="spellEnd"/>
            <w:r w:rsidRPr="00FF737D">
              <w:rPr>
                <w:lang w:val="uk-UA"/>
              </w:rPr>
              <w:t xml:space="preserve"> Казначейства інформації щодо пор</w:t>
            </w:r>
            <w:r>
              <w:rPr>
                <w:lang w:val="uk-UA"/>
              </w:rPr>
              <w:t>ядку роботи в АС "Є-Звітність".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При поданні звітності до органів Казначейства АС "Є-Звітність" формує пов</w:t>
            </w:r>
            <w:r>
              <w:rPr>
                <w:lang w:val="uk-UA"/>
              </w:rPr>
              <w:t>ідомлення про статус документа.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 xml:space="preserve">Підтвердженням </w:t>
            </w:r>
            <w:r>
              <w:rPr>
                <w:lang w:val="uk-UA"/>
              </w:rPr>
              <w:t>ус</w:t>
            </w:r>
            <w:r w:rsidRPr="00FF737D">
              <w:rPr>
                <w:lang w:val="uk-UA"/>
              </w:rPr>
              <w:t>пішної передачі звітності до органів Казначейства є повідомлення про статус переданог</w:t>
            </w:r>
            <w:r>
              <w:rPr>
                <w:lang w:val="uk-UA"/>
              </w:rPr>
              <w:t>о документа в АС "Є-Звітність".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У разі невдалої спроби передавання звітності в електронному вигляді до органів Казначейства АС "Є-Звітність" формує повідомлення про неприйняття звітності. Суб'єкти державного сектору здійснюють заходи щодо по</w:t>
            </w:r>
            <w:r>
              <w:rPr>
                <w:lang w:val="uk-UA"/>
              </w:rPr>
              <w:t>вторного передавання звітності.</w:t>
            </w:r>
          </w:p>
          <w:p w:rsidR="00BB1B21" w:rsidRPr="00FF737D" w:rsidRDefault="00BB1B21" w:rsidP="00BB1B21">
            <w:pPr>
              <w:ind w:firstLine="318"/>
              <w:jc w:val="both"/>
              <w:rPr>
                <w:lang w:val="uk-UA"/>
              </w:rPr>
            </w:pPr>
            <w:r w:rsidRPr="00FF737D">
              <w:rPr>
                <w:lang w:val="uk-UA"/>
              </w:rPr>
              <w:t>У разі неможливості подання звітності до АС "Є-Звітність" через мережу Інтернет з технічних причин або в інших випадках, визначених законодавством, звітність подається до АС "Є-Звітність" з окремо налаштованого робочо</w:t>
            </w:r>
            <w:r>
              <w:rPr>
                <w:lang w:val="uk-UA"/>
              </w:rPr>
              <w:t>го місця в органі Казначейства.</w:t>
            </w:r>
          </w:p>
          <w:p w:rsidR="00BB1B21" w:rsidRPr="00C348BD" w:rsidRDefault="00BB1B21" w:rsidP="00BB1B21">
            <w:pPr>
              <w:ind w:firstLine="332"/>
              <w:jc w:val="both"/>
              <w:rPr>
                <w:lang w:val="uk-UA"/>
              </w:rPr>
            </w:pPr>
            <w:r w:rsidRPr="00C348BD">
              <w:rPr>
                <w:lang w:val="uk-UA"/>
              </w:rPr>
              <w:t>У разі неможливості подання звітності до АС "Є-Звітність" в порядку, визначеному в абзацах другому, сьомому цього пункту, звітність до органів Казначейства подається на паперових носіях</w:t>
            </w:r>
            <w:r>
              <w:rPr>
                <w:lang w:val="uk-UA"/>
              </w:rPr>
              <w:t xml:space="preserve"> </w:t>
            </w:r>
            <w:r w:rsidRPr="0005745A">
              <w:rPr>
                <w:b/>
                <w:lang w:val="uk-UA"/>
              </w:rPr>
              <w:t>з поданням звітності до АС «Є-Звітність» після усунення обставин, які стали причиною подання звітності на паперових носіях</w:t>
            </w:r>
            <w:r w:rsidRPr="00C348BD">
              <w:rPr>
                <w:lang w:val="uk-UA"/>
              </w:rPr>
              <w:t>.</w:t>
            </w:r>
          </w:p>
        </w:tc>
      </w:tr>
      <w:tr w:rsidR="00F10E05" w:rsidTr="00551979">
        <w:tc>
          <w:tcPr>
            <w:tcW w:w="15128" w:type="dxa"/>
            <w:gridSpan w:val="2"/>
          </w:tcPr>
          <w:p w:rsidR="00F10E05" w:rsidRDefault="00F10E05" w:rsidP="00BB1B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………………………….</w:t>
            </w:r>
          </w:p>
        </w:tc>
      </w:tr>
      <w:tr w:rsidR="00F10E05" w:rsidTr="00D34BC3">
        <w:tc>
          <w:tcPr>
            <w:tcW w:w="15128" w:type="dxa"/>
            <w:gridSpan w:val="2"/>
          </w:tcPr>
          <w:p w:rsidR="00F10E05" w:rsidRDefault="00F10E05" w:rsidP="00F10E05">
            <w:pPr>
              <w:jc w:val="center"/>
              <w:rPr>
                <w:lang w:val="uk-UA"/>
              </w:rPr>
            </w:pPr>
            <w:r w:rsidRPr="00C901B2">
              <w:rPr>
                <w:b/>
                <w:lang w:val="uk-UA"/>
              </w:rPr>
              <w:t>Розділ II. Порядок заповнення форм фінансової звітності</w:t>
            </w:r>
          </w:p>
        </w:tc>
      </w:tr>
      <w:tr w:rsidR="00F10E05" w:rsidTr="000E3680">
        <w:tc>
          <w:tcPr>
            <w:tcW w:w="15128" w:type="dxa"/>
            <w:gridSpan w:val="2"/>
          </w:tcPr>
          <w:p w:rsidR="00F10E05" w:rsidRPr="004C5531" w:rsidRDefault="00F10E05" w:rsidP="00F10E05">
            <w:pPr>
              <w:jc w:val="center"/>
              <w:rPr>
                <w:lang w:val="uk-UA"/>
              </w:rPr>
            </w:pPr>
            <w:r w:rsidRPr="004C5531">
              <w:rPr>
                <w:lang w:val="uk-UA"/>
              </w:rPr>
              <w:t>1. Заповнення форми № 1-дс «Баланс» здійснюється у такому порядку:</w:t>
            </w:r>
          </w:p>
        </w:tc>
      </w:tr>
      <w:tr w:rsidR="00F10E05" w:rsidTr="003C04DA">
        <w:tc>
          <w:tcPr>
            <w:tcW w:w="15128" w:type="dxa"/>
            <w:gridSpan w:val="2"/>
          </w:tcPr>
          <w:p w:rsidR="00F10E05" w:rsidRDefault="00F10E05" w:rsidP="00F10E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……………………………</w:t>
            </w:r>
          </w:p>
        </w:tc>
      </w:tr>
      <w:tr w:rsidR="00F10E05" w:rsidTr="003C04DA">
        <w:tc>
          <w:tcPr>
            <w:tcW w:w="15128" w:type="dxa"/>
            <w:gridSpan w:val="2"/>
          </w:tcPr>
          <w:p w:rsidR="00F10E05" w:rsidRDefault="00F10E05" w:rsidP="00F10E05">
            <w:pPr>
              <w:jc w:val="center"/>
              <w:rPr>
                <w:lang w:val="uk-UA"/>
              </w:rPr>
            </w:pPr>
            <w:r w:rsidRPr="004C5531">
              <w:rPr>
                <w:b/>
                <w:lang w:val="uk-UA"/>
              </w:rPr>
              <w:t>Пасив</w:t>
            </w:r>
          </w:p>
        </w:tc>
      </w:tr>
      <w:tr w:rsidR="00F10E05" w:rsidTr="003C04DA">
        <w:tc>
          <w:tcPr>
            <w:tcW w:w="15128" w:type="dxa"/>
            <w:gridSpan w:val="2"/>
          </w:tcPr>
          <w:p w:rsidR="00F10E05" w:rsidRDefault="00F10E05" w:rsidP="00F10E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……………………………</w:t>
            </w:r>
          </w:p>
        </w:tc>
      </w:tr>
      <w:tr w:rsidR="00F10E05" w:rsidTr="003C04DA">
        <w:tc>
          <w:tcPr>
            <w:tcW w:w="15128" w:type="dxa"/>
            <w:gridSpan w:val="2"/>
          </w:tcPr>
          <w:p w:rsidR="00F10E05" w:rsidRDefault="00F10E05" w:rsidP="00F10E05">
            <w:pPr>
              <w:jc w:val="center"/>
              <w:rPr>
                <w:lang w:val="uk-UA"/>
              </w:rPr>
            </w:pPr>
            <w:r w:rsidRPr="00C901B2">
              <w:rPr>
                <w:b/>
                <w:lang w:val="uk-UA"/>
              </w:rPr>
              <w:t>Розділ II. Зобов'язання</w:t>
            </w:r>
          </w:p>
        </w:tc>
      </w:tr>
      <w:tr w:rsidR="00F10E05" w:rsidTr="00FC5F65">
        <w:tc>
          <w:tcPr>
            <w:tcW w:w="7564" w:type="dxa"/>
          </w:tcPr>
          <w:p w:rsidR="00F10E05" w:rsidRPr="00E273E9" w:rsidRDefault="00F10E05" w:rsidP="00F10E05">
            <w:pPr>
              <w:ind w:firstLine="315"/>
              <w:jc w:val="both"/>
              <w:rPr>
                <w:lang w:val="uk-UA"/>
              </w:rPr>
            </w:pPr>
            <w:r w:rsidRPr="00C901B2">
              <w:rPr>
                <w:lang w:val="uk-UA"/>
              </w:rPr>
              <w:t>У статті "Довгострокові зобов'язання за цінними паперами" відображаються зобов'язання за довгостроковими цінними паперами. У цій статті наводиться сума зобов'язань за розрахунками з постачальниками, підрядниками та іншими кредиторами за матеріальні цінності, виконані роботи, отримані послуги та за іншими операціями, заборгованість за якими забезпечена виданими векселями та не є поточним зобов'язанням. Органи Казначейства у цій статті відображають зобов'язання за довгостроковими цінними паперами державного або місцевих бюджетів.</w:t>
            </w:r>
          </w:p>
        </w:tc>
        <w:tc>
          <w:tcPr>
            <w:tcW w:w="7564" w:type="dxa"/>
          </w:tcPr>
          <w:p w:rsidR="00F10E05" w:rsidRPr="00E273E9" w:rsidRDefault="00F10E05" w:rsidP="00F10E05">
            <w:pPr>
              <w:jc w:val="both"/>
              <w:rPr>
                <w:lang w:val="uk-UA"/>
              </w:rPr>
            </w:pPr>
            <w:r w:rsidRPr="00C901B2">
              <w:rPr>
                <w:lang w:val="uk-UA"/>
              </w:rPr>
              <w:t xml:space="preserve">У статті "Довгострокові зобов'язання за цінними паперами" відображаються зобов'язання за довгостроковими </w:t>
            </w:r>
            <w:r w:rsidRPr="00C901B2">
              <w:rPr>
                <w:b/>
                <w:lang w:val="uk-UA"/>
              </w:rPr>
              <w:t xml:space="preserve">(середньостроковими) </w:t>
            </w:r>
            <w:r w:rsidRPr="00C901B2">
              <w:rPr>
                <w:lang w:val="uk-UA"/>
              </w:rPr>
              <w:t xml:space="preserve">цінними паперами. У цій статті наводиться сума зобов'язань за розрахунками з постачальниками, підрядниками та іншими кредиторами за матеріальні цінності, виконані роботи, отримані послуги та за іншими операціями, заборгованість за якими забезпечена виданими векселями та не є поточним зобов'язанням. Органи Казначейства у цій статті відображають зобов'язання за довгостроковими </w:t>
            </w:r>
            <w:r w:rsidRPr="00C901B2">
              <w:rPr>
                <w:b/>
                <w:lang w:val="uk-UA"/>
              </w:rPr>
              <w:t xml:space="preserve">(середньостроковими) </w:t>
            </w:r>
            <w:r w:rsidRPr="00C901B2">
              <w:rPr>
                <w:lang w:val="uk-UA"/>
              </w:rPr>
              <w:t>цінними паперами державного або місцевих бюджетів.</w:t>
            </w:r>
          </w:p>
        </w:tc>
      </w:tr>
      <w:tr w:rsidR="00F10E05" w:rsidTr="00D87BBA">
        <w:tc>
          <w:tcPr>
            <w:tcW w:w="15128" w:type="dxa"/>
            <w:gridSpan w:val="2"/>
          </w:tcPr>
          <w:p w:rsidR="00F10E05" w:rsidRDefault="00F10E05" w:rsidP="00F10E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…………………………..</w:t>
            </w:r>
          </w:p>
        </w:tc>
      </w:tr>
      <w:tr w:rsidR="00F10E05" w:rsidTr="00FC5F65">
        <w:tc>
          <w:tcPr>
            <w:tcW w:w="7564" w:type="dxa"/>
          </w:tcPr>
          <w:p w:rsidR="00F10E05" w:rsidRPr="00E273E9" w:rsidRDefault="00F10E05" w:rsidP="00F10E05">
            <w:pPr>
              <w:jc w:val="both"/>
              <w:rPr>
                <w:lang w:val="uk-UA"/>
              </w:rPr>
            </w:pPr>
            <w:r w:rsidRPr="00C901B2">
              <w:rPr>
                <w:lang w:val="uk-UA"/>
              </w:rPr>
              <w:t xml:space="preserve">У статті "Інші поточні зобов'язання" відображаються поточні зобов'язання за цінними паперами, розрахунками з депонентами, за депозитними сумами, розрахунками за страхуванням, за спеціальними видами платежів, операціями зі спільної діяльності та іншими кредиторами. Органи Казначейства у цій статті відображають інформацію про кошти, розміщені на депозитних рахунках, та </w:t>
            </w:r>
            <w:r w:rsidRPr="008F1C79">
              <w:rPr>
                <w:strike/>
                <w:lang w:val="uk-UA"/>
              </w:rPr>
              <w:t>коротко- і середньострокові</w:t>
            </w:r>
            <w:r w:rsidRPr="00C901B2">
              <w:rPr>
                <w:lang w:val="uk-UA"/>
              </w:rPr>
              <w:t xml:space="preserve"> зобов'язання за цінними паперами державного або місцевих бюджетів. Окремо наводяться </w:t>
            </w:r>
            <w:r w:rsidRPr="008F1C79">
              <w:rPr>
                <w:strike/>
                <w:lang w:val="uk-UA"/>
              </w:rPr>
              <w:t>коротко- і середньострокові</w:t>
            </w:r>
            <w:r w:rsidRPr="00C901B2">
              <w:rPr>
                <w:lang w:val="uk-UA"/>
              </w:rPr>
              <w:t xml:space="preserve"> зобов'язання за цінними паперами державного або місцевих бюджетів.</w:t>
            </w:r>
          </w:p>
        </w:tc>
        <w:tc>
          <w:tcPr>
            <w:tcW w:w="7564" w:type="dxa"/>
          </w:tcPr>
          <w:p w:rsidR="00F10E05" w:rsidRPr="00E273E9" w:rsidRDefault="00F10E05" w:rsidP="00F10E05">
            <w:pPr>
              <w:jc w:val="both"/>
              <w:rPr>
                <w:lang w:val="uk-UA"/>
              </w:rPr>
            </w:pPr>
            <w:r w:rsidRPr="00C901B2">
              <w:rPr>
                <w:lang w:val="uk-UA"/>
              </w:rPr>
              <w:t xml:space="preserve">У статті "Інші поточні зобов'язання" відображаються поточні зобов'язання за цінними паперами, розрахунками з депонентами, за депозитними сумами, розрахунками за страхуванням, за спеціальними видами платежів, операціями зі спільної діяльності та іншими кредиторами. Органи Казначейства у цій статті відображають інформацію про кошти, розміщені на депозитних рахунках, та </w:t>
            </w:r>
            <w:r w:rsidRPr="00C901B2">
              <w:rPr>
                <w:b/>
                <w:lang w:val="uk-UA"/>
              </w:rPr>
              <w:t xml:space="preserve">короткострокові </w:t>
            </w:r>
            <w:r w:rsidRPr="00C901B2">
              <w:rPr>
                <w:lang w:val="uk-UA"/>
              </w:rPr>
              <w:t xml:space="preserve">зобов'язання за цінними паперами державного або місцевих бюджетів. Окремо наводяться </w:t>
            </w:r>
            <w:r w:rsidRPr="00C901B2">
              <w:rPr>
                <w:b/>
                <w:lang w:val="uk-UA"/>
              </w:rPr>
              <w:t xml:space="preserve">короткострокові </w:t>
            </w:r>
            <w:r w:rsidRPr="00C901B2">
              <w:rPr>
                <w:lang w:val="uk-UA"/>
              </w:rPr>
              <w:t>зобов'язання за цінними паперами державного або місцевих бюджетів.</w:t>
            </w:r>
          </w:p>
        </w:tc>
      </w:tr>
    </w:tbl>
    <w:p w:rsidR="00EE1603" w:rsidRDefault="00EE1603" w:rsidP="00EE1603">
      <w:pPr>
        <w:jc w:val="center"/>
        <w:rPr>
          <w:lang w:val="uk-UA"/>
        </w:rPr>
      </w:pPr>
    </w:p>
    <w:p w:rsidR="00167A48" w:rsidRDefault="00167A48" w:rsidP="00EE1603">
      <w:pPr>
        <w:jc w:val="center"/>
        <w:rPr>
          <w:lang w:val="uk-UA"/>
        </w:rPr>
      </w:pPr>
    </w:p>
    <w:p w:rsidR="00167A48" w:rsidRDefault="00167A48" w:rsidP="00EE1603">
      <w:pPr>
        <w:jc w:val="center"/>
        <w:rPr>
          <w:lang w:val="uk-UA"/>
        </w:rPr>
      </w:pPr>
    </w:p>
    <w:p w:rsidR="00167A48" w:rsidRDefault="00167A48" w:rsidP="00167A48">
      <w:pPr>
        <w:jc w:val="both"/>
        <w:rPr>
          <w:b/>
          <w:sz w:val="28"/>
          <w:szCs w:val="28"/>
          <w:lang w:val="uk-UA"/>
        </w:rPr>
      </w:pPr>
      <w:r w:rsidRPr="00167A48">
        <w:rPr>
          <w:b/>
          <w:sz w:val="28"/>
          <w:szCs w:val="28"/>
          <w:lang w:val="uk-UA"/>
        </w:rPr>
        <w:t xml:space="preserve">Міністр фінансів України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Pr="00167A48">
        <w:rPr>
          <w:b/>
          <w:sz w:val="28"/>
          <w:szCs w:val="28"/>
          <w:lang w:val="uk-UA"/>
        </w:rPr>
        <w:t xml:space="preserve">   Сергій МАРЧЕНКО</w:t>
      </w:r>
    </w:p>
    <w:p w:rsidR="00167A48" w:rsidRDefault="00167A48" w:rsidP="00167A48">
      <w:pPr>
        <w:jc w:val="both"/>
        <w:rPr>
          <w:b/>
          <w:sz w:val="28"/>
          <w:szCs w:val="28"/>
          <w:lang w:val="uk-UA"/>
        </w:rPr>
      </w:pPr>
    </w:p>
    <w:p w:rsidR="00167A48" w:rsidRDefault="00167A48" w:rsidP="00167A48">
      <w:pPr>
        <w:ind w:left="-851"/>
        <w:rPr>
          <w:sz w:val="28"/>
          <w:szCs w:val="28"/>
        </w:rPr>
      </w:pPr>
    </w:p>
    <w:p w:rsidR="00167A48" w:rsidRPr="007A1699" w:rsidRDefault="00167A48" w:rsidP="00167A48">
      <w:pPr>
        <w:rPr>
          <w:sz w:val="28"/>
          <w:szCs w:val="28"/>
        </w:rPr>
      </w:pPr>
      <w:r w:rsidRPr="007A1699">
        <w:rPr>
          <w:sz w:val="28"/>
          <w:szCs w:val="28"/>
        </w:rPr>
        <w:t xml:space="preserve">____ ___________20__ р. </w:t>
      </w:r>
    </w:p>
    <w:p w:rsidR="00167A48" w:rsidRPr="00167A48" w:rsidRDefault="00167A48" w:rsidP="00167A48">
      <w:pPr>
        <w:jc w:val="both"/>
        <w:rPr>
          <w:b/>
          <w:sz w:val="28"/>
          <w:szCs w:val="28"/>
          <w:lang w:val="uk-UA"/>
        </w:rPr>
      </w:pPr>
    </w:p>
    <w:sectPr w:rsidR="00167A48" w:rsidRPr="00167A48" w:rsidSect="008D72B5">
      <w:headerReference w:type="default" r:id="rId7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FD" w:rsidRDefault="001920FD" w:rsidP="008D72B5">
      <w:r>
        <w:separator/>
      </w:r>
    </w:p>
  </w:endnote>
  <w:endnote w:type="continuationSeparator" w:id="0">
    <w:p w:rsidR="001920FD" w:rsidRDefault="001920FD" w:rsidP="008D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FD" w:rsidRDefault="001920FD" w:rsidP="008D72B5">
      <w:r>
        <w:separator/>
      </w:r>
    </w:p>
  </w:footnote>
  <w:footnote w:type="continuationSeparator" w:id="0">
    <w:p w:rsidR="001920FD" w:rsidRDefault="001920FD" w:rsidP="008D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661962"/>
      <w:docPartObj>
        <w:docPartGallery w:val="Page Numbers (Top of Page)"/>
        <w:docPartUnique/>
      </w:docPartObj>
    </w:sdtPr>
    <w:sdtEndPr/>
    <w:sdtContent>
      <w:p w:rsidR="008D72B5" w:rsidRDefault="008D72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36" w:rsidRPr="003F1436">
          <w:rPr>
            <w:noProof/>
            <w:lang w:val="uk-UA"/>
          </w:rPr>
          <w:t>4</w:t>
        </w:r>
        <w:r>
          <w:fldChar w:fldCharType="end"/>
        </w:r>
      </w:p>
    </w:sdtContent>
  </w:sdt>
  <w:p w:rsidR="008D72B5" w:rsidRDefault="008D72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03"/>
    <w:rsid w:val="0003126A"/>
    <w:rsid w:val="000774C0"/>
    <w:rsid w:val="00096FC8"/>
    <w:rsid w:val="000B50A7"/>
    <w:rsid w:val="000E07E7"/>
    <w:rsid w:val="0010555D"/>
    <w:rsid w:val="0011246F"/>
    <w:rsid w:val="001225BC"/>
    <w:rsid w:val="00161075"/>
    <w:rsid w:val="00167A48"/>
    <w:rsid w:val="001920FD"/>
    <w:rsid w:val="001C1CDB"/>
    <w:rsid w:val="001F0666"/>
    <w:rsid w:val="00203FB6"/>
    <w:rsid w:val="002344BF"/>
    <w:rsid w:val="002539B9"/>
    <w:rsid w:val="00284F49"/>
    <w:rsid w:val="00317FD7"/>
    <w:rsid w:val="0032657C"/>
    <w:rsid w:val="00381D83"/>
    <w:rsid w:val="0039736C"/>
    <w:rsid w:val="003C29D9"/>
    <w:rsid w:val="003C7F2B"/>
    <w:rsid w:val="003F1436"/>
    <w:rsid w:val="00422C6A"/>
    <w:rsid w:val="00487D49"/>
    <w:rsid w:val="004C5531"/>
    <w:rsid w:val="004E2B3D"/>
    <w:rsid w:val="004F0E09"/>
    <w:rsid w:val="00552466"/>
    <w:rsid w:val="00580270"/>
    <w:rsid w:val="005838C0"/>
    <w:rsid w:val="005B4A51"/>
    <w:rsid w:val="005B7748"/>
    <w:rsid w:val="005C29A3"/>
    <w:rsid w:val="006377C8"/>
    <w:rsid w:val="00637CED"/>
    <w:rsid w:val="00652621"/>
    <w:rsid w:val="0069054B"/>
    <w:rsid w:val="006D10E5"/>
    <w:rsid w:val="00702009"/>
    <w:rsid w:val="007109AC"/>
    <w:rsid w:val="00742C40"/>
    <w:rsid w:val="00782E58"/>
    <w:rsid w:val="007A14FE"/>
    <w:rsid w:val="007E6A35"/>
    <w:rsid w:val="007E70A1"/>
    <w:rsid w:val="007F5020"/>
    <w:rsid w:val="00824086"/>
    <w:rsid w:val="008362B3"/>
    <w:rsid w:val="00836CC2"/>
    <w:rsid w:val="008A6A22"/>
    <w:rsid w:val="008C1E4F"/>
    <w:rsid w:val="008D72B5"/>
    <w:rsid w:val="008F1C79"/>
    <w:rsid w:val="008F3978"/>
    <w:rsid w:val="00945CF4"/>
    <w:rsid w:val="009D3E50"/>
    <w:rsid w:val="009F58C6"/>
    <w:rsid w:val="00A340E9"/>
    <w:rsid w:val="00A837DF"/>
    <w:rsid w:val="00B10E26"/>
    <w:rsid w:val="00BB1B21"/>
    <w:rsid w:val="00BC371B"/>
    <w:rsid w:val="00BE0A7C"/>
    <w:rsid w:val="00BE1AA1"/>
    <w:rsid w:val="00C348BD"/>
    <w:rsid w:val="00C82995"/>
    <w:rsid w:val="00CA0CF1"/>
    <w:rsid w:val="00CA2389"/>
    <w:rsid w:val="00D3149E"/>
    <w:rsid w:val="00D45AFE"/>
    <w:rsid w:val="00D82911"/>
    <w:rsid w:val="00D90EE2"/>
    <w:rsid w:val="00DC7474"/>
    <w:rsid w:val="00DF43F3"/>
    <w:rsid w:val="00DF798F"/>
    <w:rsid w:val="00E03E10"/>
    <w:rsid w:val="00E273E9"/>
    <w:rsid w:val="00EA6D45"/>
    <w:rsid w:val="00EB77BB"/>
    <w:rsid w:val="00EE1603"/>
    <w:rsid w:val="00EF5FE5"/>
    <w:rsid w:val="00EF6D50"/>
    <w:rsid w:val="00F077E0"/>
    <w:rsid w:val="00F10E05"/>
    <w:rsid w:val="00F45B36"/>
    <w:rsid w:val="00F96C36"/>
    <w:rsid w:val="00FC5F65"/>
    <w:rsid w:val="00FF3428"/>
    <w:rsid w:val="00FF6DDA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538F"/>
  <w15:chartTrackingRefBased/>
  <w15:docId w15:val="{032923CB-DB90-48D6-9282-728CEF07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829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8D72B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72B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iPriority w:val="99"/>
    <w:unhideWhenUsed/>
    <w:rsid w:val="008D72B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72B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Balloon Text"/>
    <w:basedOn w:val="a"/>
    <w:link w:val="aa"/>
    <w:uiPriority w:val="99"/>
    <w:semiHidden/>
    <w:unhideWhenUsed/>
    <w:rsid w:val="00BE1AA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E1AA1"/>
    <w:rPr>
      <w:rFonts w:ascii="Segoe UI" w:eastAsia="Times New Roman" w:hAnsi="Segoe UI" w:cs="Segoe UI"/>
      <w:sz w:val="18"/>
      <w:szCs w:val="18"/>
      <w:lang w:val="ru-RU" w:eastAsia="ar-SA"/>
    </w:rPr>
  </w:style>
  <w:style w:type="character" w:styleId="ab">
    <w:name w:val="Hyperlink"/>
    <w:basedOn w:val="a0"/>
    <w:uiPriority w:val="99"/>
    <w:semiHidden/>
    <w:unhideWhenUsed/>
    <w:rsid w:val="00234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FEC9-C460-4BC8-A63C-BEB11E27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6778</Words>
  <Characters>3865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Токарева Світлана Володимирівна</cp:lastModifiedBy>
  <cp:revision>4</cp:revision>
  <cp:lastPrinted>2021-03-05T14:23:00Z</cp:lastPrinted>
  <dcterms:created xsi:type="dcterms:W3CDTF">2021-03-11T09:38:00Z</dcterms:created>
  <dcterms:modified xsi:type="dcterms:W3CDTF">2021-03-11T11:24:00Z</dcterms:modified>
</cp:coreProperties>
</file>