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91" w:rsidRPr="00AD6627" w:rsidRDefault="00B6116E" w:rsidP="00B6116E">
      <w:pPr>
        <w:spacing w:after="0" w:line="240" w:lineRule="auto"/>
        <w:jc w:val="center"/>
        <w:rPr>
          <w:rFonts w:ascii="Times New Roman" w:hAnsi="Times New Roman" w:cs="Times New Roman"/>
          <w:b/>
          <w:sz w:val="28"/>
          <w:szCs w:val="28"/>
        </w:rPr>
      </w:pPr>
      <w:r w:rsidRPr="00AD6627">
        <w:rPr>
          <w:rFonts w:ascii="Times New Roman" w:hAnsi="Times New Roman" w:cs="Times New Roman"/>
          <w:b/>
          <w:sz w:val="28"/>
          <w:szCs w:val="28"/>
        </w:rPr>
        <w:t xml:space="preserve">ПОРІВНЯЛЬНА ТАБЛИЦЯ </w:t>
      </w:r>
    </w:p>
    <w:p w:rsidR="007D3DF5" w:rsidRPr="00AD6627" w:rsidRDefault="00B6116E" w:rsidP="00052A38">
      <w:pPr>
        <w:spacing w:after="0" w:line="240" w:lineRule="auto"/>
        <w:jc w:val="center"/>
        <w:rPr>
          <w:rFonts w:ascii="Times New Roman" w:hAnsi="Times New Roman" w:cs="Times New Roman"/>
          <w:b/>
          <w:sz w:val="28"/>
          <w:szCs w:val="28"/>
        </w:rPr>
      </w:pPr>
      <w:r w:rsidRPr="00AD6627">
        <w:rPr>
          <w:rFonts w:ascii="Times New Roman" w:hAnsi="Times New Roman" w:cs="Times New Roman"/>
          <w:b/>
          <w:sz w:val="28"/>
          <w:szCs w:val="28"/>
        </w:rPr>
        <w:t xml:space="preserve">до </w:t>
      </w:r>
      <w:proofErr w:type="spellStart"/>
      <w:r w:rsidRPr="00AD6627">
        <w:rPr>
          <w:rFonts w:ascii="Times New Roman" w:hAnsi="Times New Roman" w:cs="Times New Roman"/>
          <w:b/>
          <w:sz w:val="28"/>
          <w:szCs w:val="28"/>
        </w:rPr>
        <w:t>про</w:t>
      </w:r>
      <w:r w:rsidR="00914B9B">
        <w:rPr>
          <w:rFonts w:ascii="Times New Roman" w:hAnsi="Times New Roman" w:cs="Times New Roman"/>
          <w:b/>
          <w:sz w:val="28"/>
          <w:szCs w:val="28"/>
        </w:rPr>
        <w:t>є</w:t>
      </w:r>
      <w:r w:rsidRPr="00AD6627">
        <w:rPr>
          <w:rFonts w:ascii="Times New Roman" w:hAnsi="Times New Roman" w:cs="Times New Roman"/>
          <w:b/>
          <w:sz w:val="28"/>
          <w:szCs w:val="28"/>
        </w:rPr>
        <w:t>кту</w:t>
      </w:r>
      <w:proofErr w:type="spellEnd"/>
      <w:r w:rsidRPr="00AD6627">
        <w:rPr>
          <w:rFonts w:ascii="Times New Roman" w:hAnsi="Times New Roman" w:cs="Times New Roman"/>
          <w:b/>
          <w:sz w:val="28"/>
          <w:szCs w:val="28"/>
        </w:rPr>
        <w:t xml:space="preserve"> наказу Міністерства фінансів України «</w:t>
      </w:r>
      <w:r w:rsidR="007D3DF5" w:rsidRPr="00AD6627">
        <w:rPr>
          <w:rFonts w:ascii="Times New Roman" w:hAnsi="Times New Roman" w:cs="Times New Roman"/>
          <w:b/>
          <w:sz w:val="28"/>
          <w:szCs w:val="28"/>
        </w:rPr>
        <w:t xml:space="preserve">Про затвердження Змін до деяких </w:t>
      </w:r>
    </w:p>
    <w:p w:rsidR="000366FD" w:rsidRDefault="006A3ABE" w:rsidP="00052A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національних положень (стандартів) </w:t>
      </w:r>
      <w:r w:rsidR="007D3DF5" w:rsidRPr="00AD6627">
        <w:rPr>
          <w:rFonts w:ascii="Times New Roman" w:hAnsi="Times New Roman" w:cs="Times New Roman"/>
          <w:b/>
          <w:sz w:val="28"/>
          <w:szCs w:val="28"/>
        </w:rPr>
        <w:t>бухгалтерського обліку</w:t>
      </w:r>
      <w:r w:rsidR="00720513" w:rsidRPr="00AD6627">
        <w:rPr>
          <w:rFonts w:ascii="Times New Roman" w:hAnsi="Times New Roman" w:cs="Times New Roman"/>
          <w:b/>
          <w:sz w:val="28"/>
          <w:szCs w:val="28"/>
        </w:rPr>
        <w:t>»</w:t>
      </w:r>
    </w:p>
    <w:p w:rsidR="00CE49A8" w:rsidRPr="00AD6627" w:rsidRDefault="00CE49A8" w:rsidP="00052A38">
      <w:pPr>
        <w:spacing w:after="0" w:line="240" w:lineRule="auto"/>
        <w:jc w:val="center"/>
        <w:rPr>
          <w:rFonts w:ascii="Times New Roman" w:hAnsi="Times New Roman" w:cs="Times New Roman"/>
          <w:b/>
          <w:sz w:val="28"/>
          <w:szCs w:val="28"/>
        </w:rPr>
      </w:pPr>
    </w:p>
    <w:tbl>
      <w:tblPr>
        <w:tblStyle w:val="a3"/>
        <w:tblW w:w="15026" w:type="dxa"/>
        <w:tblInd w:w="-856" w:type="dxa"/>
        <w:tblLook w:val="04A0" w:firstRow="1" w:lastRow="0" w:firstColumn="1" w:lastColumn="0" w:noHBand="0" w:noVBand="1"/>
      </w:tblPr>
      <w:tblGrid>
        <w:gridCol w:w="7939"/>
        <w:gridCol w:w="7087"/>
      </w:tblGrid>
      <w:tr w:rsidR="005525BD" w:rsidRPr="007E1ED5" w:rsidTr="007E1ED5">
        <w:trPr>
          <w:trHeight w:val="225"/>
        </w:trPr>
        <w:tc>
          <w:tcPr>
            <w:tcW w:w="7939" w:type="dxa"/>
          </w:tcPr>
          <w:p w:rsidR="005525BD" w:rsidRPr="007E1ED5" w:rsidRDefault="005525BD" w:rsidP="00B6116E">
            <w:pPr>
              <w:jc w:val="center"/>
              <w:rPr>
                <w:rFonts w:ascii="Times New Roman" w:hAnsi="Times New Roman" w:cs="Times New Roman"/>
                <w:sz w:val="23"/>
                <w:szCs w:val="23"/>
              </w:rPr>
            </w:pPr>
            <w:r w:rsidRPr="007E1ED5">
              <w:rPr>
                <w:rFonts w:ascii="Times New Roman" w:hAnsi="Times New Roman" w:cs="Times New Roman"/>
                <w:sz w:val="23"/>
                <w:szCs w:val="23"/>
              </w:rPr>
              <w:t xml:space="preserve">Зміст положення </w:t>
            </w:r>
            <w:proofErr w:type="spellStart"/>
            <w:r w:rsidRPr="007E1ED5">
              <w:rPr>
                <w:rFonts w:ascii="Times New Roman" w:hAnsi="Times New Roman" w:cs="Times New Roman"/>
                <w:sz w:val="23"/>
                <w:szCs w:val="23"/>
              </w:rPr>
              <w:t>акта</w:t>
            </w:r>
            <w:proofErr w:type="spellEnd"/>
            <w:r w:rsidRPr="007E1ED5">
              <w:rPr>
                <w:rFonts w:ascii="Times New Roman" w:hAnsi="Times New Roman" w:cs="Times New Roman"/>
                <w:sz w:val="23"/>
                <w:szCs w:val="23"/>
              </w:rPr>
              <w:t xml:space="preserve"> законодавства</w:t>
            </w:r>
          </w:p>
        </w:tc>
        <w:tc>
          <w:tcPr>
            <w:tcW w:w="7087" w:type="dxa"/>
          </w:tcPr>
          <w:p w:rsidR="005525BD" w:rsidRPr="007E1ED5" w:rsidRDefault="005525BD" w:rsidP="00914B9B">
            <w:pPr>
              <w:jc w:val="center"/>
              <w:rPr>
                <w:rFonts w:ascii="Times New Roman" w:hAnsi="Times New Roman" w:cs="Times New Roman"/>
                <w:sz w:val="23"/>
                <w:szCs w:val="23"/>
              </w:rPr>
            </w:pPr>
            <w:r w:rsidRPr="007E1ED5">
              <w:rPr>
                <w:rFonts w:ascii="Times New Roman" w:hAnsi="Times New Roman" w:cs="Times New Roman"/>
                <w:sz w:val="23"/>
                <w:szCs w:val="23"/>
              </w:rPr>
              <w:t xml:space="preserve">Зміст відповідного положення </w:t>
            </w:r>
            <w:proofErr w:type="spellStart"/>
            <w:r w:rsidRPr="007E1ED5">
              <w:rPr>
                <w:rFonts w:ascii="Times New Roman" w:hAnsi="Times New Roman" w:cs="Times New Roman"/>
                <w:sz w:val="23"/>
                <w:szCs w:val="23"/>
              </w:rPr>
              <w:t>про</w:t>
            </w:r>
            <w:r w:rsidR="00914B9B">
              <w:rPr>
                <w:rFonts w:ascii="Times New Roman" w:hAnsi="Times New Roman" w:cs="Times New Roman"/>
                <w:sz w:val="23"/>
                <w:szCs w:val="23"/>
              </w:rPr>
              <w:t>є</w:t>
            </w:r>
            <w:r w:rsidRPr="007E1ED5">
              <w:rPr>
                <w:rFonts w:ascii="Times New Roman" w:hAnsi="Times New Roman" w:cs="Times New Roman"/>
                <w:sz w:val="23"/>
                <w:szCs w:val="23"/>
              </w:rPr>
              <w:t>кту</w:t>
            </w:r>
            <w:proofErr w:type="spellEnd"/>
            <w:r w:rsidRPr="007E1ED5">
              <w:rPr>
                <w:rFonts w:ascii="Times New Roman" w:hAnsi="Times New Roman" w:cs="Times New Roman"/>
                <w:sz w:val="23"/>
                <w:szCs w:val="23"/>
              </w:rPr>
              <w:t xml:space="preserve"> </w:t>
            </w:r>
            <w:proofErr w:type="spellStart"/>
            <w:r w:rsidRPr="007E1ED5">
              <w:rPr>
                <w:rFonts w:ascii="Times New Roman" w:hAnsi="Times New Roman" w:cs="Times New Roman"/>
                <w:sz w:val="23"/>
                <w:szCs w:val="23"/>
              </w:rPr>
              <w:t>акта</w:t>
            </w:r>
            <w:proofErr w:type="spellEnd"/>
          </w:p>
        </w:tc>
      </w:tr>
      <w:tr w:rsidR="00F23CE4" w:rsidRPr="007E1ED5" w:rsidTr="007E1ED5">
        <w:trPr>
          <w:trHeight w:val="590"/>
        </w:trPr>
        <w:tc>
          <w:tcPr>
            <w:tcW w:w="15026" w:type="dxa"/>
            <w:gridSpan w:val="2"/>
          </w:tcPr>
          <w:p w:rsidR="00F23CE4" w:rsidRPr="007E1ED5" w:rsidRDefault="00F23CE4" w:rsidP="00F23CE4">
            <w:pPr>
              <w:widowControl w:val="0"/>
              <w:ind w:firstLine="284"/>
              <w:jc w:val="center"/>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Національне положення (стандарт) бухгалтерського обліку 12 «Фінансові інвестиції»</w:t>
            </w:r>
          </w:p>
          <w:p w:rsidR="00F23CE4" w:rsidRPr="007E1ED5" w:rsidRDefault="00F23CE4" w:rsidP="00F23CE4">
            <w:pPr>
              <w:jc w:val="center"/>
              <w:rPr>
                <w:rFonts w:ascii="Times New Roman" w:hAnsi="Times New Roman" w:cs="Times New Roman"/>
                <w:sz w:val="23"/>
                <w:szCs w:val="23"/>
              </w:rPr>
            </w:pPr>
            <w:r w:rsidRPr="007E1ED5">
              <w:rPr>
                <w:rFonts w:ascii="Times New Roman" w:eastAsia="Times New Roman" w:hAnsi="Times New Roman" w:cs="Times New Roman"/>
                <w:spacing w:val="-4"/>
                <w:sz w:val="23"/>
                <w:szCs w:val="23"/>
                <w:lang w:eastAsia="ru-RU"/>
              </w:rPr>
              <w:t>(наказ Міністерства фінансів України від 26.04.2000 № 91)</w:t>
            </w:r>
          </w:p>
        </w:tc>
      </w:tr>
      <w:tr w:rsidR="00F23CE4" w:rsidRPr="007E1ED5" w:rsidTr="007E1ED5">
        <w:trPr>
          <w:trHeight w:val="1123"/>
        </w:trPr>
        <w:tc>
          <w:tcPr>
            <w:tcW w:w="7939" w:type="dxa"/>
          </w:tcPr>
          <w:p w:rsidR="00F23CE4" w:rsidRPr="007E1ED5" w:rsidRDefault="00F23CE4" w:rsidP="00F23CE4">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27:</w:t>
            </w:r>
          </w:p>
          <w:p w:rsidR="00F23CE4" w:rsidRPr="007E1ED5" w:rsidRDefault="00F23CE4" w:rsidP="00F23CE4">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Відсутній</w:t>
            </w:r>
          </w:p>
        </w:tc>
        <w:tc>
          <w:tcPr>
            <w:tcW w:w="7087" w:type="dxa"/>
          </w:tcPr>
          <w:p w:rsidR="00F23CE4" w:rsidRPr="007E1ED5" w:rsidRDefault="00F23CE4" w:rsidP="00F23CE4">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27:</w:t>
            </w:r>
          </w:p>
          <w:p w:rsidR="00F23CE4" w:rsidRPr="007E1ED5" w:rsidRDefault="00F23CE4" w:rsidP="00F23CE4">
            <w:pPr>
              <w:widowControl w:val="0"/>
              <w:ind w:firstLine="284"/>
              <w:jc w:val="both"/>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27. Інвестор спільного, дочірнього та асоційованого підприємства розкриває</w:t>
            </w:r>
            <w:r w:rsidR="002D7405">
              <w:rPr>
                <w:rFonts w:ascii="Times New Roman" w:eastAsia="Times New Roman" w:hAnsi="Times New Roman" w:cs="Times New Roman"/>
                <w:b/>
                <w:spacing w:val="-4"/>
                <w:sz w:val="23"/>
                <w:szCs w:val="23"/>
                <w:lang w:eastAsia="ru-RU"/>
              </w:rPr>
              <w:t xml:space="preserve"> </w:t>
            </w:r>
            <w:r w:rsidR="002D7405" w:rsidRPr="005F219D">
              <w:rPr>
                <w:rFonts w:ascii="Times New Roman" w:eastAsia="Times New Roman" w:hAnsi="Times New Roman" w:cs="Times New Roman"/>
                <w:b/>
                <w:spacing w:val="-4"/>
                <w:sz w:val="23"/>
                <w:szCs w:val="23"/>
                <w:lang w:eastAsia="ru-RU"/>
              </w:rPr>
              <w:t>інформацію про</w:t>
            </w:r>
            <w:r w:rsidRPr="007E1ED5">
              <w:rPr>
                <w:rFonts w:ascii="Times New Roman" w:eastAsia="Times New Roman" w:hAnsi="Times New Roman" w:cs="Times New Roman"/>
                <w:b/>
                <w:spacing w:val="-4"/>
                <w:sz w:val="23"/>
                <w:szCs w:val="23"/>
                <w:lang w:eastAsia="ru-RU"/>
              </w:rPr>
              <w:t xml:space="preserve"> суму, строки та умови своїх зобов’язань  по внескам до статутних капіталів суб’єктів господарювання.</w:t>
            </w:r>
          </w:p>
        </w:tc>
      </w:tr>
      <w:tr w:rsidR="007D3DF5" w:rsidRPr="007E1ED5" w:rsidTr="007E1ED5">
        <w:trPr>
          <w:trHeight w:val="544"/>
        </w:trPr>
        <w:tc>
          <w:tcPr>
            <w:tcW w:w="15026" w:type="dxa"/>
            <w:gridSpan w:val="2"/>
          </w:tcPr>
          <w:p w:rsidR="007D3DF5" w:rsidRPr="007E1ED5" w:rsidRDefault="007D3DF5" w:rsidP="007D3DF5">
            <w:pPr>
              <w:widowControl w:val="0"/>
              <w:ind w:firstLine="284"/>
              <w:jc w:val="center"/>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b/>
                <w:spacing w:val="-4"/>
                <w:sz w:val="23"/>
                <w:szCs w:val="23"/>
                <w:lang w:eastAsia="ru-RU"/>
              </w:rPr>
              <w:t>Національне положення (стандарт) бухгалтерського обліку 13 «Фінансові інструменти»</w:t>
            </w:r>
            <w:r w:rsidRPr="007E1ED5">
              <w:rPr>
                <w:rFonts w:ascii="Times New Roman" w:eastAsia="Times New Roman" w:hAnsi="Times New Roman" w:cs="Times New Roman"/>
                <w:spacing w:val="-4"/>
                <w:sz w:val="23"/>
                <w:szCs w:val="23"/>
                <w:lang w:eastAsia="ru-RU"/>
              </w:rPr>
              <w:t xml:space="preserve"> </w:t>
            </w:r>
          </w:p>
          <w:p w:rsidR="007D3DF5" w:rsidRPr="007E1ED5" w:rsidRDefault="007D3DF5" w:rsidP="007D3DF5">
            <w:pPr>
              <w:widowControl w:val="0"/>
              <w:ind w:firstLine="284"/>
              <w:jc w:val="center"/>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(наказ Міністерства фінансів України від 30.11.2001 № 559)</w:t>
            </w:r>
          </w:p>
        </w:tc>
      </w:tr>
      <w:tr w:rsidR="007D3DF5" w:rsidRPr="007E1ED5" w:rsidTr="007E1ED5">
        <w:trPr>
          <w:trHeight w:val="694"/>
        </w:trPr>
        <w:tc>
          <w:tcPr>
            <w:tcW w:w="7939" w:type="dxa"/>
          </w:tcPr>
          <w:p w:rsidR="007D3DF5" w:rsidRPr="007E1ED5" w:rsidRDefault="007D3DF5" w:rsidP="007D3DF5">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48:</w:t>
            </w:r>
          </w:p>
          <w:p w:rsidR="007D3DF5" w:rsidRPr="007E1ED5" w:rsidRDefault="007D3DF5" w:rsidP="007D3DF5">
            <w:pPr>
              <w:widowControl w:val="0"/>
              <w:ind w:firstLine="284"/>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b/>
                <w:spacing w:val="-4"/>
                <w:sz w:val="23"/>
                <w:szCs w:val="23"/>
                <w:lang w:eastAsia="ru-RU"/>
              </w:rPr>
              <w:t>Відсутній</w:t>
            </w:r>
          </w:p>
        </w:tc>
        <w:tc>
          <w:tcPr>
            <w:tcW w:w="7087" w:type="dxa"/>
          </w:tcPr>
          <w:p w:rsidR="007D3DF5" w:rsidRPr="007E1ED5" w:rsidRDefault="007D3DF5" w:rsidP="00AD6627">
            <w:pPr>
              <w:widowControl w:val="0"/>
              <w:ind w:firstLine="284"/>
              <w:jc w:val="both"/>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48:</w:t>
            </w:r>
          </w:p>
          <w:p w:rsidR="007D3DF5" w:rsidRPr="007E1ED5" w:rsidRDefault="007D3DF5" w:rsidP="00AD6627">
            <w:pPr>
              <w:widowControl w:val="0"/>
              <w:ind w:firstLine="284"/>
              <w:jc w:val="both"/>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b/>
                <w:spacing w:val="-4"/>
                <w:sz w:val="23"/>
                <w:szCs w:val="23"/>
                <w:lang w:eastAsia="ru-RU"/>
              </w:rPr>
              <w:t>48. Інвестор розкриває</w:t>
            </w:r>
            <w:r w:rsidR="00530F60">
              <w:rPr>
                <w:rFonts w:ascii="Times New Roman" w:eastAsia="Times New Roman" w:hAnsi="Times New Roman" w:cs="Times New Roman"/>
                <w:b/>
                <w:spacing w:val="-4"/>
                <w:sz w:val="23"/>
                <w:szCs w:val="23"/>
                <w:lang w:eastAsia="ru-RU"/>
              </w:rPr>
              <w:t xml:space="preserve"> </w:t>
            </w:r>
            <w:r w:rsidR="00530F60" w:rsidRPr="007B5B24">
              <w:rPr>
                <w:rFonts w:ascii="Times New Roman" w:eastAsia="Times New Roman" w:hAnsi="Times New Roman" w:cs="Times New Roman"/>
                <w:b/>
                <w:spacing w:val="-4"/>
                <w:sz w:val="23"/>
                <w:szCs w:val="23"/>
                <w:lang w:eastAsia="ru-RU"/>
              </w:rPr>
              <w:t>інформацію про</w:t>
            </w:r>
            <w:r w:rsidRPr="007E1ED5">
              <w:rPr>
                <w:rFonts w:ascii="Times New Roman" w:eastAsia="Times New Roman" w:hAnsi="Times New Roman" w:cs="Times New Roman"/>
                <w:b/>
                <w:spacing w:val="-4"/>
                <w:sz w:val="23"/>
                <w:szCs w:val="23"/>
                <w:lang w:eastAsia="ru-RU"/>
              </w:rPr>
              <w:t xml:space="preserve"> суму, ст</w:t>
            </w:r>
            <w:r w:rsidR="0044530D">
              <w:rPr>
                <w:rFonts w:ascii="Times New Roman" w:eastAsia="Times New Roman" w:hAnsi="Times New Roman" w:cs="Times New Roman"/>
                <w:b/>
                <w:spacing w:val="-4"/>
                <w:sz w:val="23"/>
                <w:szCs w:val="23"/>
                <w:lang w:eastAsia="ru-RU"/>
              </w:rPr>
              <w:t>роки та умови своїх зобов’язань</w:t>
            </w:r>
            <w:bookmarkStart w:id="0" w:name="_GoBack"/>
            <w:bookmarkEnd w:id="0"/>
            <w:r w:rsidRPr="007E1ED5">
              <w:rPr>
                <w:rFonts w:ascii="Times New Roman" w:eastAsia="Times New Roman" w:hAnsi="Times New Roman" w:cs="Times New Roman"/>
                <w:b/>
                <w:spacing w:val="-4"/>
                <w:sz w:val="23"/>
                <w:szCs w:val="23"/>
                <w:lang w:eastAsia="ru-RU"/>
              </w:rPr>
              <w:t xml:space="preserve"> по внескам до статутних капіталів суб’єктів господарювання.</w:t>
            </w:r>
          </w:p>
        </w:tc>
      </w:tr>
      <w:tr w:rsidR="007D3DF5" w:rsidRPr="007E1ED5" w:rsidTr="007E1ED5">
        <w:trPr>
          <w:trHeight w:val="423"/>
        </w:trPr>
        <w:tc>
          <w:tcPr>
            <w:tcW w:w="15026" w:type="dxa"/>
            <w:gridSpan w:val="2"/>
          </w:tcPr>
          <w:p w:rsidR="007D3DF5" w:rsidRPr="007E1ED5" w:rsidRDefault="007D3DF5" w:rsidP="007D3DF5">
            <w:pPr>
              <w:widowControl w:val="0"/>
              <w:ind w:firstLine="284"/>
              <w:jc w:val="center"/>
              <w:rPr>
                <w:rFonts w:ascii="Times New Roman" w:hAnsi="Times New Roman" w:cs="Times New Roman"/>
                <w:b/>
                <w:sz w:val="23"/>
                <w:szCs w:val="23"/>
              </w:rPr>
            </w:pPr>
            <w:r w:rsidRPr="007E1ED5">
              <w:rPr>
                <w:rFonts w:ascii="Times New Roman" w:hAnsi="Times New Roman" w:cs="Times New Roman"/>
                <w:b/>
                <w:sz w:val="23"/>
                <w:szCs w:val="23"/>
              </w:rPr>
              <w:t xml:space="preserve">Національне положення (стандарт) бухгалтерського обліку 29 «Фінансова звітність за сегментами» </w:t>
            </w:r>
          </w:p>
          <w:p w:rsidR="007D3DF5" w:rsidRPr="007E1ED5" w:rsidRDefault="007D3DF5" w:rsidP="007D3DF5">
            <w:pPr>
              <w:jc w:val="center"/>
              <w:rPr>
                <w:rFonts w:ascii="Times New Roman" w:hAnsi="Times New Roman" w:cs="Times New Roman"/>
                <w:sz w:val="23"/>
                <w:szCs w:val="23"/>
              </w:rPr>
            </w:pPr>
            <w:r w:rsidRPr="007E1ED5">
              <w:rPr>
                <w:rFonts w:ascii="Times New Roman" w:hAnsi="Times New Roman" w:cs="Times New Roman"/>
                <w:sz w:val="23"/>
                <w:szCs w:val="23"/>
              </w:rPr>
              <w:t>(наказ Міністерства фінансів України від 19.05.2005 № 412)</w:t>
            </w:r>
          </w:p>
        </w:tc>
      </w:tr>
      <w:tr w:rsidR="00F23CE4" w:rsidRPr="007E1ED5" w:rsidTr="007E1ED5">
        <w:trPr>
          <w:trHeight w:val="594"/>
        </w:trPr>
        <w:tc>
          <w:tcPr>
            <w:tcW w:w="7939" w:type="dxa"/>
          </w:tcPr>
          <w:p w:rsidR="00703BB4" w:rsidRPr="007E1ED5" w:rsidRDefault="00703BB4" w:rsidP="007D3DF5">
            <w:pPr>
              <w:ind w:firstLine="324"/>
              <w:jc w:val="both"/>
              <w:rPr>
                <w:rFonts w:ascii="Times New Roman" w:hAnsi="Times New Roman" w:cs="Times New Roman"/>
                <w:sz w:val="23"/>
                <w:szCs w:val="23"/>
              </w:rPr>
            </w:pPr>
            <w:r w:rsidRPr="007E1ED5">
              <w:rPr>
                <w:rFonts w:ascii="Times New Roman" w:hAnsi="Times New Roman" w:cs="Times New Roman"/>
                <w:sz w:val="23"/>
                <w:szCs w:val="23"/>
              </w:rPr>
              <w:t>Пункт 2:</w:t>
            </w:r>
          </w:p>
          <w:p w:rsidR="00F23CE4" w:rsidRPr="007E1ED5" w:rsidRDefault="007D3DF5" w:rsidP="007D3DF5">
            <w:pPr>
              <w:ind w:firstLine="324"/>
              <w:jc w:val="both"/>
              <w:rPr>
                <w:rFonts w:ascii="Times New Roman" w:hAnsi="Times New Roman" w:cs="Times New Roman"/>
                <w:sz w:val="23"/>
                <w:szCs w:val="23"/>
              </w:rPr>
            </w:pPr>
            <w:r w:rsidRPr="007E1ED5">
              <w:rPr>
                <w:rFonts w:ascii="Times New Roman" w:hAnsi="Times New Roman" w:cs="Times New Roman"/>
                <w:sz w:val="23"/>
                <w:szCs w:val="23"/>
              </w:rPr>
              <w:t xml:space="preserve">2. Норми Національного положення (стандарту) 29 застосовуються підприємствами, організаціями та іншими юридичними особами (далі - підприємство) незалежно від форм власності (крім юридичних осіб, які відповідно до Закону України «Про бухгалтерський облік та фінансову звітність в Україні» визнані мікропідприємствами, малими підприємствами, непідприємницькими товариствами, </w:t>
            </w:r>
            <w:r w:rsidRPr="007E1ED5">
              <w:rPr>
                <w:rFonts w:ascii="Times New Roman" w:hAnsi="Times New Roman" w:cs="Times New Roman"/>
                <w:b/>
                <w:strike/>
                <w:sz w:val="23"/>
                <w:szCs w:val="23"/>
              </w:rPr>
              <w:t>підприємствами, які ведуть спрощений бухгалтерський облік доходів та витрат відповідно до податкового законодавства,</w:t>
            </w:r>
            <w:r w:rsidRPr="007E1ED5">
              <w:rPr>
                <w:rFonts w:ascii="Times New Roman" w:hAnsi="Times New Roman" w:cs="Times New Roman"/>
                <w:sz w:val="23"/>
                <w:szCs w:val="23"/>
              </w:rPr>
              <w:t xml:space="preserve"> бюджетних установ та підприємств, які відповідно до законодавства складають фінансову звітність за міжнародними стандартами фінансової звітності), якщо підприємство займає монопольне (домінуюче) становище на ринку продукції (товарів, робіт, послуг), або якщо щодо продукції (товарів, робіт, послуг) підприємства до початку звітного року прийнято рішення про державне регулювання цін, у тому числі підприємства, які здійснюють виробництво, транспортування, постачання теплової енергії та надають послуги з централізованого водопостачання та водовідведення.</w:t>
            </w:r>
          </w:p>
        </w:tc>
        <w:tc>
          <w:tcPr>
            <w:tcW w:w="7087" w:type="dxa"/>
          </w:tcPr>
          <w:p w:rsidR="00703BB4" w:rsidRPr="007E1ED5" w:rsidRDefault="00703BB4" w:rsidP="00703BB4">
            <w:pPr>
              <w:ind w:firstLine="314"/>
              <w:jc w:val="both"/>
              <w:rPr>
                <w:rFonts w:ascii="Times New Roman" w:hAnsi="Times New Roman" w:cs="Times New Roman"/>
                <w:sz w:val="23"/>
                <w:szCs w:val="23"/>
              </w:rPr>
            </w:pPr>
            <w:r w:rsidRPr="007E1ED5">
              <w:rPr>
                <w:rFonts w:ascii="Times New Roman" w:hAnsi="Times New Roman" w:cs="Times New Roman"/>
                <w:sz w:val="23"/>
                <w:szCs w:val="23"/>
              </w:rPr>
              <w:t>Пункт 2:</w:t>
            </w:r>
          </w:p>
          <w:p w:rsidR="007E1ED5" w:rsidRPr="007E1ED5" w:rsidRDefault="007D3DF5" w:rsidP="007E1ED5">
            <w:pPr>
              <w:ind w:firstLine="314"/>
              <w:jc w:val="both"/>
              <w:rPr>
                <w:rFonts w:ascii="Times New Roman" w:hAnsi="Times New Roman" w:cs="Times New Roman"/>
                <w:sz w:val="23"/>
                <w:szCs w:val="23"/>
              </w:rPr>
            </w:pPr>
            <w:r w:rsidRPr="007E1ED5">
              <w:rPr>
                <w:rFonts w:ascii="Times New Roman" w:hAnsi="Times New Roman" w:cs="Times New Roman"/>
                <w:sz w:val="23"/>
                <w:szCs w:val="23"/>
              </w:rPr>
              <w:t>2. Норми Національного положення (стандарту) 29 застосовуються підприємствами, організаціями та іншими юридичними особами (далі - підприємство) незалежно від форм власності (крім юридичних осіб, які відповідно до Закону України «Про бухгалтерський облік та фінансову звітність в Україні» визнані мікропідприємствами, малими підприємствами, непідприємницькими товариствами, бюджетних установ та підприємств, які відповідно до законодавства складають фінансову звітність за міжнародними стандартами фінансової звітності), якщо підприємство займає монопольне (домінуюче) становище на ринку продукції (товарів, робіт, послуг), або якщо щодо продукції (товарів, робіт, послуг) підприємства до початку звітного року прийнято рішення про державне регулювання цін, у тому числі підприємства, які здійснюють виробництво, транспортування, постачання теплової енергії та надають послуги з централізованого водопостачання та водовідведення.</w:t>
            </w:r>
          </w:p>
        </w:tc>
      </w:tr>
      <w:tr w:rsidR="005525BD" w:rsidRPr="007E1ED5" w:rsidTr="007E1ED5">
        <w:trPr>
          <w:trHeight w:val="321"/>
        </w:trPr>
        <w:tc>
          <w:tcPr>
            <w:tcW w:w="15026" w:type="dxa"/>
            <w:gridSpan w:val="2"/>
          </w:tcPr>
          <w:p w:rsidR="005525BD" w:rsidRPr="007E1ED5" w:rsidRDefault="005525BD" w:rsidP="00145069">
            <w:pPr>
              <w:jc w:val="center"/>
              <w:rPr>
                <w:rFonts w:ascii="Times New Roman" w:hAnsi="Times New Roman" w:cs="Times New Roman"/>
                <w:b/>
                <w:sz w:val="23"/>
                <w:szCs w:val="23"/>
              </w:rPr>
            </w:pPr>
            <w:r w:rsidRPr="007E1ED5">
              <w:rPr>
                <w:rFonts w:ascii="Times New Roman" w:hAnsi="Times New Roman" w:cs="Times New Roman"/>
                <w:b/>
                <w:sz w:val="23"/>
                <w:szCs w:val="23"/>
              </w:rPr>
              <w:lastRenderedPageBreak/>
              <w:t>Національне положення (стандарт) бухгалтерського обліку 32 «Інвестиційна нерухомість»</w:t>
            </w:r>
          </w:p>
          <w:p w:rsidR="00C56258" w:rsidRPr="007E1ED5" w:rsidRDefault="005525BD" w:rsidP="00C56258">
            <w:pPr>
              <w:jc w:val="center"/>
              <w:rPr>
                <w:rFonts w:ascii="Times New Roman" w:hAnsi="Times New Roman" w:cs="Times New Roman"/>
                <w:sz w:val="23"/>
                <w:szCs w:val="23"/>
              </w:rPr>
            </w:pPr>
            <w:r w:rsidRPr="007E1ED5">
              <w:rPr>
                <w:rFonts w:ascii="Times New Roman" w:hAnsi="Times New Roman" w:cs="Times New Roman"/>
                <w:sz w:val="23"/>
                <w:szCs w:val="23"/>
              </w:rPr>
              <w:t>(наказ Міністерства фінансів України від 02.07.2007 № 779)</w:t>
            </w:r>
          </w:p>
        </w:tc>
      </w:tr>
      <w:tr w:rsidR="00D03933" w:rsidRPr="007E1ED5" w:rsidTr="0064042B">
        <w:trPr>
          <w:trHeight w:val="2423"/>
        </w:trPr>
        <w:tc>
          <w:tcPr>
            <w:tcW w:w="7939" w:type="dxa"/>
          </w:tcPr>
          <w:p w:rsidR="00D03933" w:rsidRPr="007E1ED5" w:rsidRDefault="00D03933" w:rsidP="00D03933">
            <w:pPr>
              <w:ind w:firstLine="284"/>
              <w:rPr>
                <w:rFonts w:ascii="Times New Roman" w:hAnsi="Times New Roman" w:cs="Times New Roman"/>
                <w:sz w:val="23"/>
                <w:szCs w:val="23"/>
              </w:rPr>
            </w:pPr>
            <w:r w:rsidRPr="007E1ED5">
              <w:rPr>
                <w:rFonts w:ascii="Times New Roman" w:hAnsi="Times New Roman" w:cs="Times New Roman"/>
                <w:sz w:val="23"/>
                <w:szCs w:val="23"/>
              </w:rPr>
              <w:t>Пункт 3:</w:t>
            </w:r>
          </w:p>
          <w:p w:rsidR="00D03933" w:rsidRPr="007E1ED5" w:rsidRDefault="00D03933" w:rsidP="00D03933">
            <w:pPr>
              <w:ind w:firstLine="284"/>
              <w:jc w:val="both"/>
              <w:rPr>
                <w:rFonts w:ascii="Times New Roman" w:hAnsi="Times New Roman" w:cs="Times New Roman"/>
                <w:sz w:val="23"/>
                <w:szCs w:val="23"/>
              </w:rPr>
            </w:pPr>
            <w:r w:rsidRPr="007E1ED5">
              <w:rPr>
                <w:rFonts w:ascii="Times New Roman" w:hAnsi="Times New Roman" w:cs="Times New Roman"/>
                <w:sz w:val="23"/>
                <w:szCs w:val="23"/>
              </w:rPr>
              <w:t>3. Це Національне положення (стандарт) не застосовується до питань, урегульованих Національним положенням (стандартом) бухгалтерського обліку 14 «Оренда», затвердженим наказом Міністерства фінансів України від 28.</w:t>
            </w:r>
            <w:r w:rsidRPr="007E1ED5">
              <w:rPr>
                <w:rFonts w:ascii="Times New Roman" w:hAnsi="Times New Roman" w:cs="Times New Roman"/>
                <w:b/>
                <w:sz w:val="23"/>
                <w:szCs w:val="23"/>
              </w:rPr>
              <w:t>07</w:t>
            </w:r>
            <w:r w:rsidR="00703BB4" w:rsidRPr="007E1ED5">
              <w:rPr>
                <w:rFonts w:ascii="Times New Roman" w:hAnsi="Times New Roman" w:cs="Times New Roman"/>
                <w:sz w:val="23"/>
                <w:szCs w:val="23"/>
              </w:rPr>
              <w:t>.2000 №</w:t>
            </w:r>
            <w:r w:rsidRPr="007E1ED5">
              <w:rPr>
                <w:rFonts w:ascii="Times New Roman" w:hAnsi="Times New Roman" w:cs="Times New Roman"/>
                <w:sz w:val="23"/>
                <w:szCs w:val="23"/>
              </w:rPr>
              <w:t xml:space="preserve"> 181 </w:t>
            </w:r>
            <w:r w:rsidRPr="007E1ED5">
              <w:rPr>
                <w:rFonts w:ascii="Times New Roman" w:hAnsi="Times New Roman" w:cs="Times New Roman"/>
                <w:b/>
                <w:strike/>
                <w:sz w:val="23"/>
                <w:szCs w:val="23"/>
              </w:rPr>
              <w:t>та</w:t>
            </w:r>
            <w:r w:rsidRPr="007E1ED5">
              <w:rPr>
                <w:rFonts w:ascii="Times New Roman" w:hAnsi="Times New Roman" w:cs="Times New Roman"/>
                <w:sz w:val="23"/>
                <w:szCs w:val="23"/>
              </w:rPr>
              <w:t xml:space="preserve"> зареєстрованим у Міністерстві юстиції України 10.</w:t>
            </w:r>
            <w:r w:rsidRPr="007E1ED5">
              <w:rPr>
                <w:rFonts w:ascii="Times New Roman" w:hAnsi="Times New Roman" w:cs="Times New Roman"/>
                <w:b/>
                <w:sz w:val="23"/>
                <w:szCs w:val="23"/>
              </w:rPr>
              <w:t>08</w:t>
            </w:r>
            <w:r w:rsidR="00703BB4" w:rsidRPr="007E1ED5">
              <w:rPr>
                <w:rFonts w:ascii="Times New Roman" w:hAnsi="Times New Roman" w:cs="Times New Roman"/>
                <w:sz w:val="23"/>
                <w:szCs w:val="23"/>
              </w:rPr>
              <w:t>.2000 за №</w:t>
            </w:r>
            <w:r w:rsidRPr="007E1ED5">
              <w:rPr>
                <w:rFonts w:ascii="Times New Roman" w:hAnsi="Times New Roman" w:cs="Times New Roman"/>
                <w:sz w:val="23"/>
                <w:szCs w:val="23"/>
              </w:rPr>
              <w:t xml:space="preserve"> 487/4708 (далі - Національне положення (стандарт) </w:t>
            </w:r>
            <w:r w:rsidRPr="007E1ED5">
              <w:rPr>
                <w:rFonts w:ascii="Times New Roman" w:hAnsi="Times New Roman" w:cs="Times New Roman"/>
                <w:b/>
                <w:strike/>
                <w:sz w:val="23"/>
                <w:szCs w:val="23"/>
              </w:rPr>
              <w:t>бухгалтерського обліку</w:t>
            </w:r>
            <w:r w:rsidRPr="007E1ED5">
              <w:rPr>
                <w:rFonts w:ascii="Times New Roman" w:hAnsi="Times New Roman" w:cs="Times New Roman"/>
                <w:sz w:val="23"/>
                <w:szCs w:val="23"/>
              </w:rPr>
              <w:t xml:space="preserve"> 14 </w:t>
            </w:r>
            <w:r w:rsidR="00703BB4" w:rsidRPr="007E1ED5">
              <w:rPr>
                <w:rFonts w:ascii="Times New Roman" w:hAnsi="Times New Roman" w:cs="Times New Roman"/>
                <w:b/>
                <w:strike/>
                <w:sz w:val="23"/>
                <w:szCs w:val="23"/>
              </w:rPr>
              <w:t>«Оренда»</w:t>
            </w:r>
            <w:r w:rsidRPr="007E1ED5">
              <w:rPr>
                <w:rFonts w:ascii="Times New Roman" w:hAnsi="Times New Roman" w:cs="Times New Roman"/>
                <w:sz w:val="23"/>
                <w:szCs w:val="23"/>
              </w:rPr>
              <w:t xml:space="preserve">), та іншими національними положеннями (стандартами) </w:t>
            </w:r>
            <w:r w:rsidRPr="002349D0">
              <w:rPr>
                <w:rFonts w:ascii="Times New Roman" w:hAnsi="Times New Roman" w:cs="Times New Roman"/>
                <w:sz w:val="23"/>
                <w:szCs w:val="23"/>
              </w:rPr>
              <w:t>бухгалтерського обліку,</w:t>
            </w:r>
            <w:r w:rsidRPr="007E1ED5">
              <w:rPr>
                <w:rFonts w:ascii="Times New Roman" w:hAnsi="Times New Roman" w:cs="Times New Roman"/>
                <w:sz w:val="23"/>
                <w:szCs w:val="23"/>
              </w:rPr>
              <w:t xml:space="preserve"> а саме до: </w:t>
            </w:r>
          </w:p>
          <w:p w:rsidR="00D03933" w:rsidRPr="007E1ED5" w:rsidRDefault="00703BB4" w:rsidP="00D03933">
            <w:pPr>
              <w:ind w:firstLine="284"/>
              <w:rPr>
                <w:rFonts w:ascii="Times New Roman" w:hAnsi="Times New Roman" w:cs="Times New Roman"/>
                <w:sz w:val="23"/>
                <w:szCs w:val="23"/>
              </w:rPr>
            </w:pPr>
            <w:r w:rsidRPr="007E1ED5">
              <w:rPr>
                <w:rFonts w:ascii="Times New Roman" w:hAnsi="Times New Roman" w:cs="Times New Roman"/>
                <w:sz w:val="23"/>
                <w:szCs w:val="23"/>
              </w:rPr>
              <w:t>…</w:t>
            </w:r>
          </w:p>
        </w:tc>
        <w:tc>
          <w:tcPr>
            <w:tcW w:w="7087" w:type="dxa"/>
          </w:tcPr>
          <w:p w:rsidR="00D03933" w:rsidRPr="007E1ED5" w:rsidRDefault="00D03933" w:rsidP="00D03933">
            <w:pPr>
              <w:ind w:firstLine="284"/>
              <w:rPr>
                <w:rFonts w:ascii="Times New Roman" w:hAnsi="Times New Roman" w:cs="Times New Roman"/>
                <w:sz w:val="23"/>
                <w:szCs w:val="23"/>
              </w:rPr>
            </w:pPr>
            <w:r w:rsidRPr="007E1ED5">
              <w:rPr>
                <w:rFonts w:ascii="Times New Roman" w:hAnsi="Times New Roman" w:cs="Times New Roman"/>
                <w:sz w:val="23"/>
                <w:szCs w:val="23"/>
              </w:rPr>
              <w:t>Пункт 3:</w:t>
            </w:r>
          </w:p>
          <w:p w:rsidR="00D03933" w:rsidRPr="007E1ED5" w:rsidRDefault="00D03933" w:rsidP="00D03933">
            <w:pPr>
              <w:ind w:firstLine="284"/>
              <w:jc w:val="both"/>
              <w:rPr>
                <w:rFonts w:ascii="Times New Roman" w:hAnsi="Times New Roman" w:cs="Times New Roman"/>
                <w:sz w:val="23"/>
                <w:szCs w:val="23"/>
              </w:rPr>
            </w:pPr>
            <w:r w:rsidRPr="007E1ED5">
              <w:rPr>
                <w:rFonts w:ascii="Times New Roman" w:hAnsi="Times New Roman" w:cs="Times New Roman"/>
                <w:sz w:val="23"/>
                <w:szCs w:val="23"/>
              </w:rPr>
              <w:t xml:space="preserve">3. Це Національне положення (стандарт) не застосовується до питань, урегульованих Національним положенням (стандартом) бухгалтерського обліку 14 «Оренда», затвердженим наказом Міністерства фінансів України від 28 </w:t>
            </w:r>
            <w:r w:rsidRPr="007E1ED5">
              <w:rPr>
                <w:rFonts w:ascii="Times New Roman" w:hAnsi="Times New Roman" w:cs="Times New Roman"/>
                <w:b/>
                <w:sz w:val="23"/>
                <w:szCs w:val="23"/>
              </w:rPr>
              <w:t>липня</w:t>
            </w:r>
            <w:r w:rsidRPr="007E1ED5">
              <w:rPr>
                <w:rFonts w:ascii="Times New Roman" w:hAnsi="Times New Roman" w:cs="Times New Roman"/>
                <w:sz w:val="23"/>
                <w:szCs w:val="23"/>
              </w:rPr>
              <w:t xml:space="preserve"> 2000 </w:t>
            </w:r>
            <w:r w:rsidRPr="007E1ED5">
              <w:rPr>
                <w:rFonts w:ascii="Times New Roman" w:hAnsi="Times New Roman" w:cs="Times New Roman"/>
                <w:b/>
                <w:sz w:val="23"/>
                <w:szCs w:val="23"/>
              </w:rPr>
              <w:t>року</w:t>
            </w:r>
            <w:r w:rsidRPr="007E1ED5">
              <w:rPr>
                <w:rFonts w:ascii="Times New Roman" w:hAnsi="Times New Roman" w:cs="Times New Roman"/>
                <w:sz w:val="23"/>
                <w:szCs w:val="23"/>
              </w:rPr>
              <w:t xml:space="preserve"> № 181</w:t>
            </w:r>
            <w:r w:rsidRPr="007E1ED5">
              <w:rPr>
                <w:rFonts w:ascii="Times New Roman" w:hAnsi="Times New Roman" w:cs="Times New Roman"/>
                <w:b/>
                <w:sz w:val="23"/>
                <w:szCs w:val="23"/>
              </w:rPr>
              <w:t>,</w:t>
            </w:r>
            <w:r w:rsidRPr="007E1ED5">
              <w:rPr>
                <w:rFonts w:ascii="Times New Roman" w:hAnsi="Times New Roman" w:cs="Times New Roman"/>
                <w:sz w:val="23"/>
                <w:szCs w:val="23"/>
              </w:rPr>
              <w:t xml:space="preserve"> зареєстрованим у Міністерстві юстиції України 10 </w:t>
            </w:r>
            <w:r w:rsidRPr="007E1ED5">
              <w:rPr>
                <w:rFonts w:ascii="Times New Roman" w:hAnsi="Times New Roman" w:cs="Times New Roman"/>
                <w:b/>
                <w:sz w:val="23"/>
                <w:szCs w:val="23"/>
              </w:rPr>
              <w:t>серпня</w:t>
            </w:r>
            <w:r w:rsidRPr="007E1ED5">
              <w:rPr>
                <w:rFonts w:ascii="Times New Roman" w:hAnsi="Times New Roman" w:cs="Times New Roman"/>
                <w:sz w:val="23"/>
                <w:szCs w:val="23"/>
              </w:rPr>
              <w:t xml:space="preserve"> 2000 </w:t>
            </w:r>
            <w:r w:rsidRPr="007E1ED5">
              <w:rPr>
                <w:rFonts w:ascii="Times New Roman" w:hAnsi="Times New Roman" w:cs="Times New Roman"/>
                <w:b/>
                <w:sz w:val="23"/>
                <w:szCs w:val="23"/>
              </w:rPr>
              <w:t>року</w:t>
            </w:r>
            <w:r w:rsidRPr="007E1ED5">
              <w:rPr>
                <w:rFonts w:ascii="Times New Roman" w:hAnsi="Times New Roman" w:cs="Times New Roman"/>
                <w:sz w:val="23"/>
                <w:szCs w:val="23"/>
              </w:rPr>
              <w:t xml:space="preserve"> за № 487/4708 (далі – Національне положення (стандарт) 14), та іншими національними положеннями (стандартами)</w:t>
            </w:r>
            <w:r w:rsidR="002349D0">
              <w:rPr>
                <w:rFonts w:ascii="Times New Roman" w:hAnsi="Times New Roman" w:cs="Times New Roman"/>
                <w:sz w:val="23"/>
                <w:szCs w:val="23"/>
              </w:rPr>
              <w:t xml:space="preserve"> </w:t>
            </w:r>
            <w:r w:rsidR="002349D0" w:rsidRPr="002349D0">
              <w:rPr>
                <w:rFonts w:ascii="Times New Roman" w:hAnsi="Times New Roman" w:cs="Times New Roman"/>
                <w:sz w:val="23"/>
                <w:szCs w:val="23"/>
              </w:rPr>
              <w:t>бухгалтерського обліку</w:t>
            </w:r>
            <w:r w:rsidRPr="007E1ED5">
              <w:rPr>
                <w:rFonts w:ascii="Times New Roman" w:hAnsi="Times New Roman" w:cs="Times New Roman"/>
                <w:sz w:val="23"/>
                <w:szCs w:val="23"/>
              </w:rPr>
              <w:t xml:space="preserve">, а саме до: </w:t>
            </w:r>
          </w:p>
          <w:p w:rsidR="00D03933" w:rsidRPr="007E1ED5" w:rsidRDefault="00703BB4" w:rsidP="00AD6627">
            <w:pPr>
              <w:ind w:firstLine="284"/>
              <w:jc w:val="both"/>
              <w:rPr>
                <w:rFonts w:ascii="Times New Roman" w:hAnsi="Times New Roman" w:cs="Times New Roman"/>
                <w:sz w:val="23"/>
                <w:szCs w:val="23"/>
              </w:rPr>
            </w:pPr>
            <w:r w:rsidRPr="007E1ED5">
              <w:rPr>
                <w:rFonts w:ascii="Times New Roman" w:hAnsi="Times New Roman" w:cs="Times New Roman"/>
                <w:sz w:val="23"/>
                <w:szCs w:val="23"/>
              </w:rPr>
              <w:t>…</w:t>
            </w:r>
          </w:p>
        </w:tc>
      </w:tr>
      <w:tr w:rsidR="005525BD" w:rsidRPr="007E1ED5" w:rsidTr="0064042B">
        <w:trPr>
          <w:trHeight w:val="4704"/>
        </w:trPr>
        <w:tc>
          <w:tcPr>
            <w:tcW w:w="7939" w:type="dxa"/>
          </w:tcPr>
          <w:p w:rsidR="005525BD" w:rsidRPr="007E1ED5" w:rsidRDefault="005525BD" w:rsidP="00657496">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4:</w:t>
            </w:r>
          </w:p>
          <w:p w:rsidR="005525BD" w:rsidRPr="007E1ED5" w:rsidRDefault="00703BB4" w:rsidP="00657496">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4. </w:t>
            </w:r>
            <w:r w:rsidR="005525BD" w:rsidRPr="007E1ED5">
              <w:rPr>
                <w:rFonts w:ascii="Times New Roman" w:hAnsi="Times New Roman" w:cs="Times New Roman"/>
                <w:sz w:val="23"/>
                <w:szCs w:val="23"/>
              </w:rPr>
              <w:t xml:space="preserve">Терміни, що використовуються в національних положеннях (стандартах) бухгалтерського обліку, мають </w:t>
            </w:r>
            <w:r w:rsidR="005525BD" w:rsidRPr="007E1ED5">
              <w:rPr>
                <w:rFonts w:ascii="Times New Roman" w:hAnsi="Times New Roman" w:cs="Times New Roman"/>
                <w:b/>
                <w:strike/>
                <w:sz w:val="23"/>
                <w:szCs w:val="23"/>
              </w:rPr>
              <w:t>таке</w:t>
            </w:r>
            <w:r w:rsidR="005525BD" w:rsidRPr="007E1ED5">
              <w:rPr>
                <w:rFonts w:ascii="Times New Roman" w:hAnsi="Times New Roman" w:cs="Times New Roman"/>
                <w:sz w:val="23"/>
                <w:szCs w:val="23"/>
              </w:rPr>
              <w:t xml:space="preserve"> значення:</w:t>
            </w:r>
          </w:p>
          <w:p w:rsidR="007F474F" w:rsidRPr="007E1ED5" w:rsidRDefault="007F474F" w:rsidP="00657496">
            <w:pPr>
              <w:ind w:firstLine="311"/>
              <w:jc w:val="both"/>
              <w:rPr>
                <w:rFonts w:ascii="Times New Roman" w:hAnsi="Times New Roman" w:cs="Times New Roman"/>
                <w:sz w:val="23"/>
                <w:szCs w:val="23"/>
              </w:rPr>
            </w:pPr>
          </w:p>
          <w:p w:rsidR="005525BD" w:rsidRPr="007E1ED5" w:rsidRDefault="005525BD" w:rsidP="00657496">
            <w:pPr>
              <w:ind w:firstLine="311"/>
              <w:jc w:val="both"/>
              <w:rPr>
                <w:rFonts w:ascii="Times New Roman" w:hAnsi="Times New Roman" w:cs="Times New Roman"/>
                <w:sz w:val="23"/>
                <w:szCs w:val="23"/>
              </w:rPr>
            </w:pPr>
            <w:r w:rsidRPr="007E1ED5">
              <w:rPr>
                <w:rFonts w:ascii="Times New Roman" w:hAnsi="Times New Roman" w:cs="Times New Roman"/>
                <w:sz w:val="23"/>
                <w:szCs w:val="23"/>
              </w:rPr>
              <w:t>Інвестиційна нерухомість -</w:t>
            </w:r>
            <w:r w:rsidRPr="007E1ED5">
              <w:rPr>
                <w:rFonts w:ascii="Times New Roman" w:hAnsi="Times New Roman" w:cs="Times New Roman"/>
                <w:b/>
                <w:sz w:val="23"/>
                <w:szCs w:val="23"/>
              </w:rPr>
              <w:t xml:space="preserve"> власні або орендовані на умовах фінансової оренди земельні ділянки, будівлі, споруди, які розташовуються на землі, утримувані </w:t>
            </w:r>
            <w:r w:rsidRPr="007E1ED5">
              <w:rPr>
                <w:rFonts w:ascii="Times New Roman" w:hAnsi="Times New Roman" w:cs="Times New Roman"/>
                <w:sz w:val="23"/>
                <w:szCs w:val="23"/>
              </w:rPr>
              <w:t>з метою отримання орендних платежів та/або збільшення власного капіталу, а не для</w:t>
            </w:r>
            <w:r w:rsidRPr="007E1ED5">
              <w:rPr>
                <w:rFonts w:ascii="Times New Roman" w:hAnsi="Times New Roman" w:cs="Times New Roman"/>
                <w:b/>
                <w:sz w:val="23"/>
                <w:szCs w:val="23"/>
              </w:rPr>
              <w:t xml:space="preserve"> виробництва та постачання товарів, надання послуг, адміністративної мети </w:t>
            </w:r>
            <w:r w:rsidRPr="007E1ED5">
              <w:rPr>
                <w:rFonts w:ascii="Times New Roman" w:hAnsi="Times New Roman" w:cs="Times New Roman"/>
                <w:sz w:val="23"/>
                <w:szCs w:val="23"/>
              </w:rPr>
              <w:t>або продажу в процесі звичайної діяльності.</w:t>
            </w:r>
          </w:p>
          <w:p w:rsidR="005525BD" w:rsidRPr="007E1ED5" w:rsidRDefault="005525BD" w:rsidP="00657496">
            <w:pPr>
              <w:ind w:firstLine="311"/>
              <w:jc w:val="both"/>
              <w:rPr>
                <w:rFonts w:ascii="Times New Roman" w:hAnsi="Times New Roman" w:cs="Times New Roman"/>
                <w:b/>
                <w:sz w:val="23"/>
                <w:szCs w:val="23"/>
              </w:rPr>
            </w:pPr>
          </w:p>
          <w:p w:rsidR="005525BD" w:rsidRPr="007E1ED5" w:rsidRDefault="005525BD" w:rsidP="00720513">
            <w:pPr>
              <w:jc w:val="both"/>
              <w:rPr>
                <w:rFonts w:ascii="Times New Roman" w:hAnsi="Times New Roman" w:cs="Times New Roman"/>
                <w:sz w:val="23"/>
                <w:szCs w:val="23"/>
              </w:rPr>
            </w:pPr>
          </w:p>
          <w:p w:rsidR="005525BD" w:rsidRPr="007E1ED5" w:rsidRDefault="005525BD" w:rsidP="00E039A0">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Операційна нерухомість - власні або орендовані на умовах фінансової оренди земельні ділянки, будівлі, споруди, які розташовуються на землі, утримувані з метою використання для виробництва, або постачання товарів чи надання послуг, </w:t>
            </w:r>
            <w:r w:rsidR="00703BB4" w:rsidRPr="007E1ED5">
              <w:rPr>
                <w:rFonts w:ascii="Times New Roman" w:hAnsi="Times New Roman" w:cs="Times New Roman"/>
                <w:sz w:val="23"/>
                <w:szCs w:val="23"/>
              </w:rPr>
              <w:t>або ж в адміністративних цілях.</w:t>
            </w:r>
          </w:p>
          <w:p w:rsidR="00703BB4" w:rsidRPr="007E1ED5" w:rsidRDefault="00703BB4" w:rsidP="007E1ED5">
            <w:pPr>
              <w:jc w:val="both"/>
              <w:rPr>
                <w:rFonts w:ascii="Times New Roman" w:hAnsi="Times New Roman" w:cs="Times New Roman"/>
                <w:sz w:val="23"/>
                <w:szCs w:val="23"/>
              </w:rPr>
            </w:pPr>
          </w:p>
          <w:p w:rsidR="005525BD" w:rsidRPr="007E1ED5" w:rsidRDefault="00703BB4" w:rsidP="00703BB4">
            <w:pPr>
              <w:ind w:firstLine="311"/>
              <w:jc w:val="both"/>
              <w:rPr>
                <w:rFonts w:ascii="Times New Roman" w:hAnsi="Times New Roman" w:cs="Times New Roman"/>
                <w:sz w:val="23"/>
                <w:szCs w:val="23"/>
              </w:rPr>
            </w:pPr>
            <w:r w:rsidRPr="007E1ED5">
              <w:rPr>
                <w:rFonts w:ascii="Times New Roman" w:hAnsi="Times New Roman" w:cs="Times New Roman"/>
                <w:sz w:val="23"/>
                <w:szCs w:val="23"/>
              </w:rPr>
              <w:t>…</w:t>
            </w:r>
          </w:p>
        </w:tc>
        <w:tc>
          <w:tcPr>
            <w:tcW w:w="7087" w:type="dxa"/>
          </w:tcPr>
          <w:p w:rsidR="005525BD" w:rsidRPr="007E1ED5" w:rsidRDefault="005525BD" w:rsidP="00657496">
            <w:pPr>
              <w:ind w:firstLine="315"/>
              <w:jc w:val="both"/>
              <w:rPr>
                <w:rFonts w:ascii="Times New Roman" w:hAnsi="Times New Roman" w:cs="Times New Roman"/>
                <w:sz w:val="23"/>
                <w:szCs w:val="23"/>
              </w:rPr>
            </w:pPr>
            <w:r w:rsidRPr="007E1ED5">
              <w:rPr>
                <w:rFonts w:ascii="Times New Roman" w:hAnsi="Times New Roman" w:cs="Times New Roman"/>
                <w:sz w:val="23"/>
                <w:szCs w:val="23"/>
              </w:rPr>
              <w:t>Пункт 4:</w:t>
            </w:r>
          </w:p>
          <w:p w:rsidR="005525BD" w:rsidRPr="007E1ED5" w:rsidRDefault="00703BB4" w:rsidP="00657496">
            <w:pPr>
              <w:ind w:firstLine="315"/>
              <w:jc w:val="both"/>
              <w:rPr>
                <w:rFonts w:ascii="Times New Roman" w:hAnsi="Times New Roman" w:cs="Times New Roman"/>
                <w:sz w:val="23"/>
                <w:szCs w:val="23"/>
              </w:rPr>
            </w:pPr>
            <w:r w:rsidRPr="007E1ED5">
              <w:rPr>
                <w:rFonts w:ascii="Times New Roman" w:hAnsi="Times New Roman" w:cs="Times New Roman"/>
                <w:sz w:val="23"/>
                <w:szCs w:val="23"/>
              </w:rPr>
              <w:t xml:space="preserve">4. </w:t>
            </w:r>
            <w:r w:rsidR="005525BD" w:rsidRPr="007E1ED5">
              <w:rPr>
                <w:rFonts w:ascii="Times New Roman" w:hAnsi="Times New Roman" w:cs="Times New Roman"/>
                <w:sz w:val="23"/>
                <w:szCs w:val="23"/>
              </w:rPr>
              <w:t>Терміни, що використовуються в національних положеннях (стандартах) бухгалтерського обліку, мають значення</w:t>
            </w:r>
            <w:r w:rsidRPr="007E1ED5">
              <w:rPr>
                <w:rFonts w:ascii="Times New Roman" w:hAnsi="Times New Roman" w:cs="Times New Roman"/>
                <w:b/>
                <w:sz w:val="23"/>
                <w:szCs w:val="23"/>
              </w:rPr>
              <w:t>, наведене у цьому пункті</w:t>
            </w:r>
            <w:r w:rsidR="005525BD" w:rsidRPr="007E1ED5">
              <w:rPr>
                <w:rFonts w:ascii="Times New Roman" w:hAnsi="Times New Roman" w:cs="Times New Roman"/>
                <w:sz w:val="23"/>
                <w:szCs w:val="23"/>
              </w:rPr>
              <w:t>:</w:t>
            </w:r>
          </w:p>
          <w:p w:rsidR="005525BD" w:rsidRPr="0064042B" w:rsidRDefault="005525BD" w:rsidP="0064042B">
            <w:pPr>
              <w:ind w:firstLine="315"/>
              <w:jc w:val="both"/>
              <w:rPr>
                <w:rFonts w:ascii="Times New Roman" w:hAnsi="Times New Roman" w:cs="Times New Roman"/>
                <w:sz w:val="23"/>
                <w:szCs w:val="23"/>
              </w:rPr>
            </w:pPr>
            <w:r w:rsidRPr="007E1ED5">
              <w:rPr>
                <w:rFonts w:ascii="Times New Roman" w:hAnsi="Times New Roman" w:cs="Times New Roman"/>
                <w:sz w:val="23"/>
                <w:szCs w:val="23"/>
              </w:rPr>
              <w:t xml:space="preserve">Інвестиційна нерухомість – </w:t>
            </w:r>
            <w:r w:rsidRPr="007E1ED5">
              <w:rPr>
                <w:rFonts w:ascii="Times New Roman" w:hAnsi="Times New Roman" w:cs="Times New Roman"/>
                <w:b/>
                <w:sz w:val="23"/>
                <w:szCs w:val="23"/>
              </w:rPr>
              <w:t xml:space="preserve">це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w:t>
            </w:r>
            <w:r w:rsidRPr="007E1ED5">
              <w:rPr>
                <w:rFonts w:ascii="Times New Roman" w:hAnsi="Times New Roman" w:cs="Times New Roman"/>
                <w:sz w:val="23"/>
                <w:szCs w:val="23"/>
              </w:rPr>
              <w:t>з метою отримання орендних платежів та/або збільшення власного капіталу, а не для</w:t>
            </w:r>
            <w:r w:rsidRPr="007E1ED5">
              <w:rPr>
                <w:rFonts w:ascii="Times New Roman" w:hAnsi="Times New Roman" w:cs="Times New Roman"/>
                <w:b/>
                <w:sz w:val="23"/>
                <w:szCs w:val="23"/>
              </w:rPr>
              <w:t xml:space="preserve"> використання у виробництві та постачанні товарів, при наданні послуг та для адміністративних цілей </w:t>
            </w:r>
            <w:r w:rsidRPr="007E1ED5">
              <w:rPr>
                <w:rFonts w:ascii="Times New Roman" w:hAnsi="Times New Roman" w:cs="Times New Roman"/>
                <w:sz w:val="23"/>
                <w:szCs w:val="23"/>
              </w:rPr>
              <w:t>або продажу в процесі звичайної діяльності.</w:t>
            </w:r>
          </w:p>
          <w:p w:rsidR="00703BB4" w:rsidRPr="007E1ED5" w:rsidRDefault="005525BD" w:rsidP="0064042B">
            <w:pPr>
              <w:ind w:firstLine="315"/>
              <w:jc w:val="both"/>
              <w:rPr>
                <w:rFonts w:ascii="Times New Roman" w:hAnsi="Times New Roman" w:cs="Times New Roman"/>
                <w:b/>
                <w:sz w:val="23"/>
                <w:szCs w:val="23"/>
              </w:rPr>
            </w:pPr>
            <w:r w:rsidRPr="007E1ED5">
              <w:rPr>
                <w:rFonts w:ascii="Times New Roman" w:hAnsi="Times New Roman" w:cs="Times New Roman"/>
                <w:sz w:val="23"/>
                <w:szCs w:val="23"/>
              </w:rPr>
              <w:t xml:space="preserve">Операційна нерухомість - </w:t>
            </w:r>
            <w:r w:rsidRPr="007E1ED5">
              <w:rPr>
                <w:rFonts w:ascii="Times New Roman" w:hAnsi="Times New Roman" w:cs="Times New Roman"/>
                <w:b/>
                <w:sz w:val="23"/>
                <w:szCs w:val="23"/>
              </w:rPr>
              <w:t>нерухомість</w:t>
            </w:r>
            <w:r w:rsidRPr="007E1ED5">
              <w:rPr>
                <w:rFonts w:ascii="Times New Roman" w:hAnsi="Times New Roman" w:cs="Times New Roman"/>
                <w:sz w:val="23"/>
                <w:szCs w:val="23"/>
              </w:rPr>
              <w:t xml:space="preserve"> </w:t>
            </w:r>
            <w:r w:rsidRPr="007E1ED5">
              <w:rPr>
                <w:rFonts w:ascii="Times New Roman" w:hAnsi="Times New Roman" w:cs="Times New Roman"/>
                <w:b/>
                <w:sz w:val="23"/>
                <w:szCs w:val="23"/>
              </w:rPr>
              <w:t xml:space="preserve">(земельна ділянка, будівля, споруда (частина будівлі) або їх поєднання), утримувана власником або орендарем відповідно до договору фінансової оренди </w:t>
            </w:r>
            <w:r w:rsidRPr="007E1ED5">
              <w:rPr>
                <w:rFonts w:ascii="Times New Roman" w:hAnsi="Times New Roman" w:cs="Times New Roman"/>
                <w:sz w:val="23"/>
                <w:szCs w:val="23"/>
              </w:rPr>
              <w:t>з метою використання</w:t>
            </w:r>
            <w:r w:rsidRPr="007E1ED5">
              <w:rPr>
                <w:rFonts w:ascii="Times New Roman" w:hAnsi="Times New Roman" w:cs="Times New Roman"/>
                <w:b/>
                <w:sz w:val="23"/>
                <w:szCs w:val="23"/>
              </w:rPr>
              <w:t xml:space="preserve"> у виробництві та постачанні товарів, при наданні послуг та для адміністративних цілей.</w:t>
            </w:r>
          </w:p>
          <w:p w:rsidR="00703BB4" w:rsidRPr="007E1ED5" w:rsidRDefault="00703BB4" w:rsidP="00756E5A">
            <w:pPr>
              <w:ind w:firstLine="315"/>
              <w:jc w:val="both"/>
              <w:rPr>
                <w:rFonts w:ascii="Times New Roman" w:hAnsi="Times New Roman" w:cs="Times New Roman"/>
                <w:sz w:val="23"/>
                <w:szCs w:val="23"/>
              </w:rPr>
            </w:pPr>
            <w:r w:rsidRPr="007E1ED5">
              <w:rPr>
                <w:rFonts w:ascii="Times New Roman" w:hAnsi="Times New Roman" w:cs="Times New Roman"/>
                <w:sz w:val="23"/>
                <w:szCs w:val="23"/>
              </w:rPr>
              <w:t>…</w:t>
            </w:r>
          </w:p>
        </w:tc>
      </w:tr>
      <w:tr w:rsidR="005525BD" w:rsidRPr="007E1ED5" w:rsidTr="007E1ED5">
        <w:trPr>
          <w:trHeight w:val="2004"/>
        </w:trPr>
        <w:tc>
          <w:tcPr>
            <w:tcW w:w="7939" w:type="dxa"/>
          </w:tcPr>
          <w:p w:rsidR="005525BD" w:rsidRPr="007E1ED5" w:rsidRDefault="005525BD" w:rsidP="00BC2BE0">
            <w:pPr>
              <w:ind w:firstLine="311"/>
              <w:jc w:val="both"/>
              <w:rPr>
                <w:rFonts w:ascii="Times New Roman" w:hAnsi="Times New Roman" w:cs="Times New Roman"/>
                <w:sz w:val="23"/>
                <w:szCs w:val="23"/>
              </w:rPr>
            </w:pPr>
            <w:r w:rsidRPr="007E1ED5">
              <w:rPr>
                <w:rFonts w:ascii="Times New Roman" w:hAnsi="Times New Roman" w:cs="Times New Roman"/>
                <w:sz w:val="23"/>
                <w:szCs w:val="23"/>
              </w:rPr>
              <w:lastRenderedPageBreak/>
              <w:t>Пункт 5:</w:t>
            </w:r>
          </w:p>
          <w:p w:rsidR="005525BD" w:rsidRPr="007E1ED5" w:rsidRDefault="005525BD" w:rsidP="00D0114B">
            <w:pPr>
              <w:ind w:firstLine="311"/>
              <w:jc w:val="both"/>
              <w:rPr>
                <w:rFonts w:ascii="Times New Roman" w:hAnsi="Times New Roman" w:cs="Times New Roman"/>
                <w:sz w:val="23"/>
                <w:szCs w:val="23"/>
              </w:rPr>
            </w:pPr>
            <w:r w:rsidRPr="007E1ED5">
              <w:rPr>
                <w:rFonts w:ascii="Times New Roman" w:hAnsi="Times New Roman" w:cs="Times New Roman"/>
                <w:sz w:val="23"/>
                <w:szCs w:val="23"/>
              </w:rPr>
              <w:t>5. З метою бухгалтерського обліку не вважається інвестиційною нерухомістю:</w:t>
            </w:r>
          </w:p>
          <w:p w:rsidR="005525BD" w:rsidRPr="007E1ED5" w:rsidRDefault="007F474F" w:rsidP="0064042B">
            <w:pPr>
              <w:ind w:firstLine="311"/>
              <w:jc w:val="both"/>
              <w:rPr>
                <w:rFonts w:ascii="Times New Roman" w:hAnsi="Times New Roman" w:cs="Times New Roman"/>
                <w:sz w:val="23"/>
                <w:szCs w:val="23"/>
              </w:rPr>
            </w:pPr>
            <w:r w:rsidRPr="007E1ED5">
              <w:rPr>
                <w:rFonts w:ascii="Times New Roman" w:hAnsi="Times New Roman" w:cs="Times New Roman"/>
                <w:sz w:val="23"/>
                <w:szCs w:val="23"/>
              </w:rPr>
              <w:t>…</w:t>
            </w:r>
          </w:p>
          <w:p w:rsidR="005525BD" w:rsidRPr="007E1ED5" w:rsidRDefault="005525BD" w:rsidP="0064042B">
            <w:pPr>
              <w:ind w:firstLine="311"/>
              <w:jc w:val="both"/>
              <w:rPr>
                <w:rFonts w:ascii="Times New Roman" w:hAnsi="Times New Roman" w:cs="Times New Roman"/>
                <w:strike/>
                <w:sz w:val="23"/>
                <w:szCs w:val="23"/>
              </w:rPr>
            </w:pPr>
            <w:r w:rsidRPr="007E1ED5">
              <w:rPr>
                <w:rFonts w:ascii="Times New Roman" w:hAnsi="Times New Roman" w:cs="Times New Roman"/>
                <w:b/>
                <w:strike/>
                <w:sz w:val="23"/>
                <w:szCs w:val="23"/>
              </w:rPr>
              <w:t>5</w:t>
            </w:r>
            <w:r w:rsidRPr="007E1ED5">
              <w:rPr>
                <w:rFonts w:ascii="Times New Roman" w:hAnsi="Times New Roman" w:cs="Times New Roman"/>
                <w:strike/>
                <w:sz w:val="23"/>
                <w:szCs w:val="23"/>
              </w:rPr>
              <w:t xml:space="preserve">.3. </w:t>
            </w:r>
            <w:r w:rsidRPr="007E1ED5">
              <w:rPr>
                <w:rFonts w:ascii="Times New Roman" w:hAnsi="Times New Roman" w:cs="Times New Roman"/>
                <w:b/>
                <w:strike/>
                <w:sz w:val="23"/>
                <w:szCs w:val="23"/>
              </w:rPr>
              <w:t>Нерухомість, що будується або поліпшується за дорученням третіх сторін</w:t>
            </w:r>
            <w:r w:rsidRPr="007E1ED5">
              <w:rPr>
                <w:rFonts w:ascii="Times New Roman" w:hAnsi="Times New Roman" w:cs="Times New Roman"/>
                <w:strike/>
                <w:sz w:val="23"/>
                <w:szCs w:val="23"/>
              </w:rPr>
              <w:t>.</w:t>
            </w:r>
          </w:p>
          <w:p w:rsidR="005525BD" w:rsidRPr="007E1ED5" w:rsidRDefault="005525BD" w:rsidP="00BC2BE0">
            <w:pPr>
              <w:ind w:firstLine="311"/>
              <w:jc w:val="both"/>
              <w:rPr>
                <w:rFonts w:ascii="Times New Roman" w:hAnsi="Times New Roman" w:cs="Times New Roman"/>
                <w:b/>
                <w:strike/>
                <w:sz w:val="23"/>
                <w:szCs w:val="23"/>
              </w:rPr>
            </w:pPr>
            <w:r w:rsidRPr="007E1ED5">
              <w:rPr>
                <w:rFonts w:ascii="Times New Roman" w:hAnsi="Times New Roman" w:cs="Times New Roman"/>
                <w:b/>
                <w:sz w:val="23"/>
                <w:szCs w:val="23"/>
              </w:rPr>
              <w:t>5.4.</w:t>
            </w:r>
            <w:r w:rsidRPr="007E1ED5">
              <w:rPr>
                <w:rFonts w:ascii="Times New Roman" w:hAnsi="Times New Roman" w:cs="Times New Roman"/>
                <w:sz w:val="23"/>
                <w:szCs w:val="23"/>
              </w:rPr>
              <w:t xml:space="preserve"> Нерухомість, що перебуває в процесі будівництва або поліпшення з метою</w:t>
            </w:r>
            <w:r w:rsidR="007F474F" w:rsidRPr="007E1ED5">
              <w:rPr>
                <w:rFonts w:ascii="Times New Roman" w:hAnsi="Times New Roman" w:cs="Times New Roman"/>
                <w:b/>
                <w:sz w:val="23"/>
                <w:szCs w:val="23"/>
              </w:rPr>
              <w:t xml:space="preserve"> </w:t>
            </w:r>
            <w:r w:rsidRPr="007E1ED5">
              <w:rPr>
                <w:rFonts w:ascii="Times New Roman" w:hAnsi="Times New Roman" w:cs="Times New Roman"/>
                <w:b/>
                <w:sz w:val="23"/>
                <w:szCs w:val="23"/>
              </w:rPr>
              <w:t>використання у майбутньому як інвестиційна нерухомість.</w:t>
            </w:r>
          </w:p>
          <w:p w:rsidR="005525BD" w:rsidRPr="007E1ED5" w:rsidRDefault="005525BD" w:rsidP="00720513">
            <w:pPr>
              <w:jc w:val="both"/>
              <w:rPr>
                <w:rFonts w:ascii="Times New Roman" w:hAnsi="Times New Roman" w:cs="Times New Roman"/>
                <w:sz w:val="23"/>
                <w:szCs w:val="23"/>
              </w:rPr>
            </w:pPr>
          </w:p>
          <w:p w:rsidR="005525BD" w:rsidRPr="007E1ED5" w:rsidRDefault="005525BD" w:rsidP="00BC2BE0">
            <w:pPr>
              <w:ind w:firstLine="311"/>
              <w:jc w:val="both"/>
              <w:rPr>
                <w:rFonts w:ascii="Times New Roman" w:hAnsi="Times New Roman" w:cs="Times New Roman"/>
                <w:b/>
                <w:sz w:val="23"/>
                <w:szCs w:val="23"/>
              </w:rPr>
            </w:pPr>
            <w:r w:rsidRPr="007E1ED5">
              <w:rPr>
                <w:rFonts w:ascii="Times New Roman" w:hAnsi="Times New Roman" w:cs="Times New Roman"/>
                <w:b/>
                <w:sz w:val="23"/>
                <w:szCs w:val="23"/>
              </w:rPr>
              <w:t>Відсутні</w:t>
            </w:r>
          </w:p>
          <w:p w:rsidR="005525BD" w:rsidRPr="007E1ED5" w:rsidRDefault="005525BD" w:rsidP="0064042B">
            <w:pPr>
              <w:jc w:val="both"/>
              <w:rPr>
                <w:rFonts w:ascii="Times New Roman" w:hAnsi="Times New Roman" w:cs="Times New Roman"/>
                <w:sz w:val="23"/>
                <w:szCs w:val="23"/>
              </w:rPr>
            </w:pPr>
          </w:p>
          <w:p w:rsidR="005525BD" w:rsidRDefault="005525BD" w:rsidP="007F474F">
            <w:pPr>
              <w:jc w:val="both"/>
              <w:rPr>
                <w:rFonts w:ascii="Times New Roman" w:hAnsi="Times New Roman" w:cs="Times New Roman"/>
                <w:sz w:val="23"/>
                <w:szCs w:val="23"/>
              </w:rPr>
            </w:pPr>
          </w:p>
          <w:p w:rsidR="0064042B" w:rsidRPr="007E1ED5" w:rsidRDefault="0064042B" w:rsidP="007F474F">
            <w:pPr>
              <w:jc w:val="both"/>
              <w:rPr>
                <w:rFonts w:ascii="Times New Roman" w:hAnsi="Times New Roman" w:cs="Times New Roman"/>
                <w:sz w:val="23"/>
                <w:szCs w:val="23"/>
              </w:rPr>
            </w:pPr>
          </w:p>
          <w:p w:rsidR="005525BD" w:rsidRPr="0064042B"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5.5.</w:t>
            </w:r>
            <w:r w:rsidRPr="007E1ED5">
              <w:rPr>
                <w:rFonts w:ascii="Times New Roman" w:hAnsi="Times New Roman" w:cs="Times New Roman"/>
                <w:sz w:val="23"/>
                <w:szCs w:val="23"/>
              </w:rPr>
              <w:t xml:space="preserve"> Нерухомість, що надана в оренду іншому суб’єкту господарювання на умовах фінансової оренди.</w:t>
            </w:r>
          </w:p>
          <w:p w:rsidR="005525BD" w:rsidRPr="007E1ED5" w:rsidRDefault="005525BD" w:rsidP="00BC2BE0">
            <w:pPr>
              <w:ind w:firstLine="311"/>
              <w:jc w:val="both"/>
              <w:rPr>
                <w:rFonts w:ascii="Times New Roman" w:hAnsi="Times New Roman" w:cs="Times New Roman"/>
                <w:b/>
                <w:sz w:val="23"/>
                <w:szCs w:val="23"/>
              </w:rPr>
            </w:pPr>
            <w:r w:rsidRPr="007E1ED5">
              <w:rPr>
                <w:rFonts w:ascii="Times New Roman" w:hAnsi="Times New Roman" w:cs="Times New Roman"/>
                <w:b/>
                <w:sz w:val="23"/>
                <w:szCs w:val="23"/>
              </w:rPr>
              <w:t>Відсутні</w:t>
            </w:r>
          </w:p>
        </w:tc>
        <w:tc>
          <w:tcPr>
            <w:tcW w:w="7087" w:type="dxa"/>
          </w:tcPr>
          <w:p w:rsidR="005525BD" w:rsidRPr="007E1ED5" w:rsidRDefault="005525BD" w:rsidP="00BC2BE0">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5:</w:t>
            </w:r>
          </w:p>
          <w:p w:rsidR="005525BD" w:rsidRPr="007E1ED5" w:rsidRDefault="005525BD" w:rsidP="00D0114B">
            <w:pPr>
              <w:ind w:firstLine="311"/>
              <w:jc w:val="both"/>
              <w:rPr>
                <w:rFonts w:ascii="Times New Roman" w:hAnsi="Times New Roman" w:cs="Times New Roman"/>
                <w:sz w:val="23"/>
                <w:szCs w:val="23"/>
              </w:rPr>
            </w:pPr>
            <w:r w:rsidRPr="007E1ED5">
              <w:rPr>
                <w:rFonts w:ascii="Times New Roman" w:hAnsi="Times New Roman" w:cs="Times New Roman"/>
                <w:sz w:val="23"/>
                <w:szCs w:val="23"/>
              </w:rPr>
              <w:t>5. З метою бухгалтерського обліку не вважається інвестиційною нерухомістю:</w:t>
            </w:r>
          </w:p>
          <w:p w:rsidR="005525BD" w:rsidRPr="007E1ED5" w:rsidRDefault="007F474F" w:rsidP="00A35316">
            <w:pPr>
              <w:ind w:firstLine="311"/>
              <w:jc w:val="both"/>
              <w:rPr>
                <w:rFonts w:ascii="Times New Roman" w:hAnsi="Times New Roman" w:cs="Times New Roman"/>
                <w:sz w:val="23"/>
                <w:szCs w:val="23"/>
              </w:rPr>
            </w:pPr>
            <w:r w:rsidRPr="007E1ED5">
              <w:rPr>
                <w:rFonts w:ascii="Times New Roman" w:hAnsi="Times New Roman" w:cs="Times New Roman"/>
                <w:sz w:val="23"/>
                <w:szCs w:val="23"/>
              </w:rPr>
              <w:t>…</w:t>
            </w:r>
          </w:p>
          <w:p w:rsidR="005525BD" w:rsidRPr="007E1ED5" w:rsidRDefault="005525BD" w:rsidP="003331C5">
            <w:pPr>
              <w:jc w:val="both"/>
              <w:rPr>
                <w:rFonts w:ascii="Times New Roman" w:hAnsi="Times New Roman" w:cs="Times New Roman"/>
                <w:b/>
                <w:sz w:val="23"/>
                <w:szCs w:val="23"/>
              </w:rPr>
            </w:pPr>
          </w:p>
          <w:p w:rsidR="007F474F" w:rsidRPr="007E1ED5" w:rsidRDefault="007F474F" w:rsidP="003331C5">
            <w:pPr>
              <w:jc w:val="both"/>
              <w:rPr>
                <w:rFonts w:ascii="Times New Roman" w:hAnsi="Times New Roman" w:cs="Times New Roman"/>
                <w:b/>
                <w:sz w:val="23"/>
                <w:szCs w:val="23"/>
              </w:rPr>
            </w:pPr>
          </w:p>
          <w:p w:rsidR="005525BD" w:rsidRPr="007E1ED5"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5.3.</w:t>
            </w:r>
            <w:r w:rsidRPr="007E1ED5">
              <w:rPr>
                <w:rFonts w:ascii="Times New Roman" w:hAnsi="Times New Roman" w:cs="Times New Roman"/>
                <w:sz w:val="23"/>
                <w:szCs w:val="23"/>
              </w:rPr>
              <w:t xml:space="preserve"> Нерухомість, що перебуває в процесі будівництва або поліпшення з метою</w:t>
            </w:r>
            <w:r w:rsidRPr="007E1ED5">
              <w:rPr>
                <w:rFonts w:ascii="Times New Roman" w:hAnsi="Times New Roman" w:cs="Times New Roman"/>
                <w:b/>
                <w:sz w:val="23"/>
                <w:szCs w:val="23"/>
              </w:rPr>
              <w:t xml:space="preserve"> продажу за умов звичайної господарської діяльності</w:t>
            </w:r>
            <w:r w:rsidRPr="007E1ED5">
              <w:rPr>
                <w:rFonts w:ascii="Times New Roman" w:hAnsi="Times New Roman" w:cs="Times New Roman"/>
                <w:sz w:val="23"/>
                <w:szCs w:val="23"/>
              </w:rPr>
              <w:t xml:space="preserve">. </w:t>
            </w:r>
          </w:p>
          <w:p w:rsidR="005525BD" w:rsidRPr="0064042B"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5.4.</w:t>
            </w:r>
            <w:r w:rsidRPr="007E1ED5">
              <w:rPr>
                <w:rFonts w:ascii="Times New Roman" w:hAnsi="Times New Roman" w:cs="Times New Roman"/>
                <w:sz w:val="23"/>
                <w:szCs w:val="23"/>
              </w:rPr>
              <w:t xml:space="preserve"> </w:t>
            </w:r>
            <w:r w:rsidRPr="007E1ED5">
              <w:rPr>
                <w:rFonts w:ascii="Times New Roman" w:hAnsi="Times New Roman" w:cs="Times New Roman"/>
                <w:b/>
                <w:sz w:val="23"/>
                <w:szCs w:val="23"/>
              </w:rPr>
              <w:t>Нерухомість, утримувана з метою майбутнього поліпшення та подальшого використання як операційна нерухомість</w:t>
            </w:r>
            <w:r w:rsidRPr="007E1ED5">
              <w:rPr>
                <w:rFonts w:ascii="Times New Roman" w:hAnsi="Times New Roman" w:cs="Times New Roman"/>
                <w:sz w:val="23"/>
                <w:szCs w:val="23"/>
              </w:rPr>
              <w:t>.</w:t>
            </w:r>
          </w:p>
          <w:p w:rsidR="005525BD" w:rsidRPr="007E1ED5"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5.5. Операційна нерухомість, стосовно якої очікується вибуття</w:t>
            </w:r>
            <w:r w:rsidRPr="007E1ED5">
              <w:rPr>
                <w:rFonts w:ascii="Times New Roman" w:hAnsi="Times New Roman" w:cs="Times New Roman"/>
                <w:sz w:val="23"/>
                <w:szCs w:val="23"/>
              </w:rPr>
              <w:t>.</w:t>
            </w:r>
          </w:p>
          <w:p w:rsidR="005525BD" w:rsidRPr="0064042B"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5.6.</w:t>
            </w:r>
            <w:r w:rsidRPr="007E1ED5">
              <w:rPr>
                <w:rFonts w:ascii="Times New Roman" w:hAnsi="Times New Roman" w:cs="Times New Roman"/>
                <w:sz w:val="23"/>
                <w:szCs w:val="23"/>
              </w:rPr>
              <w:t xml:space="preserve"> Нерухомість, що надана в оренду іншому суб’єкту господарювання на умовах фінансової оренди.</w:t>
            </w:r>
          </w:p>
          <w:p w:rsidR="005525BD" w:rsidRPr="007E1ED5" w:rsidRDefault="005525BD" w:rsidP="0064042B">
            <w:pPr>
              <w:ind w:firstLine="315"/>
              <w:jc w:val="both"/>
              <w:rPr>
                <w:rFonts w:ascii="Times New Roman" w:hAnsi="Times New Roman" w:cs="Times New Roman"/>
                <w:b/>
                <w:sz w:val="23"/>
                <w:szCs w:val="23"/>
              </w:rPr>
            </w:pPr>
            <w:r w:rsidRPr="007E1ED5">
              <w:rPr>
                <w:rFonts w:ascii="Times New Roman" w:hAnsi="Times New Roman" w:cs="Times New Roman"/>
                <w:b/>
                <w:sz w:val="23"/>
                <w:szCs w:val="23"/>
              </w:rPr>
              <w:t>До інвестиційної нерухомості належать наприклад:</w:t>
            </w:r>
          </w:p>
          <w:p w:rsidR="005525BD" w:rsidRPr="007E1ED5" w:rsidRDefault="005525BD" w:rsidP="0064042B">
            <w:pPr>
              <w:ind w:firstLine="315"/>
              <w:jc w:val="both"/>
              <w:rPr>
                <w:rFonts w:ascii="Times New Roman" w:hAnsi="Times New Roman" w:cs="Times New Roman"/>
                <w:b/>
                <w:sz w:val="23"/>
                <w:szCs w:val="23"/>
              </w:rPr>
            </w:pPr>
            <w:r w:rsidRPr="007E1ED5">
              <w:rPr>
                <w:rFonts w:ascii="Times New Roman" w:hAnsi="Times New Roman" w:cs="Times New Roman"/>
                <w:b/>
                <w:sz w:val="23"/>
                <w:szCs w:val="23"/>
              </w:rPr>
              <w:t>a) земельна ділянка, утримувана для довгострокового збільшення власного капіталу, а не для короткострокового продажу у процесі звичайної діяльності;</w:t>
            </w:r>
          </w:p>
          <w:p w:rsidR="005525BD" w:rsidRPr="007E1ED5" w:rsidRDefault="005525BD" w:rsidP="0064042B">
            <w:pPr>
              <w:ind w:firstLine="315"/>
              <w:jc w:val="both"/>
              <w:rPr>
                <w:rFonts w:ascii="Times New Roman" w:hAnsi="Times New Roman" w:cs="Times New Roman"/>
                <w:b/>
                <w:sz w:val="23"/>
                <w:szCs w:val="23"/>
              </w:rPr>
            </w:pPr>
            <w:r w:rsidRPr="007E1ED5">
              <w:rPr>
                <w:rFonts w:ascii="Times New Roman" w:hAnsi="Times New Roman" w:cs="Times New Roman"/>
                <w:b/>
                <w:sz w:val="23"/>
                <w:szCs w:val="23"/>
              </w:rPr>
              <w:t>б) земельна ділянка, утримувана для використання в майбутньому, мету використання якої ще невизначено. Якщо підприємством ще не визначено, чи буде земельна ділянка використовуватися як операційна нерухомість, чи для продажу у короткостроковій перспективі у процесі звичайної діяльності, тоді така земельна ділянка вважається утримуваною для збільшення власного капіталу;</w:t>
            </w:r>
          </w:p>
          <w:p w:rsidR="005525BD" w:rsidRPr="007E1ED5" w:rsidRDefault="005525BD" w:rsidP="0064042B">
            <w:pPr>
              <w:ind w:firstLine="315"/>
              <w:jc w:val="both"/>
              <w:rPr>
                <w:rFonts w:ascii="Times New Roman" w:hAnsi="Times New Roman" w:cs="Times New Roman"/>
                <w:b/>
                <w:sz w:val="23"/>
                <w:szCs w:val="23"/>
              </w:rPr>
            </w:pPr>
            <w:r w:rsidRPr="007E1ED5">
              <w:rPr>
                <w:rFonts w:ascii="Times New Roman" w:hAnsi="Times New Roman" w:cs="Times New Roman"/>
                <w:b/>
                <w:sz w:val="23"/>
                <w:szCs w:val="23"/>
              </w:rPr>
              <w:t>в) будівля, яка є власністю підприємства (або як право користування будівлею, утримуваною підприємством) та надана в оренду за однією чи кількома операційними орендами;</w:t>
            </w:r>
          </w:p>
          <w:p w:rsidR="005525BD" w:rsidRPr="007E1ED5" w:rsidRDefault="005525BD" w:rsidP="007F474F">
            <w:pPr>
              <w:ind w:firstLine="315"/>
              <w:jc w:val="both"/>
              <w:rPr>
                <w:rFonts w:ascii="Times New Roman" w:hAnsi="Times New Roman" w:cs="Times New Roman"/>
                <w:b/>
                <w:sz w:val="23"/>
                <w:szCs w:val="23"/>
              </w:rPr>
            </w:pPr>
            <w:r w:rsidRPr="007E1ED5">
              <w:rPr>
                <w:rFonts w:ascii="Times New Roman" w:hAnsi="Times New Roman" w:cs="Times New Roman"/>
                <w:b/>
                <w:sz w:val="23"/>
                <w:szCs w:val="23"/>
              </w:rPr>
              <w:t>г) будівля, яка не зайнята, але утримується для надання в оренду за однією чи кількома операційними орендами.</w:t>
            </w:r>
          </w:p>
        </w:tc>
      </w:tr>
      <w:tr w:rsidR="005525BD" w:rsidRPr="007E1ED5" w:rsidTr="007E1ED5">
        <w:trPr>
          <w:trHeight w:val="2854"/>
        </w:trPr>
        <w:tc>
          <w:tcPr>
            <w:tcW w:w="7939" w:type="dxa"/>
          </w:tcPr>
          <w:p w:rsidR="005525BD" w:rsidRPr="007E1ED5" w:rsidRDefault="005525BD" w:rsidP="00BC2BE0">
            <w:pPr>
              <w:ind w:firstLine="311"/>
              <w:jc w:val="both"/>
              <w:rPr>
                <w:rFonts w:ascii="Times New Roman" w:hAnsi="Times New Roman" w:cs="Times New Roman"/>
                <w:sz w:val="23"/>
                <w:szCs w:val="23"/>
              </w:rPr>
            </w:pPr>
            <w:r w:rsidRPr="007E1ED5">
              <w:rPr>
                <w:rFonts w:ascii="Times New Roman" w:hAnsi="Times New Roman" w:cs="Times New Roman"/>
                <w:sz w:val="23"/>
                <w:szCs w:val="23"/>
              </w:rPr>
              <w:lastRenderedPageBreak/>
              <w:t>Пункт 6:</w:t>
            </w:r>
          </w:p>
          <w:p w:rsidR="007F474F" w:rsidRPr="00D40FE3" w:rsidRDefault="005525BD" w:rsidP="00D40FE3">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6. </w:t>
            </w:r>
            <w:r w:rsidR="007F474F" w:rsidRPr="007E1ED5">
              <w:rPr>
                <w:rFonts w:ascii="Times New Roman" w:hAnsi="Times New Roman" w:cs="Times New Roman"/>
                <w:sz w:val="23"/>
                <w:szCs w:val="23"/>
              </w:rPr>
              <w:t>…</w:t>
            </w:r>
          </w:p>
          <w:p w:rsidR="005525BD" w:rsidRPr="007E1ED5" w:rsidRDefault="005525BD" w:rsidP="00BC2BE0">
            <w:pPr>
              <w:ind w:firstLine="311"/>
              <w:jc w:val="both"/>
              <w:rPr>
                <w:rFonts w:ascii="Times New Roman" w:hAnsi="Times New Roman" w:cs="Times New Roman"/>
                <w:sz w:val="23"/>
                <w:szCs w:val="23"/>
              </w:rPr>
            </w:pPr>
            <w:r w:rsidRPr="007E1ED5">
              <w:rPr>
                <w:rFonts w:ascii="Times New Roman" w:hAnsi="Times New Roman" w:cs="Times New Roman"/>
                <w:b/>
                <w:sz w:val="23"/>
                <w:szCs w:val="23"/>
              </w:rPr>
              <w:t>Відсутній</w:t>
            </w:r>
          </w:p>
          <w:p w:rsidR="005525BD" w:rsidRPr="007E1ED5" w:rsidRDefault="005525BD" w:rsidP="00876CB4">
            <w:pPr>
              <w:jc w:val="both"/>
              <w:rPr>
                <w:rFonts w:ascii="Times New Roman" w:hAnsi="Times New Roman" w:cs="Times New Roman"/>
                <w:sz w:val="23"/>
                <w:szCs w:val="23"/>
              </w:rPr>
            </w:pPr>
          </w:p>
          <w:p w:rsidR="005525BD" w:rsidRPr="007E1ED5" w:rsidRDefault="005525BD" w:rsidP="00876CB4">
            <w:pPr>
              <w:jc w:val="both"/>
              <w:rPr>
                <w:rFonts w:ascii="Times New Roman" w:hAnsi="Times New Roman" w:cs="Times New Roman"/>
                <w:sz w:val="23"/>
                <w:szCs w:val="23"/>
              </w:rPr>
            </w:pPr>
          </w:p>
          <w:p w:rsidR="005525BD" w:rsidRPr="007E1ED5" w:rsidRDefault="005525BD" w:rsidP="00876CB4">
            <w:pPr>
              <w:jc w:val="both"/>
              <w:rPr>
                <w:rFonts w:ascii="Times New Roman" w:hAnsi="Times New Roman" w:cs="Times New Roman"/>
                <w:sz w:val="23"/>
                <w:szCs w:val="23"/>
              </w:rPr>
            </w:pPr>
          </w:p>
          <w:p w:rsidR="005525BD" w:rsidRPr="007E1ED5" w:rsidRDefault="005525BD" w:rsidP="00927D84">
            <w:pPr>
              <w:jc w:val="both"/>
              <w:rPr>
                <w:rFonts w:ascii="Times New Roman" w:hAnsi="Times New Roman" w:cs="Times New Roman"/>
                <w:sz w:val="23"/>
                <w:szCs w:val="23"/>
              </w:rPr>
            </w:pPr>
          </w:p>
          <w:p w:rsidR="005525BD" w:rsidRPr="007E1ED5" w:rsidRDefault="005525BD" w:rsidP="00927D84">
            <w:pPr>
              <w:jc w:val="both"/>
              <w:rPr>
                <w:rFonts w:ascii="Times New Roman" w:hAnsi="Times New Roman" w:cs="Times New Roman"/>
                <w:sz w:val="23"/>
                <w:szCs w:val="23"/>
              </w:rPr>
            </w:pPr>
          </w:p>
          <w:p w:rsidR="005525BD" w:rsidRPr="007E1ED5" w:rsidRDefault="005525BD" w:rsidP="00927D84">
            <w:pPr>
              <w:jc w:val="both"/>
              <w:rPr>
                <w:rFonts w:ascii="Times New Roman" w:hAnsi="Times New Roman" w:cs="Times New Roman"/>
                <w:sz w:val="23"/>
                <w:szCs w:val="23"/>
              </w:rPr>
            </w:pPr>
          </w:p>
          <w:p w:rsidR="005525BD" w:rsidRPr="007E1ED5" w:rsidRDefault="005525BD" w:rsidP="00927D84">
            <w:pPr>
              <w:jc w:val="both"/>
              <w:rPr>
                <w:rFonts w:ascii="Times New Roman" w:hAnsi="Times New Roman" w:cs="Times New Roman"/>
                <w:sz w:val="23"/>
                <w:szCs w:val="23"/>
              </w:rPr>
            </w:pPr>
          </w:p>
          <w:p w:rsidR="005525BD" w:rsidRPr="007E1ED5" w:rsidRDefault="005525BD" w:rsidP="00927D84">
            <w:pPr>
              <w:jc w:val="both"/>
              <w:rPr>
                <w:rFonts w:ascii="Times New Roman" w:hAnsi="Times New Roman" w:cs="Times New Roman"/>
                <w:sz w:val="23"/>
                <w:szCs w:val="23"/>
              </w:rPr>
            </w:pPr>
          </w:p>
          <w:p w:rsidR="005525BD" w:rsidRPr="007E1ED5" w:rsidRDefault="007F474F" w:rsidP="007F474F">
            <w:pPr>
              <w:ind w:firstLine="311"/>
              <w:jc w:val="both"/>
              <w:rPr>
                <w:rFonts w:ascii="Times New Roman" w:hAnsi="Times New Roman" w:cs="Times New Roman"/>
                <w:sz w:val="23"/>
                <w:szCs w:val="23"/>
              </w:rPr>
            </w:pPr>
            <w:r w:rsidRPr="007E1ED5">
              <w:rPr>
                <w:rFonts w:ascii="Times New Roman" w:hAnsi="Times New Roman" w:cs="Times New Roman"/>
                <w:sz w:val="23"/>
                <w:szCs w:val="23"/>
              </w:rPr>
              <w:t>…</w:t>
            </w:r>
          </w:p>
        </w:tc>
        <w:tc>
          <w:tcPr>
            <w:tcW w:w="7087" w:type="dxa"/>
          </w:tcPr>
          <w:p w:rsidR="005525BD" w:rsidRPr="007E1ED5" w:rsidRDefault="005525BD" w:rsidP="005D2995">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6:</w:t>
            </w:r>
          </w:p>
          <w:p w:rsidR="007F474F" w:rsidRPr="007E1ED5" w:rsidRDefault="005525BD" w:rsidP="00D40FE3">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6. </w:t>
            </w:r>
            <w:r w:rsidR="007F474F" w:rsidRPr="007E1ED5">
              <w:rPr>
                <w:rFonts w:ascii="Times New Roman" w:hAnsi="Times New Roman" w:cs="Times New Roman"/>
                <w:sz w:val="23"/>
                <w:szCs w:val="23"/>
              </w:rPr>
              <w:t>…</w:t>
            </w:r>
          </w:p>
          <w:p w:rsidR="005525BD" w:rsidRPr="007E1ED5"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b/>
                <w:sz w:val="23"/>
                <w:szCs w:val="23"/>
              </w:rPr>
              <w:t>Якщо справедливу вартість частини об’єкта, яка відноситься до інвестиційної нерухомості, достовірно визначити неможливо, то вся нерухомість, до якої відноситься ця частина, обліковується як основні засоби відповідно до Національного положення (стандарту) бухгалтерського обліку 7 «Основні засоби», затвердженого наказом Міністерства фінансів України від 27 квітня 2000 року № 92, зареєстрованого в Міністерстві юстиції України 18 травня 2000 року за № 288/4509 (далі – Національне положення (стандарт) 7).</w:t>
            </w:r>
          </w:p>
          <w:p w:rsidR="005525BD" w:rsidRPr="007E1ED5" w:rsidRDefault="007F474F" w:rsidP="007F474F">
            <w:pPr>
              <w:ind w:firstLine="311"/>
              <w:jc w:val="both"/>
              <w:rPr>
                <w:rFonts w:ascii="Times New Roman" w:hAnsi="Times New Roman" w:cs="Times New Roman"/>
                <w:sz w:val="23"/>
                <w:szCs w:val="23"/>
              </w:rPr>
            </w:pPr>
            <w:r w:rsidRPr="007E1ED5">
              <w:rPr>
                <w:rFonts w:ascii="Times New Roman" w:hAnsi="Times New Roman" w:cs="Times New Roman"/>
                <w:sz w:val="23"/>
                <w:szCs w:val="23"/>
              </w:rPr>
              <w:t>…</w:t>
            </w:r>
          </w:p>
        </w:tc>
      </w:tr>
      <w:tr w:rsidR="005525BD" w:rsidRPr="007E1ED5" w:rsidTr="0064042B">
        <w:trPr>
          <w:trHeight w:val="2102"/>
        </w:trPr>
        <w:tc>
          <w:tcPr>
            <w:tcW w:w="7939" w:type="dxa"/>
          </w:tcPr>
          <w:p w:rsidR="005525BD" w:rsidRPr="007E1ED5" w:rsidRDefault="005525BD" w:rsidP="009A453C">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7:</w:t>
            </w:r>
          </w:p>
          <w:p w:rsidR="005525BD" w:rsidRPr="007E1ED5" w:rsidRDefault="005525BD" w:rsidP="009A453C">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7. Якщо підприємство контролює інвестиційну нерухомість, надану в оренду материнському підприємству або дочірньому підприємству </w:t>
            </w:r>
            <w:r w:rsidRPr="003C7B40">
              <w:rPr>
                <w:rFonts w:ascii="Times New Roman" w:hAnsi="Times New Roman" w:cs="Times New Roman"/>
                <w:sz w:val="23"/>
                <w:szCs w:val="23"/>
              </w:rPr>
              <w:t>для</w:t>
            </w:r>
            <w:r w:rsidRPr="007E1ED5">
              <w:rPr>
                <w:rFonts w:ascii="Times New Roman" w:hAnsi="Times New Roman" w:cs="Times New Roman"/>
                <w:b/>
                <w:sz w:val="23"/>
                <w:szCs w:val="23"/>
              </w:rPr>
              <w:t xml:space="preserve"> виробництва або постачання товарів чи надання послуг, або з адміністративною метою</w:t>
            </w:r>
            <w:r w:rsidRPr="007E1ED5">
              <w:rPr>
                <w:rFonts w:ascii="Times New Roman" w:hAnsi="Times New Roman" w:cs="Times New Roman"/>
                <w:sz w:val="23"/>
                <w:szCs w:val="23"/>
              </w:rPr>
              <w:t>, такий об’єкт основних засобів при складанні консолідованої фінансової звітності цієї групи підприємств вважається операційною нерухомістю.</w:t>
            </w:r>
          </w:p>
        </w:tc>
        <w:tc>
          <w:tcPr>
            <w:tcW w:w="7087" w:type="dxa"/>
          </w:tcPr>
          <w:p w:rsidR="005525BD" w:rsidRPr="007E1ED5" w:rsidRDefault="005525BD" w:rsidP="009A453C">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7:</w:t>
            </w:r>
          </w:p>
          <w:p w:rsidR="0064042B" w:rsidRPr="007E1ED5" w:rsidRDefault="005525BD" w:rsidP="0064042B">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7. Якщо підприємство контролює інвестиційну нерухомість, надану в оренду материнському підприємству або дочірньому підприємству для </w:t>
            </w:r>
            <w:r w:rsidRPr="007E1ED5">
              <w:rPr>
                <w:rFonts w:ascii="Times New Roman" w:hAnsi="Times New Roman" w:cs="Times New Roman"/>
                <w:b/>
                <w:sz w:val="23"/>
                <w:szCs w:val="23"/>
              </w:rPr>
              <w:t>використання у виробництві та постачанні товарів, при наданні послуг та для адміністративних цілей</w:t>
            </w:r>
            <w:r w:rsidRPr="007E1ED5">
              <w:rPr>
                <w:rFonts w:ascii="Times New Roman" w:hAnsi="Times New Roman" w:cs="Times New Roman"/>
                <w:sz w:val="23"/>
                <w:szCs w:val="23"/>
              </w:rPr>
              <w:t>, такий об’єкт основних засобів при складанні консолідованої фінансової звітності цієї групи підприємств вважається операційною нерухомістю.</w:t>
            </w:r>
          </w:p>
        </w:tc>
      </w:tr>
      <w:tr w:rsidR="007B4C19" w:rsidRPr="007E1ED5" w:rsidTr="007E1ED5">
        <w:trPr>
          <w:trHeight w:val="262"/>
        </w:trPr>
        <w:tc>
          <w:tcPr>
            <w:tcW w:w="7939" w:type="dxa"/>
          </w:tcPr>
          <w:p w:rsidR="007B4C19" w:rsidRPr="007E1ED5" w:rsidRDefault="007B4C19" w:rsidP="007B4C19">
            <w:pPr>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Пункт 11:</w:t>
            </w:r>
          </w:p>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b/>
                <w:sz w:val="23"/>
                <w:szCs w:val="23"/>
              </w:rPr>
            </w:pPr>
            <w:r w:rsidRPr="007E1ED5">
              <w:rPr>
                <w:rFonts w:ascii="Times New Roman" w:eastAsia="Times New Roman" w:hAnsi="Times New Roman" w:cs="Times New Roman"/>
                <w:sz w:val="23"/>
                <w:szCs w:val="23"/>
                <w:lang w:eastAsia="uk-UA"/>
              </w:rPr>
              <w:t>11. Первісною вартістю інвестиційної нерухомості, створеної підприємством, є її вартість, визначена на дату початку використання інвестиційної нерухомості, виходячи із загальної суми витрат на її створення.</w:t>
            </w:r>
          </w:p>
        </w:tc>
        <w:tc>
          <w:tcPr>
            <w:tcW w:w="7087" w:type="dxa"/>
          </w:tcPr>
          <w:p w:rsidR="007B4C19" w:rsidRPr="007E1ED5" w:rsidRDefault="007B4C19" w:rsidP="007B4C19">
            <w:pPr>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Пункт 11: </w:t>
            </w:r>
          </w:p>
          <w:p w:rsidR="007B4C19" w:rsidRPr="007E1ED5" w:rsidRDefault="007B4C19" w:rsidP="007B4C19">
            <w:pPr>
              <w:ind w:firstLine="315"/>
              <w:jc w:val="both"/>
              <w:rPr>
                <w:rFonts w:ascii="Times New Roman" w:hAnsi="Times New Roman" w:cs="Times New Roman"/>
                <w:b/>
                <w:sz w:val="23"/>
                <w:szCs w:val="23"/>
              </w:rPr>
            </w:pPr>
            <w:r w:rsidRPr="007E1ED5">
              <w:rPr>
                <w:rFonts w:ascii="Times New Roman" w:eastAsia="Times New Roman" w:hAnsi="Times New Roman" w:cs="Times New Roman"/>
                <w:sz w:val="23"/>
                <w:szCs w:val="23"/>
                <w:lang w:eastAsia="uk-UA"/>
              </w:rPr>
              <w:t xml:space="preserve">11. Первісною вартістю інвестиційної нерухомості, створеної підприємством, є її вартість, визначена на дату початку використання інвестиційної нерухомості, виходячи із загальної суми витрат на її створення </w:t>
            </w:r>
            <w:r w:rsidRPr="007E1ED5">
              <w:rPr>
                <w:rFonts w:ascii="Times New Roman" w:eastAsia="Times New Roman" w:hAnsi="Times New Roman" w:cs="Times New Roman"/>
                <w:b/>
                <w:sz w:val="23"/>
                <w:szCs w:val="23"/>
                <w:lang w:eastAsia="uk-UA"/>
              </w:rPr>
              <w:t>відповідно до Національного положення (стандарту) 7.</w:t>
            </w:r>
          </w:p>
        </w:tc>
      </w:tr>
      <w:tr w:rsidR="007B4C19" w:rsidRPr="007E1ED5" w:rsidTr="007E1ED5">
        <w:trPr>
          <w:trHeight w:val="728"/>
        </w:trPr>
        <w:tc>
          <w:tcPr>
            <w:tcW w:w="7939"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12:</w:t>
            </w:r>
          </w:p>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12. Первісна вартість інвестиційної нерухомості, одержаної у фінансову оренду, визначається відповідно до Національного положення (стандарту) </w:t>
            </w:r>
            <w:r w:rsidRPr="007E1ED5">
              <w:rPr>
                <w:rFonts w:ascii="Times New Roman" w:hAnsi="Times New Roman" w:cs="Times New Roman"/>
                <w:b/>
                <w:strike/>
                <w:sz w:val="23"/>
                <w:szCs w:val="23"/>
              </w:rPr>
              <w:t>бухгалтерського обліку</w:t>
            </w:r>
            <w:r w:rsidRPr="007E1ED5">
              <w:rPr>
                <w:rFonts w:ascii="Times New Roman" w:hAnsi="Times New Roman" w:cs="Times New Roman"/>
                <w:sz w:val="23"/>
                <w:szCs w:val="23"/>
              </w:rPr>
              <w:t xml:space="preserve"> 14 </w:t>
            </w:r>
            <w:r w:rsidRPr="007E1ED5">
              <w:rPr>
                <w:rFonts w:ascii="Times New Roman" w:hAnsi="Times New Roman" w:cs="Times New Roman"/>
                <w:b/>
                <w:strike/>
                <w:sz w:val="23"/>
                <w:szCs w:val="23"/>
              </w:rPr>
              <w:t>«Оренда»</w:t>
            </w:r>
            <w:r w:rsidRPr="007E1ED5">
              <w:rPr>
                <w:rFonts w:ascii="Times New Roman" w:hAnsi="Times New Roman" w:cs="Times New Roman"/>
                <w:sz w:val="23"/>
                <w:szCs w:val="23"/>
              </w:rPr>
              <w:t>.</w:t>
            </w:r>
          </w:p>
        </w:tc>
        <w:tc>
          <w:tcPr>
            <w:tcW w:w="7087"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12:</w:t>
            </w:r>
          </w:p>
          <w:p w:rsidR="007B4C19" w:rsidRPr="007E1ED5" w:rsidRDefault="007B4C19" w:rsidP="007B4C19">
            <w:pPr>
              <w:ind w:firstLine="315"/>
              <w:jc w:val="both"/>
              <w:rPr>
                <w:rFonts w:ascii="Times New Roman" w:hAnsi="Times New Roman" w:cs="Times New Roman"/>
                <w:sz w:val="23"/>
                <w:szCs w:val="23"/>
              </w:rPr>
            </w:pPr>
            <w:r w:rsidRPr="007E1ED5">
              <w:rPr>
                <w:rFonts w:ascii="Times New Roman" w:hAnsi="Times New Roman" w:cs="Times New Roman"/>
                <w:sz w:val="23"/>
                <w:szCs w:val="23"/>
              </w:rPr>
              <w:t>12. Первісна вартість інвестиційної нерухомості, одержаної у фінансову оренду, визначається відповідно до Національного положення (стандарту) 14.</w:t>
            </w:r>
          </w:p>
        </w:tc>
      </w:tr>
      <w:tr w:rsidR="007B4C19" w:rsidRPr="007E1ED5" w:rsidTr="007E1ED5">
        <w:trPr>
          <w:trHeight w:val="1260"/>
        </w:trPr>
        <w:tc>
          <w:tcPr>
            <w:tcW w:w="7939"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Пункт 16:</w:t>
            </w:r>
          </w:p>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16. Підприємство на дату балансу відображає у фінансовій звітності інвестиційну нерухомість за справедливою вартістю, якщо її можна достовірно визначити, або за первісною вартістю, зменшеною на суму нарахованої амортизації з урахуванням втрат від зменшення корисності та </w:t>
            </w:r>
            <w:proofErr w:type="spellStart"/>
            <w:r w:rsidRPr="007E1ED5">
              <w:rPr>
                <w:rFonts w:ascii="Times New Roman" w:eastAsia="Times New Roman" w:hAnsi="Times New Roman" w:cs="Times New Roman"/>
                <w:sz w:val="23"/>
                <w:szCs w:val="23"/>
                <w:lang w:eastAsia="uk-UA"/>
              </w:rPr>
              <w:t>вигод</w:t>
            </w:r>
            <w:proofErr w:type="spellEnd"/>
            <w:r w:rsidRPr="007E1ED5">
              <w:rPr>
                <w:rFonts w:ascii="Times New Roman" w:eastAsia="Times New Roman" w:hAnsi="Times New Roman" w:cs="Times New Roman"/>
                <w:sz w:val="23"/>
                <w:szCs w:val="23"/>
                <w:lang w:eastAsia="uk-UA"/>
              </w:rPr>
              <w:t xml:space="preserve"> від її відновлення, що визнаються відповідно до Національного положення </w:t>
            </w:r>
            <w:r w:rsidRPr="007E1ED5">
              <w:rPr>
                <w:rFonts w:ascii="Times New Roman" w:eastAsia="Times New Roman" w:hAnsi="Times New Roman" w:cs="Times New Roman"/>
                <w:sz w:val="23"/>
                <w:szCs w:val="23"/>
                <w:lang w:eastAsia="uk-UA"/>
              </w:rPr>
              <w:lastRenderedPageBreak/>
              <w:t>(стандарту) бухгалтерського обліку 28 «Зменшення корисності активів», затвердженого наказом Міністерства фінансів України від 24</w:t>
            </w:r>
            <w:r w:rsidRPr="007E1ED5">
              <w:rPr>
                <w:rFonts w:ascii="Times New Roman" w:eastAsia="Times New Roman" w:hAnsi="Times New Roman" w:cs="Times New Roman"/>
                <w:b/>
                <w:sz w:val="23"/>
                <w:szCs w:val="23"/>
                <w:lang w:eastAsia="uk-UA"/>
              </w:rPr>
              <w:t>.12.</w:t>
            </w:r>
            <w:r w:rsidR="007F474F" w:rsidRPr="007E1ED5">
              <w:rPr>
                <w:rFonts w:ascii="Times New Roman" w:eastAsia="Times New Roman" w:hAnsi="Times New Roman" w:cs="Times New Roman"/>
                <w:sz w:val="23"/>
                <w:szCs w:val="23"/>
                <w:lang w:eastAsia="uk-UA"/>
              </w:rPr>
              <w:t>2004 №</w:t>
            </w:r>
            <w:r w:rsidRPr="007E1ED5">
              <w:rPr>
                <w:rFonts w:ascii="Times New Roman" w:eastAsia="Times New Roman" w:hAnsi="Times New Roman" w:cs="Times New Roman"/>
                <w:sz w:val="23"/>
                <w:szCs w:val="23"/>
                <w:lang w:eastAsia="uk-UA"/>
              </w:rPr>
              <w:t xml:space="preserve"> 817 та зареєстрованого в Міністерстві юстиції України 13</w:t>
            </w:r>
            <w:r w:rsidRPr="007E1ED5">
              <w:rPr>
                <w:rFonts w:ascii="Times New Roman" w:eastAsia="Times New Roman" w:hAnsi="Times New Roman" w:cs="Times New Roman"/>
                <w:b/>
                <w:sz w:val="23"/>
                <w:szCs w:val="23"/>
                <w:lang w:eastAsia="uk-UA"/>
              </w:rPr>
              <w:t>.01.</w:t>
            </w:r>
            <w:r w:rsidR="007F474F" w:rsidRPr="007E1ED5">
              <w:rPr>
                <w:rFonts w:ascii="Times New Roman" w:eastAsia="Times New Roman" w:hAnsi="Times New Roman" w:cs="Times New Roman"/>
                <w:sz w:val="23"/>
                <w:szCs w:val="23"/>
                <w:lang w:eastAsia="uk-UA"/>
              </w:rPr>
              <w:t>2005 за №</w:t>
            </w:r>
            <w:r w:rsidRPr="007E1ED5">
              <w:rPr>
                <w:rFonts w:ascii="Times New Roman" w:eastAsia="Times New Roman" w:hAnsi="Times New Roman" w:cs="Times New Roman"/>
                <w:sz w:val="23"/>
                <w:szCs w:val="23"/>
                <w:lang w:eastAsia="uk-UA"/>
              </w:rPr>
              <w:t xml:space="preserve"> 35/10315. Обраний підхід застосовується до оцінки всіх подібних об’єктів інвестиційної нерухомості.</w:t>
            </w:r>
          </w:p>
        </w:tc>
        <w:tc>
          <w:tcPr>
            <w:tcW w:w="7087"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lastRenderedPageBreak/>
              <w:t>Пункт 16:</w:t>
            </w:r>
          </w:p>
          <w:p w:rsidR="007B4C19" w:rsidRPr="007E1ED5" w:rsidRDefault="007B4C19" w:rsidP="007F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16. Підприємство на дату балансу відображає у фінансовій звітності інвестиційну нерухомість за справедливою вартістю, якщо її можна достовірно визначити, або за первісною вартістю, зменшеною на суму нарахованої амортизації з урахуванням втрат від зменшення корисності та </w:t>
            </w:r>
            <w:proofErr w:type="spellStart"/>
            <w:r w:rsidRPr="007E1ED5">
              <w:rPr>
                <w:rFonts w:ascii="Times New Roman" w:eastAsia="Times New Roman" w:hAnsi="Times New Roman" w:cs="Times New Roman"/>
                <w:sz w:val="23"/>
                <w:szCs w:val="23"/>
                <w:lang w:eastAsia="uk-UA"/>
              </w:rPr>
              <w:t>вигод</w:t>
            </w:r>
            <w:proofErr w:type="spellEnd"/>
            <w:r w:rsidRPr="007E1ED5">
              <w:rPr>
                <w:rFonts w:ascii="Times New Roman" w:eastAsia="Times New Roman" w:hAnsi="Times New Roman" w:cs="Times New Roman"/>
                <w:sz w:val="23"/>
                <w:szCs w:val="23"/>
                <w:lang w:eastAsia="uk-UA"/>
              </w:rPr>
              <w:t xml:space="preserve"> від її відновлення, що визнаються відповідно до </w:t>
            </w:r>
            <w:r w:rsidRPr="007E1ED5">
              <w:rPr>
                <w:rFonts w:ascii="Times New Roman" w:eastAsia="Times New Roman" w:hAnsi="Times New Roman" w:cs="Times New Roman"/>
                <w:sz w:val="23"/>
                <w:szCs w:val="23"/>
                <w:lang w:eastAsia="uk-UA"/>
              </w:rPr>
              <w:lastRenderedPageBreak/>
              <w:t xml:space="preserve">Національного положення (стандарту) бухгалтерського обліку 28 «Зменшення корисності активів», затвердженого наказом Міністерства фінансів України від 24 </w:t>
            </w:r>
            <w:r w:rsidRPr="007E1ED5">
              <w:rPr>
                <w:rFonts w:ascii="Times New Roman" w:eastAsia="Times New Roman" w:hAnsi="Times New Roman" w:cs="Times New Roman"/>
                <w:b/>
                <w:sz w:val="23"/>
                <w:szCs w:val="23"/>
                <w:lang w:eastAsia="uk-UA"/>
              </w:rPr>
              <w:t>грудня</w:t>
            </w:r>
            <w:r w:rsidRPr="007E1ED5">
              <w:rPr>
                <w:rFonts w:ascii="Times New Roman" w:eastAsia="Times New Roman" w:hAnsi="Times New Roman" w:cs="Times New Roman"/>
                <w:sz w:val="23"/>
                <w:szCs w:val="23"/>
                <w:lang w:eastAsia="uk-UA"/>
              </w:rPr>
              <w:t xml:space="preserve"> 2004 </w:t>
            </w:r>
            <w:r w:rsidRPr="007E1ED5">
              <w:rPr>
                <w:rFonts w:ascii="Times New Roman" w:eastAsia="Times New Roman" w:hAnsi="Times New Roman" w:cs="Times New Roman"/>
                <w:b/>
                <w:sz w:val="23"/>
                <w:szCs w:val="23"/>
                <w:lang w:eastAsia="uk-UA"/>
              </w:rPr>
              <w:t>року</w:t>
            </w:r>
            <w:r w:rsidRPr="007E1ED5">
              <w:rPr>
                <w:rFonts w:ascii="Times New Roman" w:eastAsia="Times New Roman" w:hAnsi="Times New Roman" w:cs="Times New Roman"/>
                <w:sz w:val="23"/>
                <w:szCs w:val="23"/>
                <w:lang w:eastAsia="uk-UA"/>
              </w:rPr>
              <w:t xml:space="preserve"> № 817</w:t>
            </w:r>
            <w:r w:rsidRPr="007E1ED5">
              <w:rPr>
                <w:rFonts w:ascii="Times New Roman" w:eastAsia="Times New Roman" w:hAnsi="Times New Roman" w:cs="Times New Roman"/>
                <w:b/>
                <w:sz w:val="23"/>
                <w:szCs w:val="23"/>
                <w:lang w:eastAsia="uk-UA"/>
              </w:rPr>
              <w:t xml:space="preserve">, </w:t>
            </w:r>
            <w:r w:rsidRPr="007E1ED5">
              <w:rPr>
                <w:rFonts w:ascii="Times New Roman" w:eastAsia="Times New Roman" w:hAnsi="Times New Roman" w:cs="Times New Roman"/>
                <w:sz w:val="23"/>
                <w:szCs w:val="23"/>
                <w:lang w:eastAsia="uk-UA"/>
              </w:rPr>
              <w:t xml:space="preserve">зареєстрованого в Міністерстві юстиції України 13 </w:t>
            </w:r>
            <w:r w:rsidRPr="007E1ED5">
              <w:rPr>
                <w:rFonts w:ascii="Times New Roman" w:eastAsia="Times New Roman" w:hAnsi="Times New Roman" w:cs="Times New Roman"/>
                <w:b/>
                <w:sz w:val="23"/>
                <w:szCs w:val="23"/>
                <w:lang w:eastAsia="uk-UA"/>
              </w:rPr>
              <w:t>січня</w:t>
            </w:r>
            <w:r w:rsidRPr="007E1ED5">
              <w:rPr>
                <w:rFonts w:ascii="Times New Roman" w:eastAsia="Times New Roman" w:hAnsi="Times New Roman" w:cs="Times New Roman"/>
                <w:sz w:val="23"/>
                <w:szCs w:val="23"/>
                <w:lang w:eastAsia="uk-UA"/>
              </w:rPr>
              <w:t xml:space="preserve"> 2005 </w:t>
            </w:r>
            <w:r w:rsidRPr="007E1ED5">
              <w:rPr>
                <w:rFonts w:ascii="Times New Roman" w:eastAsia="Times New Roman" w:hAnsi="Times New Roman" w:cs="Times New Roman"/>
                <w:b/>
                <w:sz w:val="23"/>
                <w:szCs w:val="23"/>
                <w:lang w:eastAsia="uk-UA"/>
              </w:rPr>
              <w:t>року</w:t>
            </w:r>
            <w:r w:rsidRPr="007E1ED5">
              <w:rPr>
                <w:rFonts w:ascii="Times New Roman" w:eastAsia="Times New Roman" w:hAnsi="Times New Roman" w:cs="Times New Roman"/>
                <w:sz w:val="23"/>
                <w:szCs w:val="23"/>
                <w:lang w:eastAsia="uk-UA"/>
              </w:rPr>
              <w:t xml:space="preserve"> за № 35/10315</w:t>
            </w:r>
            <w:r w:rsidR="007F474F" w:rsidRPr="007E1ED5">
              <w:rPr>
                <w:rFonts w:ascii="Times New Roman" w:eastAsia="Times New Roman" w:hAnsi="Times New Roman" w:cs="Times New Roman"/>
                <w:sz w:val="23"/>
                <w:szCs w:val="23"/>
                <w:lang w:eastAsia="uk-UA"/>
              </w:rPr>
              <w:t xml:space="preserve"> </w:t>
            </w:r>
            <w:r w:rsidR="007F474F" w:rsidRPr="007E1ED5">
              <w:rPr>
                <w:rFonts w:ascii="Times New Roman" w:eastAsia="Times New Roman" w:hAnsi="Times New Roman" w:cs="Times New Roman"/>
                <w:b/>
                <w:sz w:val="23"/>
                <w:szCs w:val="23"/>
                <w:lang w:eastAsia="uk-UA"/>
              </w:rPr>
              <w:t>(далі – Національне положення (стандарт) 28)</w:t>
            </w:r>
            <w:r w:rsidRPr="007E1ED5">
              <w:rPr>
                <w:rFonts w:ascii="Times New Roman" w:eastAsia="Times New Roman" w:hAnsi="Times New Roman" w:cs="Times New Roman"/>
                <w:sz w:val="23"/>
                <w:szCs w:val="23"/>
                <w:lang w:eastAsia="uk-UA"/>
              </w:rPr>
              <w:t>. Обраний підхід застосовується до оцінки всіх подібних об’єктів інвестиційної нерухомості.</w:t>
            </w:r>
          </w:p>
        </w:tc>
      </w:tr>
      <w:tr w:rsidR="007B4C19" w:rsidRPr="007E1ED5" w:rsidTr="007E1ED5">
        <w:trPr>
          <w:trHeight w:val="2040"/>
        </w:trPr>
        <w:tc>
          <w:tcPr>
            <w:tcW w:w="7939"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lastRenderedPageBreak/>
              <w:t>Пункт 21:</w:t>
            </w:r>
          </w:p>
          <w:p w:rsidR="0064042B" w:rsidRPr="007E1ED5" w:rsidRDefault="007B4C19" w:rsidP="0064042B">
            <w:pPr>
              <w:ind w:firstLine="311"/>
              <w:jc w:val="both"/>
              <w:rPr>
                <w:rFonts w:ascii="Times New Roman" w:hAnsi="Times New Roman" w:cs="Times New Roman"/>
                <w:b/>
                <w:strike/>
                <w:sz w:val="23"/>
                <w:szCs w:val="23"/>
              </w:rPr>
            </w:pPr>
            <w:r w:rsidRPr="007E1ED5">
              <w:rPr>
                <w:rFonts w:ascii="Times New Roman" w:hAnsi="Times New Roman" w:cs="Times New Roman"/>
                <w:sz w:val="23"/>
                <w:szCs w:val="23"/>
              </w:rPr>
              <w:t xml:space="preserve">21. У разі відсутності інформації про ринкові ціни на інвестиційну нерухомість її справедлива вартість визначається за теперішньою вартістю майбутніх чистих грошових надходжень від активу, обчисленою відповідно до пунктів 11 - 14 Національного положення (стандарту) </w:t>
            </w:r>
            <w:r w:rsidRPr="007E1ED5">
              <w:rPr>
                <w:rFonts w:ascii="Times New Roman" w:hAnsi="Times New Roman" w:cs="Times New Roman"/>
                <w:b/>
                <w:strike/>
                <w:sz w:val="23"/>
                <w:szCs w:val="23"/>
              </w:rPr>
              <w:t>бухгалтерського обліку</w:t>
            </w:r>
            <w:r w:rsidRPr="007E1ED5">
              <w:rPr>
                <w:rFonts w:ascii="Times New Roman" w:hAnsi="Times New Roman" w:cs="Times New Roman"/>
                <w:sz w:val="23"/>
                <w:szCs w:val="23"/>
              </w:rPr>
              <w:t xml:space="preserve"> 28 </w:t>
            </w:r>
            <w:r w:rsidRPr="007E1ED5">
              <w:rPr>
                <w:rFonts w:ascii="Times New Roman" w:hAnsi="Times New Roman" w:cs="Times New Roman"/>
                <w:b/>
                <w:strike/>
                <w:sz w:val="23"/>
                <w:szCs w:val="23"/>
              </w:rPr>
              <w:t>«Зменшення корисності активів», затвердженого наказом Міністерства ф</w:t>
            </w:r>
            <w:r w:rsidR="005959F5">
              <w:rPr>
                <w:rFonts w:ascii="Times New Roman" w:hAnsi="Times New Roman" w:cs="Times New Roman"/>
                <w:b/>
                <w:strike/>
                <w:sz w:val="23"/>
                <w:szCs w:val="23"/>
              </w:rPr>
              <w:t>інансів України від 24.12.2004 №</w:t>
            </w:r>
            <w:r w:rsidRPr="007E1ED5">
              <w:rPr>
                <w:rFonts w:ascii="Times New Roman" w:hAnsi="Times New Roman" w:cs="Times New Roman"/>
                <w:b/>
                <w:strike/>
                <w:sz w:val="23"/>
                <w:szCs w:val="23"/>
              </w:rPr>
              <w:t xml:space="preserve"> 817 та зареєстрованого в Міністерстві</w:t>
            </w:r>
            <w:r w:rsidR="005959F5">
              <w:rPr>
                <w:rFonts w:ascii="Times New Roman" w:hAnsi="Times New Roman" w:cs="Times New Roman"/>
                <w:b/>
                <w:strike/>
                <w:sz w:val="23"/>
                <w:szCs w:val="23"/>
              </w:rPr>
              <w:t xml:space="preserve"> юстиції України 13.01.2005 за №</w:t>
            </w:r>
            <w:r w:rsidRPr="007E1ED5">
              <w:rPr>
                <w:rFonts w:ascii="Times New Roman" w:hAnsi="Times New Roman" w:cs="Times New Roman"/>
                <w:b/>
                <w:strike/>
                <w:sz w:val="23"/>
                <w:szCs w:val="23"/>
              </w:rPr>
              <w:t xml:space="preserve"> 35/10315.</w:t>
            </w:r>
          </w:p>
        </w:tc>
        <w:tc>
          <w:tcPr>
            <w:tcW w:w="7087"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21:</w:t>
            </w:r>
          </w:p>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21. У разі відсутності інформації про ринкові ціни на інвестиційну нерухомість її справедлива вартість визначається за теперішньою вартістю майбутніх чистих грошових надходжень від активу, обчисленою відповідно до пунктів 11 – 14 Національного положення (стандарту) 28.</w:t>
            </w:r>
          </w:p>
        </w:tc>
      </w:tr>
      <w:tr w:rsidR="007B4C19" w:rsidRPr="007E1ED5" w:rsidTr="007E1ED5">
        <w:trPr>
          <w:trHeight w:val="222"/>
        </w:trPr>
        <w:tc>
          <w:tcPr>
            <w:tcW w:w="7939"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23:</w:t>
            </w:r>
          </w:p>
          <w:p w:rsidR="007B4C19" w:rsidRPr="007E1ED5" w:rsidRDefault="007B4C19" w:rsidP="007B4C19">
            <w:pPr>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23. </w:t>
            </w:r>
            <w:r w:rsidR="00C82D23" w:rsidRPr="007E1ED5">
              <w:rPr>
                <w:rFonts w:ascii="Times New Roman" w:eastAsia="Times New Roman" w:hAnsi="Times New Roman" w:cs="Times New Roman"/>
                <w:sz w:val="23"/>
                <w:szCs w:val="23"/>
                <w:lang w:eastAsia="uk-UA"/>
              </w:rPr>
              <w:t>…</w:t>
            </w:r>
          </w:p>
          <w:p w:rsidR="007B4C19" w:rsidRPr="007E1ED5" w:rsidRDefault="007B4C19" w:rsidP="007B4C19">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Стаціонарно встановлені об’єкти основних засобів (ліфти, кондиціонери тощо), вартість яких врахована при визначенні справедливої вартості інвестиційної нерухомості, обліковуються в позабалансовому обліку за первісною вартістю. Усі інші активи, які використовуються разом з інвестиційною нерухомістю (меблі, господарський інвентар, офісна техніка тощо), оцінюються за первісною (переоціненою) вартістю і відображаються в обліку відповідно до Національного положення (стандарту) </w:t>
            </w:r>
            <w:r w:rsidRPr="007E1ED5">
              <w:rPr>
                <w:rFonts w:ascii="Times New Roman" w:hAnsi="Times New Roman" w:cs="Times New Roman"/>
                <w:b/>
                <w:strike/>
                <w:sz w:val="23"/>
                <w:szCs w:val="23"/>
              </w:rPr>
              <w:t>бухгалтерського обліку</w:t>
            </w:r>
            <w:r w:rsidRPr="007E1ED5">
              <w:rPr>
                <w:rFonts w:ascii="Times New Roman" w:hAnsi="Times New Roman" w:cs="Times New Roman"/>
                <w:sz w:val="23"/>
                <w:szCs w:val="23"/>
              </w:rPr>
              <w:t xml:space="preserve"> 7 </w:t>
            </w:r>
            <w:r w:rsidRPr="007E1ED5">
              <w:rPr>
                <w:rFonts w:ascii="Times New Roman" w:hAnsi="Times New Roman" w:cs="Times New Roman"/>
                <w:b/>
                <w:strike/>
                <w:sz w:val="23"/>
                <w:szCs w:val="23"/>
              </w:rPr>
              <w:t xml:space="preserve">«Основні засоби», затвердженого наказом Міністерства фінансів </w:t>
            </w:r>
            <w:r w:rsidR="005959F5">
              <w:rPr>
                <w:rFonts w:ascii="Times New Roman" w:hAnsi="Times New Roman" w:cs="Times New Roman"/>
                <w:b/>
                <w:strike/>
                <w:sz w:val="23"/>
                <w:szCs w:val="23"/>
              </w:rPr>
              <w:t>України від 27.04.2000 №</w:t>
            </w:r>
            <w:r w:rsidRPr="007E1ED5">
              <w:rPr>
                <w:rFonts w:ascii="Times New Roman" w:hAnsi="Times New Roman" w:cs="Times New Roman"/>
                <w:b/>
                <w:strike/>
                <w:sz w:val="23"/>
                <w:szCs w:val="23"/>
              </w:rPr>
              <w:t xml:space="preserve"> 92 та зареєстрованого в Міністерстві</w:t>
            </w:r>
            <w:r w:rsidR="005959F5">
              <w:rPr>
                <w:rFonts w:ascii="Times New Roman" w:hAnsi="Times New Roman" w:cs="Times New Roman"/>
                <w:b/>
                <w:strike/>
                <w:sz w:val="23"/>
                <w:szCs w:val="23"/>
              </w:rPr>
              <w:t xml:space="preserve"> юстиції України 18.05.2000 за №</w:t>
            </w:r>
            <w:r w:rsidRPr="007E1ED5">
              <w:rPr>
                <w:rFonts w:ascii="Times New Roman" w:hAnsi="Times New Roman" w:cs="Times New Roman"/>
                <w:b/>
                <w:strike/>
                <w:sz w:val="23"/>
                <w:szCs w:val="23"/>
              </w:rPr>
              <w:t xml:space="preserve"> 288/4509</w:t>
            </w:r>
            <w:r w:rsidRPr="007E1ED5">
              <w:rPr>
                <w:rFonts w:ascii="Times New Roman" w:hAnsi="Times New Roman" w:cs="Times New Roman"/>
                <w:sz w:val="23"/>
                <w:szCs w:val="23"/>
              </w:rPr>
              <w:t>.</w:t>
            </w:r>
          </w:p>
        </w:tc>
        <w:tc>
          <w:tcPr>
            <w:tcW w:w="7087" w:type="dxa"/>
          </w:tcPr>
          <w:p w:rsidR="007B4C19" w:rsidRPr="007E1ED5" w:rsidRDefault="007B4C19"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23:</w:t>
            </w:r>
          </w:p>
          <w:p w:rsidR="007B4C19" w:rsidRPr="007E1ED5" w:rsidRDefault="007B4C19" w:rsidP="007B4C19">
            <w:pPr>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23. </w:t>
            </w:r>
            <w:r w:rsidR="00C82D23" w:rsidRPr="007E1ED5">
              <w:rPr>
                <w:rFonts w:ascii="Times New Roman" w:eastAsia="Times New Roman" w:hAnsi="Times New Roman" w:cs="Times New Roman"/>
                <w:sz w:val="23"/>
                <w:szCs w:val="23"/>
                <w:lang w:eastAsia="uk-UA"/>
              </w:rPr>
              <w:t>…</w:t>
            </w:r>
          </w:p>
          <w:p w:rsidR="007B4C19" w:rsidRPr="007E1ED5" w:rsidRDefault="007B4C19" w:rsidP="007B4C19">
            <w:pPr>
              <w:ind w:firstLine="315"/>
              <w:jc w:val="both"/>
              <w:rPr>
                <w:rFonts w:ascii="Times New Roman" w:eastAsia="Times New Roman" w:hAnsi="Times New Roman" w:cs="Times New Roman"/>
                <w:sz w:val="23"/>
                <w:szCs w:val="23"/>
                <w:lang w:eastAsia="uk-UA"/>
              </w:rPr>
            </w:pPr>
            <w:r w:rsidRPr="007E1ED5">
              <w:rPr>
                <w:rFonts w:ascii="Times New Roman" w:hAnsi="Times New Roman" w:cs="Times New Roman"/>
                <w:sz w:val="23"/>
                <w:szCs w:val="23"/>
              </w:rPr>
              <w:t xml:space="preserve">Стаціонарно встановлені об’єкти основних засобів (ліфти, кондиціонери тощо), вартість яких врахована при визначенні справедливої вартості інвестиційної нерухомості, обліковуються в позабалансовому обліку за первісною вартістю. Усі інші активи, які використовуються разом з інвестиційною нерухомістю (меблі, господарський інвентар, офісна техніка тощо), оцінюються за первісною (переоціненою) вартістю і відображаються в обліку відповідно до </w:t>
            </w:r>
            <w:r w:rsidRPr="005959F5">
              <w:rPr>
                <w:rFonts w:ascii="Times New Roman" w:hAnsi="Times New Roman" w:cs="Times New Roman"/>
                <w:sz w:val="23"/>
                <w:szCs w:val="23"/>
              </w:rPr>
              <w:t>Національного положення (стандарту) 7.</w:t>
            </w:r>
          </w:p>
        </w:tc>
      </w:tr>
      <w:tr w:rsidR="00407F0A" w:rsidRPr="007E1ED5" w:rsidTr="0064042B">
        <w:trPr>
          <w:trHeight w:val="4068"/>
        </w:trPr>
        <w:tc>
          <w:tcPr>
            <w:tcW w:w="7939" w:type="dxa"/>
          </w:tcPr>
          <w:p w:rsidR="00D40FE3" w:rsidRDefault="00407F0A" w:rsidP="00D4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lastRenderedPageBreak/>
              <w:t>Пункт 24:</w:t>
            </w:r>
          </w:p>
          <w:p w:rsidR="00C82D23" w:rsidRPr="00D40FE3" w:rsidRDefault="00407F0A" w:rsidP="00D4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eastAsia="Times New Roman" w:hAnsi="Times New Roman" w:cs="Times New Roman"/>
                <w:sz w:val="23"/>
                <w:szCs w:val="23"/>
                <w:lang w:eastAsia="uk-UA"/>
              </w:rPr>
              <w:t>24. Переведення нерухомості до інвестиційної нерухомості або виведення її зі</w:t>
            </w:r>
            <w:r w:rsidR="00C82D23" w:rsidRPr="007E1ED5">
              <w:rPr>
                <w:rFonts w:ascii="Times New Roman" w:eastAsia="Times New Roman" w:hAnsi="Times New Roman" w:cs="Times New Roman"/>
                <w:sz w:val="23"/>
                <w:szCs w:val="23"/>
                <w:lang w:eastAsia="uk-UA"/>
              </w:rPr>
              <w:t xml:space="preserve"> складу інвестиційної нерухомості здійснюється лише в разі зміни характеру використання нерухомості, що засвідчується: </w:t>
            </w:r>
          </w:p>
          <w:p w:rsidR="00C82D23" w:rsidRPr="007E1ED5"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w:t>
            </w:r>
          </w:p>
          <w:p w:rsidR="00C82D23"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z w:val="23"/>
                <w:szCs w:val="23"/>
                <w:lang w:eastAsia="uk-UA"/>
              </w:rPr>
            </w:pPr>
            <w:r w:rsidRPr="007E1ED5">
              <w:rPr>
                <w:rFonts w:ascii="Times New Roman" w:eastAsia="Times New Roman" w:hAnsi="Times New Roman" w:cs="Times New Roman"/>
                <w:b/>
                <w:sz w:val="23"/>
                <w:szCs w:val="23"/>
                <w:lang w:eastAsia="uk-UA"/>
              </w:rPr>
              <w:t>Відсутній</w:t>
            </w:r>
          </w:p>
          <w:p w:rsidR="00D40FE3" w:rsidRDefault="00D40FE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z w:val="23"/>
                <w:szCs w:val="23"/>
                <w:lang w:eastAsia="uk-UA"/>
              </w:rPr>
            </w:pPr>
          </w:p>
          <w:p w:rsidR="00D40FE3" w:rsidRPr="0064042B" w:rsidRDefault="00D40FE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z w:val="23"/>
                <w:szCs w:val="23"/>
                <w:lang w:eastAsia="uk-UA"/>
              </w:rPr>
            </w:pPr>
          </w:p>
          <w:p w:rsidR="00C82D23" w:rsidRPr="007E1ED5"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b/>
                <w:sz w:val="23"/>
                <w:szCs w:val="23"/>
                <w:lang w:eastAsia="uk-UA"/>
              </w:rPr>
              <w:t>2)</w:t>
            </w:r>
            <w:r w:rsidRPr="007E1ED5">
              <w:rPr>
                <w:rFonts w:ascii="Times New Roman" w:eastAsia="Times New Roman" w:hAnsi="Times New Roman" w:cs="Times New Roman"/>
                <w:sz w:val="23"/>
                <w:szCs w:val="23"/>
                <w:lang w:eastAsia="uk-UA"/>
              </w:rPr>
              <w:t xml:space="preserve"> початком підготовки її до продажу з переведенням об'єкта з інвестиційної нерухомості до складу запасів; </w:t>
            </w:r>
          </w:p>
          <w:p w:rsidR="00D40FE3" w:rsidRPr="007E1ED5" w:rsidRDefault="00C82D23" w:rsidP="00D4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b/>
                <w:sz w:val="23"/>
                <w:szCs w:val="23"/>
                <w:lang w:eastAsia="uk-UA"/>
              </w:rPr>
              <w:t>3)</w:t>
            </w:r>
            <w:r w:rsidRPr="007E1ED5">
              <w:rPr>
                <w:rFonts w:ascii="Times New Roman" w:eastAsia="Times New Roman" w:hAnsi="Times New Roman" w:cs="Times New Roman"/>
                <w:sz w:val="23"/>
                <w:szCs w:val="23"/>
                <w:lang w:eastAsia="uk-UA"/>
              </w:rPr>
              <w:t xml:space="preserve"> </w:t>
            </w:r>
            <w:r w:rsidRPr="007E1ED5">
              <w:rPr>
                <w:rFonts w:ascii="Times New Roman" w:eastAsia="Times New Roman" w:hAnsi="Times New Roman" w:cs="Times New Roman"/>
                <w:b/>
                <w:sz w:val="23"/>
                <w:szCs w:val="23"/>
                <w:lang w:eastAsia="uk-UA"/>
              </w:rPr>
              <w:t>підготовкою</w:t>
            </w:r>
            <w:r w:rsidRPr="007E1ED5">
              <w:rPr>
                <w:rFonts w:ascii="Times New Roman" w:eastAsia="Times New Roman" w:hAnsi="Times New Roman" w:cs="Times New Roman"/>
                <w:sz w:val="23"/>
                <w:szCs w:val="23"/>
                <w:lang w:eastAsia="uk-UA"/>
              </w:rPr>
              <w:t xml:space="preserve"> операційної нерухомості </w:t>
            </w:r>
            <w:r w:rsidRPr="007E1ED5">
              <w:rPr>
                <w:rFonts w:ascii="Times New Roman" w:eastAsia="Times New Roman" w:hAnsi="Times New Roman" w:cs="Times New Roman"/>
                <w:b/>
                <w:sz w:val="23"/>
                <w:szCs w:val="23"/>
                <w:lang w:eastAsia="uk-UA"/>
              </w:rPr>
              <w:t>для</w:t>
            </w:r>
            <w:r w:rsidRPr="007E1ED5">
              <w:rPr>
                <w:rFonts w:ascii="Times New Roman" w:eastAsia="Times New Roman" w:hAnsi="Times New Roman" w:cs="Times New Roman"/>
                <w:sz w:val="23"/>
                <w:szCs w:val="23"/>
                <w:lang w:eastAsia="uk-UA"/>
              </w:rPr>
              <w:t xml:space="preserve"> </w:t>
            </w:r>
            <w:r w:rsidRPr="007E1ED5">
              <w:rPr>
                <w:rFonts w:ascii="Times New Roman" w:eastAsia="Times New Roman" w:hAnsi="Times New Roman" w:cs="Times New Roman"/>
                <w:b/>
                <w:sz w:val="23"/>
                <w:szCs w:val="23"/>
                <w:lang w:eastAsia="uk-UA"/>
              </w:rPr>
              <w:t>використання як</w:t>
            </w:r>
            <w:r w:rsidR="00D40FE3">
              <w:rPr>
                <w:rFonts w:ascii="Times New Roman" w:eastAsia="Times New Roman" w:hAnsi="Times New Roman" w:cs="Times New Roman"/>
                <w:sz w:val="23"/>
                <w:szCs w:val="23"/>
                <w:lang w:eastAsia="uk-UA"/>
              </w:rPr>
              <w:t xml:space="preserve"> інвестиційної нерухомості;</w:t>
            </w:r>
          </w:p>
          <w:p w:rsidR="00C82D23"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b/>
                <w:sz w:val="23"/>
                <w:szCs w:val="23"/>
                <w:lang w:eastAsia="uk-UA"/>
              </w:rPr>
              <w:t>4)</w:t>
            </w:r>
            <w:r w:rsidRPr="007E1ED5">
              <w:rPr>
                <w:rFonts w:ascii="Times New Roman" w:eastAsia="Times New Roman" w:hAnsi="Times New Roman" w:cs="Times New Roman"/>
                <w:sz w:val="23"/>
                <w:szCs w:val="23"/>
                <w:lang w:eastAsia="uk-UA"/>
              </w:rPr>
              <w:t xml:space="preserve"> </w:t>
            </w:r>
            <w:r w:rsidRPr="007E1ED5">
              <w:rPr>
                <w:rFonts w:ascii="Times New Roman" w:eastAsia="Times New Roman" w:hAnsi="Times New Roman" w:cs="Times New Roman"/>
                <w:b/>
                <w:sz w:val="23"/>
                <w:szCs w:val="23"/>
                <w:lang w:eastAsia="uk-UA"/>
              </w:rPr>
              <w:t>наданням її в операційну оренду іншій стороні</w:t>
            </w:r>
            <w:r w:rsidR="00D40FE3">
              <w:rPr>
                <w:rFonts w:ascii="Times New Roman" w:eastAsia="Times New Roman" w:hAnsi="Times New Roman" w:cs="Times New Roman"/>
                <w:sz w:val="23"/>
                <w:szCs w:val="23"/>
                <w:lang w:eastAsia="uk-UA"/>
              </w:rPr>
              <w:t>;</w:t>
            </w:r>
          </w:p>
          <w:p w:rsidR="00D40FE3" w:rsidRDefault="00D40FE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p>
          <w:p w:rsidR="00D40FE3" w:rsidRPr="0064042B" w:rsidRDefault="00D40FE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p>
          <w:p w:rsidR="00C82D23" w:rsidRPr="007E1ED5"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trike/>
                <w:sz w:val="23"/>
                <w:szCs w:val="23"/>
                <w:lang w:eastAsia="uk-UA"/>
              </w:rPr>
            </w:pPr>
            <w:r w:rsidRPr="007E1ED5">
              <w:rPr>
                <w:rFonts w:ascii="Times New Roman" w:eastAsia="Times New Roman" w:hAnsi="Times New Roman" w:cs="Times New Roman"/>
                <w:b/>
                <w:strike/>
                <w:sz w:val="23"/>
                <w:szCs w:val="23"/>
                <w:lang w:eastAsia="uk-UA"/>
              </w:rPr>
              <w:t xml:space="preserve">5) переведенням її із запасів або операційної нерухомості до інвестиційної нерухомості; </w:t>
            </w:r>
          </w:p>
          <w:p w:rsidR="0064042B" w:rsidRPr="0064042B" w:rsidRDefault="00C82D23"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trike/>
                <w:sz w:val="23"/>
                <w:szCs w:val="23"/>
                <w:lang w:eastAsia="uk-UA"/>
              </w:rPr>
            </w:pPr>
            <w:r w:rsidRPr="007E1ED5">
              <w:rPr>
                <w:rFonts w:ascii="Times New Roman" w:eastAsia="Times New Roman" w:hAnsi="Times New Roman" w:cs="Times New Roman"/>
                <w:b/>
                <w:strike/>
                <w:sz w:val="23"/>
                <w:szCs w:val="23"/>
                <w:lang w:eastAsia="uk-UA"/>
              </w:rPr>
              <w:t>6) завершенням будівництва з переведенням нерухомості зі складу незавершеного будівництва до інвестиційної нерухомості.</w:t>
            </w:r>
          </w:p>
        </w:tc>
        <w:tc>
          <w:tcPr>
            <w:tcW w:w="7087" w:type="dxa"/>
          </w:tcPr>
          <w:p w:rsidR="00407F0A" w:rsidRPr="007E1ED5" w:rsidRDefault="00407F0A"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24:</w:t>
            </w:r>
          </w:p>
          <w:p w:rsidR="00407F0A" w:rsidRPr="007E1ED5" w:rsidRDefault="00407F0A"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 xml:space="preserve">24. Переведення нерухомості до інвестиційної нерухомості або виведення її зі складу інвестиційної нерухомості здійснюється лише в разі зміни характеру використання нерухомості, що засвідчується: </w:t>
            </w:r>
          </w:p>
          <w:p w:rsidR="00407F0A" w:rsidRPr="007E1ED5" w:rsidRDefault="00C82D23" w:rsidP="00C8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sz w:val="23"/>
                <w:szCs w:val="23"/>
                <w:lang w:eastAsia="uk-UA"/>
              </w:rPr>
              <w:t>…</w:t>
            </w:r>
          </w:p>
          <w:p w:rsidR="00407F0A" w:rsidRPr="0064042B" w:rsidRDefault="00407F0A"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z w:val="23"/>
                <w:szCs w:val="23"/>
                <w:lang w:eastAsia="uk-UA"/>
              </w:rPr>
            </w:pPr>
            <w:r w:rsidRPr="007E1ED5">
              <w:rPr>
                <w:rFonts w:ascii="Times New Roman" w:eastAsia="Times New Roman" w:hAnsi="Times New Roman" w:cs="Times New Roman"/>
                <w:b/>
                <w:sz w:val="23"/>
                <w:szCs w:val="23"/>
                <w:lang w:eastAsia="uk-UA"/>
              </w:rPr>
              <w:t xml:space="preserve">2) початком її підготовки з метою використання як операційної нерухомості з переведенням об’єкта з інвестиційної нерухомості до операційної нерухомості; </w:t>
            </w:r>
          </w:p>
          <w:p w:rsidR="00407F0A" w:rsidRPr="0064042B" w:rsidRDefault="00407F0A"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b/>
                <w:sz w:val="23"/>
                <w:szCs w:val="23"/>
                <w:lang w:eastAsia="uk-UA"/>
              </w:rPr>
              <w:t>3)</w:t>
            </w:r>
            <w:r w:rsidRPr="007E1ED5">
              <w:rPr>
                <w:rFonts w:ascii="Times New Roman" w:eastAsia="Times New Roman" w:hAnsi="Times New Roman" w:cs="Times New Roman"/>
                <w:sz w:val="23"/>
                <w:szCs w:val="23"/>
                <w:lang w:eastAsia="uk-UA"/>
              </w:rPr>
              <w:t xml:space="preserve"> початком підготовки її до продажу з переведенням об'єкта з інвестиційної нерухомості до складу запасів;</w:t>
            </w:r>
          </w:p>
          <w:p w:rsidR="00407F0A" w:rsidRPr="007E1ED5" w:rsidRDefault="00407F0A" w:rsidP="0064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sz w:val="23"/>
                <w:szCs w:val="23"/>
                <w:lang w:eastAsia="uk-UA"/>
              </w:rPr>
            </w:pPr>
            <w:r w:rsidRPr="007E1ED5">
              <w:rPr>
                <w:rFonts w:ascii="Times New Roman" w:eastAsia="Times New Roman" w:hAnsi="Times New Roman" w:cs="Times New Roman"/>
                <w:b/>
                <w:sz w:val="23"/>
                <w:szCs w:val="23"/>
                <w:lang w:eastAsia="uk-UA"/>
              </w:rPr>
              <w:t>4)</w:t>
            </w:r>
            <w:r w:rsidRPr="007E1ED5">
              <w:rPr>
                <w:rFonts w:ascii="Times New Roman" w:eastAsia="Times New Roman" w:hAnsi="Times New Roman" w:cs="Times New Roman"/>
                <w:sz w:val="23"/>
                <w:szCs w:val="23"/>
                <w:lang w:eastAsia="uk-UA"/>
              </w:rPr>
              <w:t xml:space="preserve"> </w:t>
            </w:r>
            <w:r w:rsidRPr="007E1ED5">
              <w:rPr>
                <w:rFonts w:ascii="Times New Roman" w:eastAsia="Times New Roman" w:hAnsi="Times New Roman" w:cs="Times New Roman"/>
                <w:b/>
                <w:sz w:val="23"/>
                <w:szCs w:val="23"/>
                <w:lang w:eastAsia="uk-UA"/>
              </w:rPr>
              <w:t xml:space="preserve">завершенням використання її як </w:t>
            </w:r>
            <w:r w:rsidRPr="007E1ED5">
              <w:rPr>
                <w:rFonts w:ascii="Times New Roman" w:eastAsia="Times New Roman" w:hAnsi="Times New Roman" w:cs="Times New Roman"/>
                <w:sz w:val="23"/>
                <w:szCs w:val="23"/>
                <w:lang w:eastAsia="uk-UA"/>
              </w:rPr>
              <w:t xml:space="preserve">операційної нерухомості </w:t>
            </w:r>
            <w:r w:rsidRPr="007E1ED5">
              <w:rPr>
                <w:rFonts w:ascii="Times New Roman" w:eastAsia="Times New Roman" w:hAnsi="Times New Roman" w:cs="Times New Roman"/>
                <w:b/>
                <w:sz w:val="23"/>
                <w:szCs w:val="23"/>
                <w:lang w:eastAsia="uk-UA"/>
              </w:rPr>
              <w:t>з переведенням до</w:t>
            </w:r>
            <w:r w:rsidRPr="007E1ED5">
              <w:rPr>
                <w:rFonts w:ascii="Times New Roman" w:eastAsia="Times New Roman" w:hAnsi="Times New Roman" w:cs="Times New Roman"/>
                <w:sz w:val="23"/>
                <w:szCs w:val="23"/>
                <w:lang w:eastAsia="uk-UA"/>
              </w:rPr>
              <w:t xml:space="preserve"> інвестиційної нерухомості; </w:t>
            </w:r>
          </w:p>
          <w:p w:rsidR="00407F0A" w:rsidRPr="007E1ED5" w:rsidRDefault="00407F0A" w:rsidP="007B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jc w:val="both"/>
              <w:rPr>
                <w:rFonts w:ascii="Times New Roman" w:eastAsia="Times New Roman" w:hAnsi="Times New Roman" w:cs="Times New Roman"/>
                <w:b/>
                <w:sz w:val="23"/>
                <w:szCs w:val="23"/>
                <w:lang w:eastAsia="uk-UA"/>
              </w:rPr>
            </w:pPr>
            <w:r w:rsidRPr="007E1ED5">
              <w:rPr>
                <w:rFonts w:ascii="Times New Roman" w:eastAsia="Times New Roman" w:hAnsi="Times New Roman" w:cs="Times New Roman"/>
                <w:b/>
                <w:sz w:val="23"/>
                <w:szCs w:val="23"/>
                <w:lang w:eastAsia="uk-UA"/>
              </w:rPr>
              <w:t>5) початком операційної оренди іншою стороною з переведенням об’єкта зі складу запасів до інвестиційної нерухомості</w:t>
            </w:r>
            <w:r w:rsidR="007F67E2">
              <w:rPr>
                <w:rFonts w:ascii="Times New Roman" w:eastAsia="Times New Roman" w:hAnsi="Times New Roman" w:cs="Times New Roman"/>
                <w:b/>
                <w:sz w:val="23"/>
                <w:szCs w:val="23"/>
                <w:lang w:eastAsia="uk-UA"/>
              </w:rPr>
              <w:t>.</w:t>
            </w:r>
          </w:p>
        </w:tc>
      </w:tr>
      <w:tr w:rsidR="00407F0A" w:rsidRPr="007E1ED5" w:rsidTr="007E1ED5">
        <w:trPr>
          <w:trHeight w:val="2385"/>
        </w:trPr>
        <w:tc>
          <w:tcPr>
            <w:tcW w:w="7939" w:type="dxa"/>
          </w:tcPr>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27:</w:t>
            </w:r>
          </w:p>
          <w:p w:rsidR="00407F0A" w:rsidRPr="007E1ED5" w:rsidRDefault="00407F0A" w:rsidP="0064042B">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27. При переведенні операційної нерухомості до інвестиційної, що оцінюватиметься за справедливою вартістю, різниця між балансовою (залишковою) вартістю операційної нерухомості і справедливою вартістю інвестиційної нерухомості відображається відповідно до пунктів 19 і 20 Національного положення (стандарту) </w:t>
            </w:r>
            <w:r w:rsidRPr="007E1ED5">
              <w:rPr>
                <w:rFonts w:ascii="Times New Roman" w:hAnsi="Times New Roman" w:cs="Times New Roman"/>
                <w:b/>
                <w:strike/>
                <w:sz w:val="23"/>
                <w:szCs w:val="23"/>
              </w:rPr>
              <w:t>бухгалтерського обліку</w:t>
            </w:r>
            <w:r w:rsidRPr="007E1ED5">
              <w:rPr>
                <w:rFonts w:ascii="Times New Roman" w:hAnsi="Times New Roman" w:cs="Times New Roman"/>
                <w:sz w:val="23"/>
                <w:szCs w:val="23"/>
              </w:rPr>
              <w:t xml:space="preserve"> 7 </w:t>
            </w:r>
            <w:r w:rsidRPr="007E1ED5">
              <w:rPr>
                <w:rFonts w:ascii="Times New Roman" w:hAnsi="Times New Roman" w:cs="Times New Roman"/>
                <w:b/>
                <w:strike/>
                <w:sz w:val="23"/>
                <w:szCs w:val="23"/>
              </w:rPr>
              <w:t>«Основні засоби», затвердженого наказом Міністерства фінансів України від 27.04.2000 N 92 та зареєстрованого в Міністерстві юстиції України 18.05.2000 за N 288/4509</w:t>
            </w:r>
            <w:r w:rsidRPr="007E1ED5">
              <w:rPr>
                <w:rFonts w:ascii="Times New Roman" w:hAnsi="Times New Roman" w:cs="Times New Roman"/>
                <w:sz w:val="23"/>
                <w:szCs w:val="23"/>
              </w:rPr>
              <w:t>.</w:t>
            </w:r>
          </w:p>
        </w:tc>
        <w:tc>
          <w:tcPr>
            <w:tcW w:w="7087" w:type="dxa"/>
          </w:tcPr>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27:</w:t>
            </w:r>
          </w:p>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27. При переведенні операційної нерухомості до інвестиційної, що оцінюватиметься за справедливою вартістю, різниця між балансовою (залишковою) вартістю операційної нерухомості і справедливою вартістю інвестиційної нерухомості відображається відповідно до пунктів 19 і 20 Національного положення (стандарту) 7.</w:t>
            </w:r>
          </w:p>
        </w:tc>
      </w:tr>
      <w:tr w:rsidR="00407F0A" w:rsidRPr="007E1ED5" w:rsidTr="005F219D">
        <w:trPr>
          <w:trHeight w:val="1507"/>
        </w:trPr>
        <w:tc>
          <w:tcPr>
            <w:tcW w:w="7939" w:type="dxa"/>
          </w:tcPr>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32:</w:t>
            </w:r>
          </w:p>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 xml:space="preserve">32. Доходи і витрати від продажу інвестиційної нерухомості з її подальшою орендою визначаються відповідно до Національного положення (стандарту) </w:t>
            </w:r>
            <w:r w:rsidRPr="007E1ED5">
              <w:rPr>
                <w:rFonts w:ascii="Times New Roman" w:hAnsi="Times New Roman" w:cs="Times New Roman"/>
                <w:b/>
                <w:strike/>
                <w:sz w:val="23"/>
                <w:szCs w:val="23"/>
              </w:rPr>
              <w:t xml:space="preserve">бухгалтерського обліку </w:t>
            </w:r>
            <w:r w:rsidRPr="007E1ED5">
              <w:rPr>
                <w:rFonts w:ascii="Times New Roman" w:hAnsi="Times New Roman" w:cs="Times New Roman"/>
                <w:sz w:val="23"/>
                <w:szCs w:val="23"/>
              </w:rPr>
              <w:t xml:space="preserve">14 </w:t>
            </w:r>
            <w:r w:rsidRPr="007E1ED5">
              <w:rPr>
                <w:rFonts w:ascii="Times New Roman" w:hAnsi="Times New Roman" w:cs="Times New Roman"/>
                <w:b/>
                <w:strike/>
                <w:sz w:val="23"/>
                <w:szCs w:val="23"/>
              </w:rPr>
              <w:t>«Оренда»</w:t>
            </w:r>
            <w:r w:rsidRPr="007E1ED5">
              <w:rPr>
                <w:rFonts w:ascii="Times New Roman" w:hAnsi="Times New Roman" w:cs="Times New Roman"/>
                <w:sz w:val="23"/>
                <w:szCs w:val="23"/>
              </w:rPr>
              <w:t>.</w:t>
            </w:r>
          </w:p>
        </w:tc>
        <w:tc>
          <w:tcPr>
            <w:tcW w:w="7087" w:type="dxa"/>
          </w:tcPr>
          <w:p w:rsidR="00407F0A" w:rsidRPr="007E1ED5" w:rsidRDefault="00407F0A" w:rsidP="00407F0A">
            <w:pPr>
              <w:ind w:firstLine="311"/>
              <w:jc w:val="both"/>
              <w:rPr>
                <w:rFonts w:ascii="Times New Roman" w:hAnsi="Times New Roman" w:cs="Times New Roman"/>
                <w:sz w:val="23"/>
                <w:szCs w:val="23"/>
              </w:rPr>
            </w:pPr>
            <w:r w:rsidRPr="007E1ED5">
              <w:rPr>
                <w:rFonts w:ascii="Times New Roman" w:hAnsi="Times New Roman" w:cs="Times New Roman"/>
                <w:sz w:val="23"/>
                <w:szCs w:val="23"/>
              </w:rPr>
              <w:t>Пункт 32:</w:t>
            </w:r>
          </w:p>
          <w:p w:rsidR="00407F0A" w:rsidRPr="007E1ED5" w:rsidRDefault="00407F0A" w:rsidP="00407F0A">
            <w:pPr>
              <w:ind w:firstLine="315"/>
              <w:jc w:val="both"/>
              <w:rPr>
                <w:rFonts w:ascii="Times New Roman" w:hAnsi="Times New Roman" w:cs="Times New Roman"/>
                <w:sz w:val="23"/>
                <w:szCs w:val="23"/>
              </w:rPr>
            </w:pPr>
            <w:r w:rsidRPr="007E1ED5">
              <w:rPr>
                <w:rFonts w:ascii="Times New Roman" w:hAnsi="Times New Roman" w:cs="Times New Roman"/>
                <w:sz w:val="23"/>
                <w:szCs w:val="23"/>
              </w:rPr>
              <w:t>32. Доходи і витрати від продажу інвестиційної нерухомості з її подальшою орендою визначаються відповідно до Національного положення (стандарту) 14.</w:t>
            </w:r>
          </w:p>
        </w:tc>
      </w:tr>
      <w:tr w:rsidR="008954C8" w:rsidRPr="007E1ED5" w:rsidTr="00D40FE3">
        <w:trPr>
          <w:trHeight w:val="497"/>
        </w:trPr>
        <w:tc>
          <w:tcPr>
            <w:tcW w:w="15026" w:type="dxa"/>
            <w:gridSpan w:val="2"/>
          </w:tcPr>
          <w:p w:rsidR="008954C8" w:rsidRPr="007E1ED5" w:rsidRDefault="008954C8" w:rsidP="008954C8">
            <w:pPr>
              <w:widowControl w:val="0"/>
              <w:ind w:firstLine="284"/>
              <w:jc w:val="center"/>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lastRenderedPageBreak/>
              <w:t>Національне положення (стандарт) бухгалтерського обліку 1 «Загальні вимоги до фінансової звітності»</w:t>
            </w:r>
          </w:p>
          <w:p w:rsidR="008954C8" w:rsidRPr="007E1ED5" w:rsidRDefault="008954C8" w:rsidP="008954C8">
            <w:pPr>
              <w:ind w:firstLine="311"/>
              <w:jc w:val="center"/>
              <w:rPr>
                <w:rFonts w:ascii="Times New Roman" w:hAnsi="Times New Roman" w:cs="Times New Roman"/>
                <w:sz w:val="23"/>
                <w:szCs w:val="23"/>
              </w:rPr>
            </w:pPr>
            <w:r w:rsidRPr="007E1ED5">
              <w:rPr>
                <w:rFonts w:ascii="Times New Roman" w:eastAsia="Times New Roman" w:hAnsi="Times New Roman" w:cs="Times New Roman"/>
                <w:spacing w:val="-4"/>
                <w:sz w:val="23"/>
                <w:szCs w:val="23"/>
                <w:lang w:eastAsia="ru-RU"/>
              </w:rPr>
              <w:t>(наказ Міністерства фінансів України від 07.02.2013 № 73)</w:t>
            </w:r>
          </w:p>
        </w:tc>
      </w:tr>
      <w:tr w:rsidR="008954C8" w:rsidRPr="007E1ED5" w:rsidTr="007E1ED5">
        <w:trPr>
          <w:trHeight w:val="225"/>
        </w:trPr>
        <w:tc>
          <w:tcPr>
            <w:tcW w:w="15026" w:type="dxa"/>
            <w:gridSpan w:val="2"/>
          </w:tcPr>
          <w:p w:rsidR="008954C8" w:rsidRPr="007E1ED5" w:rsidRDefault="008954C8" w:rsidP="008954C8">
            <w:pPr>
              <w:widowControl w:val="0"/>
              <w:ind w:firstLine="284"/>
              <w:jc w:val="center"/>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IV. Розкриття інформації у фінансовій звітності</w:t>
            </w:r>
          </w:p>
        </w:tc>
      </w:tr>
      <w:tr w:rsidR="008954C8" w:rsidRPr="007E1ED5" w:rsidTr="007E1ED5">
        <w:trPr>
          <w:trHeight w:val="1095"/>
        </w:trPr>
        <w:tc>
          <w:tcPr>
            <w:tcW w:w="7939" w:type="dxa"/>
          </w:tcPr>
          <w:p w:rsidR="008954C8" w:rsidRPr="007E1ED5" w:rsidRDefault="008954C8" w:rsidP="008954C8">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12:</w:t>
            </w:r>
          </w:p>
          <w:p w:rsidR="008954C8" w:rsidRPr="007E1ED5" w:rsidRDefault="008954C8" w:rsidP="008954C8">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Відсутній</w:t>
            </w:r>
          </w:p>
        </w:tc>
        <w:tc>
          <w:tcPr>
            <w:tcW w:w="7087" w:type="dxa"/>
          </w:tcPr>
          <w:p w:rsidR="008954C8" w:rsidRPr="007E1ED5" w:rsidRDefault="008954C8" w:rsidP="008954C8">
            <w:pPr>
              <w:widowControl w:val="0"/>
              <w:ind w:firstLine="284"/>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Пункт 12:</w:t>
            </w:r>
          </w:p>
          <w:p w:rsidR="008954C8" w:rsidRPr="007E1ED5" w:rsidRDefault="008954C8" w:rsidP="008954C8">
            <w:pPr>
              <w:widowControl w:val="0"/>
              <w:ind w:firstLine="284"/>
              <w:jc w:val="both"/>
              <w:rPr>
                <w:rFonts w:ascii="Times New Roman" w:eastAsia="Times New Roman" w:hAnsi="Times New Roman" w:cs="Times New Roman"/>
                <w:b/>
                <w:spacing w:val="-4"/>
                <w:sz w:val="23"/>
                <w:szCs w:val="23"/>
                <w:lang w:eastAsia="ru-RU"/>
              </w:rPr>
            </w:pPr>
            <w:r w:rsidRPr="007E1ED5">
              <w:rPr>
                <w:rFonts w:ascii="Times New Roman" w:eastAsia="Times New Roman" w:hAnsi="Times New Roman" w:cs="Times New Roman"/>
                <w:b/>
                <w:spacing w:val="-4"/>
                <w:sz w:val="23"/>
                <w:szCs w:val="23"/>
                <w:lang w:eastAsia="ru-RU"/>
              </w:rPr>
              <w:t>12. У при</w:t>
            </w:r>
            <w:r w:rsidR="00C56258" w:rsidRPr="007E1ED5">
              <w:rPr>
                <w:rFonts w:ascii="Times New Roman" w:eastAsia="Times New Roman" w:hAnsi="Times New Roman" w:cs="Times New Roman"/>
                <w:b/>
                <w:spacing w:val="-4"/>
                <w:sz w:val="23"/>
                <w:szCs w:val="23"/>
                <w:lang w:eastAsia="ru-RU"/>
              </w:rPr>
              <w:t xml:space="preserve">мітках до фінансової звітності </w:t>
            </w:r>
            <w:r w:rsidRPr="007E1ED5">
              <w:rPr>
                <w:rFonts w:ascii="Times New Roman" w:eastAsia="Times New Roman" w:hAnsi="Times New Roman" w:cs="Times New Roman"/>
                <w:b/>
                <w:spacing w:val="-4"/>
                <w:sz w:val="23"/>
                <w:szCs w:val="23"/>
                <w:lang w:eastAsia="ru-RU"/>
              </w:rPr>
              <w:t>інвестори наводять (розкривають) перелік господарських товариств, власну частку в їхньому статутному капіталі та суму заборгованості за внесками до зазначених статутних капіталів.</w:t>
            </w:r>
          </w:p>
        </w:tc>
      </w:tr>
      <w:tr w:rsidR="008954C8" w:rsidRPr="007E1ED5" w:rsidTr="0064042B">
        <w:trPr>
          <w:trHeight w:val="3287"/>
        </w:trPr>
        <w:tc>
          <w:tcPr>
            <w:tcW w:w="7939" w:type="dxa"/>
          </w:tcPr>
          <w:p w:rsidR="008954C8" w:rsidRPr="007E1ED5" w:rsidRDefault="008954C8" w:rsidP="00D234CC">
            <w:pPr>
              <w:widowControl w:val="0"/>
              <w:ind w:left="3444"/>
              <w:jc w:val="both"/>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Додаток 3</w:t>
            </w:r>
          </w:p>
          <w:p w:rsidR="008954C8" w:rsidRPr="007E1ED5" w:rsidRDefault="008954C8" w:rsidP="00D234CC">
            <w:pPr>
              <w:widowControl w:val="0"/>
              <w:ind w:left="3444"/>
              <w:jc w:val="both"/>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до Національного положення (стандарту)</w:t>
            </w:r>
            <w:r w:rsidR="00D234CC">
              <w:rPr>
                <w:rFonts w:ascii="Times New Roman" w:eastAsia="Times New Roman" w:hAnsi="Times New Roman" w:cs="Times New Roman"/>
                <w:spacing w:val="-4"/>
                <w:sz w:val="23"/>
                <w:szCs w:val="23"/>
                <w:lang w:eastAsia="ru-RU"/>
              </w:rPr>
              <w:t xml:space="preserve"> </w:t>
            </w:r>
            <w:r w:rsidRPr="007E1ED5">
              <w:rPr>
                <w:rFonts w:ascii="Times New Roman" w:eastAsia="Times New Roman" w:hAnsi="Times New Roman" w:cs="Times New Roman"/>
                <w:spacing w:val="-4"/>
                <w:sz w:val="23"/>
                <w:szCs w:val="23"/>
                <w:lang w:eastAsia="ru-RU"/>
              </w:rPr>
              <w:t>бухгалтерського обліку 1 «Загальні вимоги</w:t>
            </w:r>
            <w:r w:rsidR="00D234CC">
              <w:rPr>
                <w:rFonts w:ascii="Times New Roman" w:eastAsia="Times New Roman" w:hAnsi="Times New Roman" w:cs="Times New Roman"/>
                <w:spacing w:val="-4"/>
                <w:sz w:val="23"/>
                <w:szCs w:val="23"/>
                <w:lang w:eastAsia="ru-RU"/>
              </w:rPr>
              <w:t xml:space="preserve"> </w:t>
            </w:r>
            <w:r w:rsidRPr="007E1ED5">
              <w:rPr>
                <w:rFonts w:ascii="Times New Roman" w:eastAsia="Times New Roman" w:hAnsi="Times New Roman" w:cs="Times New Roman"/>
                <w:spacing w:val="-4"/>
                <w:sz w:val="23"/>
                <w:szCs w:val="23"/>
                <w:lang w:eastAsia="ru-RU"/>
              </w:rPr>
              <w:t>до фінансової звітності»</w:t>
            </w:r>
          </w:p>
          <w:p w:rsidR="00C56258" w:rsidRPr="007E1ED5" w:rsidRDefault="00C56258" w:rsidP="008954C8">
            <w:pPr>
              <w:widowControl w:val="0"/>
              <w:ind w:firstLine="284"/>
              <w:jc w:val="center"/>
              <w:rPr>
                <w:rFonts w:ascii="Times New Roman" w:eastAsia="Times New Roman" w:hAnsi="Times New Roman" w:cs="Times New Roman"/>
                <w:spacing w:val="-4"/>
                <w:sz w:val="23"/>
                <w:szCs w:val="23"/>
                <w:lang w:eastAsia="ru-RU"/>
              </w:rPr>
            </w:pPr>
          </w:p>
          <w:p w:rsidR="008954C8" w:rsidRPr="007E1ED5" w:rsidRDefault="00C56258" w:rsidP="008954C8">
            <w:pPr>
              <w:widowControl w:val="0"/>
              <w:ind w:firstLine="284"/>
              <w:jc w:val="center"/>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 xml:space="preserve">Перелік </w:t>
            </w:r>
            <w:r w:rsidR="008954C8" w:rsidRPr="007E1ED5">
              <w:rPr>
                <w:rFonts w:ascii="Times New Roman" w:eastAsia="Times New Roman" w:hAnsi="Times New Roman" w:cs="Times New Roman"/>
                <w:spacing w:val="-4"/>
                <w:sz w:val="23"/>
                <w:szCs w:val="23"/>
                <w:lang w:eastAsia="ru-RU"/>
              </w:rPr>
              <w:t xml:space="preserve">додаткових статей фінансової </w:t>
            </w:r>
            <w:r w:rsidR="00864664">
              <w:rPr>
                <w:rFonts w:ascii="Times New Roman" w:eastAsia="Times New Roman" w:hAnsi="Times New Roman" w:cs="Times New Roman"/>
                <w:spacing w:val="-4"/>
                <w:sz w:val="23"/>
                <w:szCs w:val="23"/>
                <w:lang w:eastAsia="ru-RU"/>
              </w:rPr>
              <w:t>звітності</w:t>
            </w:r>
          </w:p>
          <w:p w:rsidR="00C56258" w:rsidRPr="007E1ED5" w:rsidRDefault="00C56258" w:rsidP="008954C8">
            <w:pPr>
              <w:widowControl w:val="0"/>
              <w:rPr>
                <w:rFonts w:ascii="Times New Roman" w:eastAsia="Times New Roman" w:hAnsi="Times New Roman" w:cs="Times New Roman"/>
                <w:b/>
                <w:spacing w:val="-4"/>
                <w:sz w:val="23"/>
                <w:szCs w:val="23"/>
                <w:lang w:eastAsia="ru-RU"/>
              </w:rPr>
            </w:pPr>
          </w:p>
          <w:p w:rsidR="008954C8" w:rsidRPr="007E1ED5" w:rsidRDefault="00AD6627" w:rsidP="008954C8">
            <w:pPr>
              <w:widowControl w:val="0"/>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b/>
                <w:spacing w:val="-4"/>
                <w:sz w:val="23"/>
                <w:szCs w:val="23"/>
                <w:lang w:eastAsia="ru-RU"/>
              </w:rPr>
              <w:t>Відсутній</w:t>
            </w:r>
          </w:p>
        </w:tc>
        <w:tc>
          <w:tcPr>
            <w:tcW w:w="7087" w:type="dxa"/>
          </w:tcPr>
          <w:p w:rsidR="00AD6627" w:rsidRPr="007E1ED5" w:rsidRDefault="00AD6627" w:rsidP="00AD6627">
            <w:pPr>
              <w:widowControl w:val="0"/>
              <w:ind w:left="2582"/>
              <w:jc w:val="both"/>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Додаток 3</w:t>
            </w:r>
          </w:p>
          <w:p w:rsidR="00AD6627" w:rsidRPr="007E1ED5" w:rsidRDefault="00AD6627" w:rsidP="00AD6627">
            <w:pPr>
              <w:widowControl w:val="0"/>
              <w:ind w:left="2582"/>
              <w:jc w:val="both"/>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до Національного положення (стандарту) бухгалтерського обліку 1 «Загальні вимоги до фінансової звітності»</w:t>
            </w:r>
          </w:p>
          <w:p w:rsidR="00AD6627" w:rsidRPr="007E1ED5" w:rsidRDefault="00AD6627" w:rsidP="00AD6627">
            <w:pPr>
              <w:widowControl w:val="0"/>
              <w:rPr>
                <w:rFonts w:ascii="Times New Roman" w:eastAsia="Times New Roman" w:hAnsi="Times New Roman" w:cs="Times New Roman"/>
                <w:spacing w:val="-4"/>
                <w:sz w:val="23"/>
                <w:szCs w:val="23"/>
                <w:lang w:eastAsia="ru-RU"/>
              </w:rPr>
            </w:pPr>
          </w:p>
          <w:p w:rsidR="00AD6627" w:rsidRPr="007E1ED5" w:rsidRDefault="00C56258" w:rsidP="00AD6627">
            <w:pPr>
              <w:widowControl w:val="0"/>
              <w:ind w:firstLine="284"/>
              <w:jc w:val="center"/>
              <w:rPr>
                <w:rFonts w:ascii="Times New Roman" w:eastAsia="Times New Roman" w:hAnsi="Times New Roman" w:cs="Times New Roman"/>
                <w:spacing w:val="-4"/>
                <w:sz w:val="23"/>
                <w:szCs w:val="23"/>
                <w:lang w:eastAsia="ru-RU"/>
              </w:rPr>
            </w:pPr>
            <w:r w:rsidRPr="007E1ED5">
              <w:rPr>
                <w:rFonts w:ascii="Times New Roman" w:eastAsia="Times New Roman" w:hAnsi="Times New Roman" w:cs="Times New Roman"/>
                <w:spacing w:val="-4"/>
                <w:sz w:val="23"/>
                <w:szCs w:val="23"/>
                <w:lang w:eastAsia="ru-RU"/>
              </w:rPr>
              <w:t xml:space="preserve">Перелік </w:t>
            </w:r>
            <w:r w:rsidR="00AD6627" w:rsidRPr="007E1ED5">
              <w:rPr>
                <w:rFonts w:ascii="Times New Roman" w:eastAsia="Times New Roman" w:hAnsi="Times New Roman" w:cs="Times New Roman"/>
                <w:spacing w:val="-4"/>
                <w:sz w:val="23"/>
                <w:szCs w:val="23"/>
                <w:lang w:eastAsia="ru-RU"/>
              </w:rPr>
              <w:t>додатков</w:t>
            </w:r>
            <w:r w:rsidR="00864664">
              <w:rPr>
                <w:rFonts w:ascii="Times New Roman" w:eastAsia="Times New Roman" w:hAnsi="Times New Roman" w:cs="Times New Roman"/>
                <w:spacing w:val="-4"/>
                <w:sz w:val="23"/>
                <w:szCs w:val="23"/>
                <w:lang w:eastAsia="ru-RU"/>
              </w:rPr>
              <w:t>их статей фінансової звітності</w:t>
            </w:r>
          </w:p>
          <w:p w:rsidR="008954C8" w:rsidRPr="007E1ED5" w:rsidRDefault="008954C8" w:rsidP="008954C8">
            <w:pPr>
              <w:widowControl w:val="0"/>
              <w:ind w:firstLine="284"/>
              <w:jc w:val="center"/>
              <w:rPr>
                <w:rFonts w:ascii="Times New Roman" w:eastAsia="Times New Roman" w:hAnsi="Times New Roman" w:cs="Times New Roman"/>
                <w:spacing w:val="-4"/>
                <w:sz w:val="23"/>
                <w:szCs w:val="23"/>
                <w:lang w:eastAsia="ru-RU"/>
              </w:rPr>
            </w:pPr>
          </w:p>
          <w:tbl>
            <w:tblPr>
              <w:tblW w:w="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33"/>
              <w:gridCol w:w="1222"/>
            </w:tblGrid>
            <w:tr w:rsidR="008954C8" w:rsidRPr="007E1ED5" w:rsidTr="0034046A">
              <w:trPr>
                <w:trHeight w:val="189"/>
              </w:trPr>
              <w:tc>
                <w:tcPr>
                  <w:tcW w:w="4033" w:type="dxa"/>
                  <w:vAlign w:val="center"/>
                </w:tcPr>
                <w:p w:rsidR="008954C8" w:rsidRPr="007E1ED5" w:rsidRDefault="008954C8" w:rsidP="008954C8">
                  <w:pPr>
                    <w:widowControl w:val="0"/>
                    <w:spacing w:after="0" w:line="240" w:lineRule="auto"/>
                    <w:jc w:val="center"/>
                    <w:rPr>
                      <w:rFonts w:ascii="Times New Roman" w:hAnsi="Times New Roman" w:cs="Times New Roman"/>
                      <w:sz w:val="23"/>
                      <w:szCs w:val="23"/>
                    </w:rPr>
                  </w:pPr>
                  <w:r w:rsidRPr="007E1ED5">
                    <w:rPr>
                      <w:rFonts w:ascii="Times New Roman" w:hAnsi="Times New Roman" w:cs="Times New Roman"/>
                      <w:sz w:val="23"/>
                      <w:szCs w:val="23"/>
                    </w:rPr>
                    <w:t>Статті</w:t>
                  </w:r>
                </w:p>
              </w:tc>
              <w:tc>
                <w:tcPr>
                  <w:tcW w:w="1222" w:type="dxa"/>
                  <w:vAlign w:val="center"/>
                </w:tcPr>
                <w:p w:rsidR="008954C8" w:rsidRPr="007E1ED5" w:rsidRDefault="008954C8" w:rsidP="008954C8">
                  <w:pPr>
                    <w:widowControl w:val="0"/>
                    <w:spacing w:after="0" w:line="240" w:lineRule="auto"/>
                    <w:jc w:val="center"/>
                    <w:rPr>
                      <w:rFonts w:ascii="Times New Roman" w:hAnsi="Times New Roman" w:cs="Times New Roman"/>
                      <w:sz w:val="23"/>
                      <w:szCs w:val="23"/>
                    </w:rPr>
                  </w:pPr>
                  <w:r w:rsidRPr="007E1ED5">
                    <w:rPr>
                      <w:rFonts w:ascii="Times New Roman" w:hAnsi="Times New Roman" w:cs="Times New Roman"/>
                      <w:sz w:val="23"/>
                      <w:szCs w:val="23"/>
                    </w:rPr>
                    <w:t>Код рядка</w:t>
                  </w:r>
                </w:p>
              </w:tc>
            </w:tr>
            <w:tr w:rsidR="008954C8" w:rsidRPr="007E1ED5" w:rsidTr="0034046A">
              <w:trPr>
                <w:trHeight w:val="224"/>
              </w:trPr>
              <w:tc>
                <w:tcPr>
                  <w:tcW w:w="4033" w:type="dxa"/>
                  <w:vAlign w:val="center"/>
                </w:tcPr>
                <w:p w:rsidR="008954C8" w:rsidRPr="007E1ED5" w:rsidRDefault="008954C8" w:rsidP="008954C8">
                  <w:pPr>
                    <w:widowControl w:val="0"/>
                    <w:spacing w:after="0" w:line="240" w:lineRule="auto"/>
                    <w:jc w:val="center"/>
                    <w:rPr>
                      <w:rFonts w:ascii="Times New Roman" w:hAnsi="Times New Roman" w:cs="Times New Roman"/>
                      <w:sz w:val="23"/>
                      <w:szCs w:val="23"/>
                    </w:rPr>
                  </w:pPr>
                  <w:r w:rsidRPr="007E1ED5">
                    <w:rPr>
                      <w:rFonts w:ascii="Times New Roman" w:hAnsi="Times New Roman" w:cs="Times New Roman"/>
                      <w:sz w:val="23"/>
                      <w:szCs w:val="23"/>
                    </w:rPr>
                    <w:t>1</w:t>
                  </w:r>
                </w:p>
              </w:tc>
              <w:tc>
                <w:tcPr>
                  <w:tcW w:w="1222" w:type="dxa"/>
                  <w:vAlign w:val="center"/>
                </w:tcPr>
                <w:p w:rsidR="008954C8" w:rsidRPr="007E1ED5" w:rsidRDefault="008954C8" w:rsidP="008954C8">
                  <w:pPr>
                    <w:widowControl w:val="0"/>
                    <w:spacing w:after="0" w:line="240" w:lineRule="auto"/>
                    <w:jc w:val="center"/>
                    <w:rPr>
                      <w:rFonts w:ascii="Times New Roman" w:hAnsi="Times New Roman" w:cs="Times New Roman"/>
                      <w:sz w:val="23"/>
                      <w:szCs w:val="23"/>
                    </w:rPr>
                  </w:pPr>
                  <w:r w:rsidRPr="007E1ED5">
                    <w:rPr>
                      <w:rFonts w:ascii="Times New Roman" w:hAnsi="Times New Roman" w:cs="Times New Roman"/>
                      <w:sz w:val="23"/>
                      <w:szCs w:val="23"/>
                    </w:rPr>
                    <w:t>2</w:t>
                  </w:r>
                </w:p>
              </w:tc>
            </w:tr>
            <w:tr w:rsidR="008954C8" w:rsidRPr="007E1ED5" w:rsidTr="0034046A">
              <w:trPr>
                <w:trHeight w:val="421"/>
              </w:trPr>
              <w:tc>
                <w:tcPr>
                  <w:tcW w:w="4033" w:type="dxa"/>
                  <w:vAlign w:val="center"/>
                </w:tcPr>
                <w:p w:rsidR="008954C8" w:rsidRPr="007E1ED5" w:rsidRDefault="008954C8" w:rsidP="008954C8">
                  <w:pPr>
                    <w:widowControl w:val="0"/>
                    <w:spacing w:after="0" w:line="240" w:lineRule="auto"/>
                    <w:rPr>
                      <w:rFonts w:ascii="Times New Roman" w:hAnsi="Times New Roman" w:cs="Times New Roman"/>
                      <w:b/>
                      <w:sz w:val="23"/>
                      <w:szCs w:val="23"/>
                    </w:rPr>
                  </w:pPr>
                  <w:r w:rsidRPr="007E1ED5">
                    <w:rPr>
                      <w:rFonts w:ascii="Times New Roman" w:hAnsi="Times New Roman" w:cs="Times New Roman"/>
                      <w:b/>
                      <w:sz w:val="23"/>
                      <w:szCs w:val="23"/>
                    </w:rPr>
                    <w:t>Заборгованість за внесками до статутного капіталу інших підприємств</w:t>
                  </w:r>
                </w:p>
              </w:tc>
              <w:tc>
                <w:tcPr>
                  <w:tcW w:w="1222" w:type="dxa"/>
                  <w:vAlign w:val="center"/>
                </w:tcPr>
                <w:p w:rsidR="008954C8" w:rsidRPr="007E1ED5" w:rsidRDefault="008954C8" w:rsidP="008954C8">
                  <w:pPr>
                    <w:widowControl w:val="0"/>
                    <w:spacing w:after="0" w:line="240" w:lineRule="auto"/>
                    <w:jc w:val="center"/>
                    <w:rPr>
                      <w:rFonts w:ascii="Times New Roman" w:hAnsi="Times New Roman" w:cs="Times New Roman"/>
                      <w:b/>
                      <w:sz w:val="23"/>
                      <w:szCs w:val="23"/>
                    </w:rPr>
                  </w:pPr>
                  <w:r w:rsidRPr="007E1ED5">
                    <w:rPr>
                      <w:rFonts w:ascii="Times New Roman" w:hAnsi="Times New Roman" w:cs="Times New Roman"/>
                      <w:b/>
                      <w:sz w:val="23"/>
                      <w:szCs w:val="23"/>
                    </w:rPr>
                    <w:t>1036</w:t>
                  </w:r>
                </w:p>
              </w:tc>
            </w:tr>
          </w:tbl>
          <w:p w:rsidR="008954C8" w:rsidRPr="007E1ED5" w:rsidRDefault="008954C8" w:rsidP="008954C8">
            <w:pPr>
              <w:widowControl w:val="0"/>
              <w:rPr>
                <w:rFonts w:ascii="Times New Roman" w:eastAsia="Times New Roman" w:hAnsi="Times New Roman" w:cs="Times New Roman"/>
                <w:spacing w:val="-4"/>
                <w:sz w:val="23"/>
                <w:szCs w:val="23"/>
                <w:lang w:eastAsia="ru-RU"/>
              </w:rPr>
            </w:pPr>
          </w:p>
        </w:tc>
      </w:tr>
    </w:tbl>
    <w:p w:rsidR="00D40FE3" w:rsidRDefault="00D40FE3" w:rsidP="001879DF">
      <w:pPr>
        <w:spacing w:after="0" w:line="240" w:lineRule="auto"/>
        <w:rPr>
          <w:rFonts w:ascii="Times New Roman" w:hAnsi="Times New Roman" w:cs="Times New Roman"/>
          <w:b/>
          <w:sz w:val="28"/>
          <w:szCs w:val="28"/>
        </w:rPr>
      </w:pPr>
    </w:p>
    <w:p w:rsidR="00B6116E" w:rsidRPr="00627CFD" w:rsidRDefault="00D40FE3" w:rsidP="00D40F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sectPr w:rsidR="00B6116E" w:rsidRPr="00627CFD" w:rsidSect="005F219D">
      <w:headerReference w:type="default" r:id="rId8"/>
      <w:pgSz w:w="16838" w:h="11906" w:orient="landscape"/>
      <w:pgMar w:top="851"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EA" w:rsidRDefault="006A2AEA" w:rsidP="00EC0F28">
      <w:pPr>
        <w:spacing w:after="0" w:line="240" w:lineRule="auto"/>
      </w:pPr>
      <w:r>
        <w:separator/>
      </w:r>
    </w:p>
  </w:endnote>
  <w:endnote w:type="continuationSeparator" w:id="0">
    <w:p w:rsidR="006A2AEA" w:rsidRDefault="006A2AEA" w:rsidP="00EC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EA" w:rsidRDefault="006A2AEA" w:rsidP="00EC0F28">
      <w:pPr>
        <w:spacing w:after="0" w:line="240" w:lineRule="auto"/>
      </w:pPr>
      <w:r>
        <w:separator/>
      </w:r>
    </w:p>
  </w:footnote>
  <w:footnote w:type="continuationSeparator" w:id="0">
    <w:p w:rsidR="006A2AEA" w:rsidRDefault="006A2AEA" w:rsidP="00EC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82864"/>
      <w:docPartObj>
        <w:docPartGallery w:val="Page Numbers (Top of Page)"/>
        <w:docPartUnique/>
      </w:docPartObj>
    </w:sdtPr>
    <w:sdtEndPr>
      <w:rPr>
        <w:rFonts w:ascii="Times New Roman" w:hAnsi="Times New Roman" w:cs="Times New Roman"/>
        <w:sz w:val="24"/>
      </w:rPr>
    </w:sdtEndPr>
    <w:sdtContent>
      <w:p w:rsidR="00165BA1" w:rsidRPr="00CE49A8" w:rsidRDefault="00165BA1">
        <w:pPr>
          <w:pStyle w:val="a8"/>
          <w:jc w:val="center"/>
          <w:rPr>
            <w:rFonts w:ascii="Times New Roman" w:hAnsi="Times New Roman" w:cs="Times New Roman"/>
            <w:sz w:val="24"/>
          </w:rPr>
        </w:pPr>
        <w:r w:rsidRPr="00CE49A8">
          <w:rPr>
            <w:rFonts w:ascii="Times New Roman" w:hAnsi="Times New Roman" w:cs="Times New Roman"/>
            <w:sz w:val="24"/>
          </w:rPr>
          <w:fldChar w:fldCharType="begin"/>
        </w:r>
        <w:r w:rsidRPr="00CE49A8">
          <w:rPr>
            <w:rFonts w:ascii="Times New Roman" w:hAnsi="Times New Roman" w:cs="Times New Roman"/>
            <w:sz w:val="24"/>
          </w:rPr>
          <w:instrText>PAGE   \* MERGEFORMAT</w:instrText>
        </w:r>
        <w:r w:rsidRPr="00CE49A8">
          <w:rPr>
            <w:rFonts w:ascii="Times New Roman" w:hAnsi="Times New Roman" w:cs="Times New Roman"/>
            <w:sz w:val="24"/>
          </w:rPr>
          <w:fldChar w:fldCharType="separate"/>
        </w:r>
        <w:r w:rsidR="0044530D">
          <w:rPr>
            <w:rFonts w:ascii="Times New Roman" w:hAnsi="Times New Roman" w:cs="Times New Roman"/>
            <w:noProof/>
            <w:sz w:val="24"/>
          </w:rPr>
          <w:t>2</w:t>
        </w:r>
        <w:r w:rsidRPr="00CE49A8">
          <w:rPr>
            <w:rFonts w:ascii="Times New Roman" w:hAnsi="Times New Roman" w:cs="Times New Roman"/>
            <w:sz w:val="24"/>
          </w:rPr>
          <w:fldChar w:fldCharType="end"/>
        </w:r>
      </w:p>
    </w:sdtContent>
  </w:sdt>
  <w:p w:rsidR="00165BA1" w:rsidRDefault="00165B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0CD"/>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1A738DB"/>
    <w:multiLevelType w:val="hybridMultilevel"/>
    <w:tmpl w:val="BED69C3E"/>
    <w:lvl w:ilvl="0" w:tplc="EB384230">
      <w:start w:val="1"/>
      <w:numFmt w:val="decimal"/>
      <w:lvlText w:val="%1."/>
      <w:lvlJc w:val="left"/>
      <w:pPr>
        <w:ind w:left="825" w:hanging="37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582D1159"/>
    <w:multiLevelType w:val="hybridMultilevel"/>
    <w:tmpl w:val="D3A4C3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ED"/>
    <w:rsid w:val="00003884"/>
    <w:rsid w:val="00004AA5"/>
    <w:rsid w:val="00005DAC"/>
    <w:rsid w:val="00007AEB"/>
    <w:rsid w:val="000137E6"/>
    <w:rsid w:val="00015AD4"/>
    <w:rsid w:val="00016484"/>
    <w:rsid w:val="000233C8"/>
    <w:rsid w:val="00025B10"/>
    <w:rsid w:val="000366FD"/>
    <w:rsid w:val="0004247C"/>
    <w:rsid w:val="00045BCD"/>
    <w:rsid w:val="00046424"/>
    <w:rsid w:val="00052A38"/>
    <w:rsid w:val="0005428B"/>
    <w:rsid w:val="000607D1"/>
    <w:rsid w:val="00060E45"/>
    <w:rsid w:val="00061CFC"/>
    <w:rsid w:val="00065F1D"/>
    <w:rsid w:val="000802BC"/>
    <w:rsid w:val="000802F2"/>
    <w:rsid w:val="00086BD7"/>
    <w:rsid w:val="00087FD6"/>
    <w:rsid w:val="00092DFD"/>
    <w:rsid w:val="00093F9D"/>
    <w:rsid w:val="00095ECB"/>
    <w:rsid w:val="00097D7B"/>
    <w:rsid w:val="00097EB8"/>
    <w:rsid w:val="000A1DDB"/>
    <w:rsid w:val="000A368B"/>
    <w:rsid w:val="000A5A55"/>
    <w:rsid w:val="000B044B"/>
    <w:rsid w:val="000B1B76"/>
    <w:rsid w:val="000B53B6"/>
    <w:rsid w:val="000B6A65"/>
    <w:rsid w:val="000B73B6"/>
    <w:rsid w:val="000B7A09"/>
    <w:rsid w:val="000C407A"/>
    <w:rsid w:val="000C5A74"/>
    <w:rsid w:val="000C5D3E"/>
    <w:rsid w:val="000D3936"/>
    <w:rsid w:val="000D77ED"/>
    <w:rsid w:val="000D7835"/>
    <w:rsid w:val="000E1891"/>
    <w:rsid w:val="000E4319"/>
    <w:rsid w:val="000E5516"/>
    <w:rsid w:val="000E7595"/>
    <w:rsid w:val="000F17C3"/>
    <w:rsid w:val="000F2E0F"/>
    <w:rsid w:val="0010408F"/>
    <w:rsid w:val="001054D5"/>
    <w:rsid w:val="001061AB"/>
    <w:rsid w:val="00107B6A"/>
    <w:rsid w:val="001128B9"/>
    <w:rsid w:val="001214B4"/>
    <w:rsid w:val="00121809"/>
    <w:rsid w:val="001225FB"/>
    <w:rsid w:val="001227E5"/>
    <w:rsid w:val="0012455F"/>
    <w:rsid w:val="00127D2D"/>
    <w:rsid w:val="00131214"/>
    <w:rsid w:val="001328D0"/>
    <w:rsid w:val="0013350F"/>
    <w:rsid w:val="0013396B"/>
    <w:rsid w:val="00135500"/>
    <w:rsid w:val="001445ED"/>
    <w:rsid w:val="00145069"/>
    <w:rsid w:val="00147D5F"/>
    <w:rsid w:val="00150D59"/>
    <w:rsid w:val="0015148D"/>
    <w:rsid w:val="00160EA5"/>
    <w:rsid w:val="00162EAE"/>
    <w:rsid w:val="00165BA1"/>
    <w:rsid w:val="001740CB"/>
    <w:rsid w:val="00176B5F"/>
    <w:rsid w:val="001775D4"/>
    <w:rsid w:val="00177D4D"/>
    <w:rsid w:val="00182025"/>
    <w:rsid w:val="00182522"/>
    <w:rsid w:val="00183DBB"/>
    <w:rsid w:val="0018418A"/>
    <w:rsid w:val="001879DF"/>
    <w:rsid w:val="0019070C"/>
    <w:rsid w:val="001A0CAA"/>
    <w:rsid w:val="001A15E1"/>
    <w:rsid w:val="001A1EA8"/>
    <w:rsid w:val="001A317B"/>
    <w:rsid w:val="001B45A5"/>
    <w:rsid w:val="001B687B"/>
    <w:rsid w:val="001B7D8C"/>
    <w:rsid w:val="001C3751"/>
    <w:rsid w:val="001C7BD6"/>
    <w:rsid w:val="001C7D9C"/>
    <w:rsid w:val="001D3E89"/>
    <w:rsid w:val="001E6FA0"/>
    <w:rsid w:val="00207C4A"/>
    <w:rsid w:val="00210B79"/>
    <w:rsid w:val="0021214B"/>
    <w:rsid w:val="0021527C"/>
    <w:rsid w:val="00217762"/>
    <w:rsid w:val="00221108"/>
    <w:rsid w:val="00222414"/>
    <w:rsid w:val="00223881"/>
    <w:rsid w:val="00224513"/>
    <w:rsid w:val="00227C16"/>
    <w:rsid w:val="00232F45"/>
    <w:rsid w:val="00233BC7"/>
    <w:rsid w:val="002349D0"/>
    <w:rsid w:val="0023598E"/>
    <w:rsid w:val="00236658"/>
    <w:rsid w:val="00237649"/>
    <w:rsid w:val="00241B83"/>
    <w:rsid w:val="0024440B"/>
    <w:rsid w:val="00251A12"/>
    <w:rsid w:val="002626BF"/>
    <w:rsid w:val="00266B37"/>
    <w:rsid w:val="00270050"/>
    <w:rsid w:val="00272FB3"/>
    <w:rsid w:val="00273B1D"/>
    <w:rsid w:val="0028271E"/>
    <w:rsid w:val="0028328A"/>
    <w:rsid w:val="00284376"/>
    <w:rsid w:val="002870EE"/>
    <w:rsid w:val="00292EC5"/>
    <w:rsid w:val="00296DCF"/>
    <w:rsid w:val="002A17FF"/>
    <w:rsid w:val="002A1C26"/>
    <w:rsid w:val="002A2D2C"/>
    <w:rsid w:val="002A3B1A"/>
    <w:rsid w:val="002A3C8C"/>
    <w:rsid w:val="002A6309"/>
    <w:rsid w:val="002A66DA"/>
    <w:rsid w:val="002A6D39"/>
    <w:rsid w:val="002A6E79"/>
    <w:rsid w:val="002B003E"/>
    <w:rsid w:val="002B034E"/>
    <w:rsid w:val="002B1B83"/>
    <w:rsid w:val="002C1CE4"/>
    <w:rsid w:val="002C3303"/>
    <w:rsid w:val="002C3DD0"/>
    <w:rsid w:val="002C435B"/>
    <w:rsid w:val="002D49BB"/>
    <w:rsid w:val="002D5581"/>
    <w:rsid w:val="002D66F9"/>
    <w:rsid w:val="002D737A"/>
    <w:rsid w:val="002D7405"/>
    <w:rsid w:val="002E721E"/>
    <w:rsid w:val="002F0202"/>
    <w:rsid w:val="002F2EBD"/>
    <w:rsid w:val="002F6D40"/>
    <w:rsid w:val="00300C8F"/>
    <w:rsid w:val="00302AE4"/>
    <w:rsid w:val="003066FB"/>
    <w:rsid w:val="0030784E"/>
    <w:rsid w:val="003116E1"/>
    <w:rsid w:val="00316726"/>
    <w:rsid w:val="00320862"/>
    <w:rsid w:val="00323570"/>
    <w:rsid w:val="003331C5"/>
    <w:rsid w:val="00333CAD"/>
    <w:rsid w:val="0033413F"/>
    <w:rsid w:val="00337D70"/>
    <w:rsid w:val="00342B00"/>
    <w:rsid w:val="003522C1"/>
    <w:rsid w:val="00355DED"/>
    <w:rsid w:val="00360F85"/>
    <w:rsid w:val="00364183"/>
    <w:rsid w:val="0036525E"/>
    <w:rsid w:val="00366780"/>
    <w:rsid w:val="00370C52"/>
    <w:rsid w:val="00371AE9"/>
    <w:rsid w:val="0037374F"/>
    <w:rsid w:val="003739CA"/>
    <w:rsid w:val="003749F8"/>
    <w:rsid w:val="00380D8A"/>
    <w:rsid w:val="00381C55"/>
    <w:rsid w:val="0038452B"/>
    <w:rsid w:val="003864B9"/>
    <w:rsid w:val="003866F5"/>
    <w:rsid w:val="00393CBD"/>
    <w:rsid w:val="003A5B8F"/>
    <w:rsid w:val="003A7004"/>
    <w:rsid w:val="003B20AD"/>
    <w:rsid w:val="003B698D"/>
    <w:rsid w:val="003C5841"/>
    <w:rsid w:val="003C7B40"/>
    <w:rsid w:val="003C7D90"/>
    <w:rsid w:val="003D1C01"/>
    <w:rsid w:val="003D6FA9"/>
    <w:rsid w:val="003D7962"/>
    <w:rsid w:val="003E3F55"/>
    <w:rsid w:val="003F3667"/>
    <w:rsid w:val="003F6449"/>
    <w:rsid w:val="003F7B43"/>
    <w:rsid w:val="0040234F"/>
    <w:rsid w:val="00403847"/>
    <w:rsid w:val="00407F0A"/>
    <w:rsid w:val="004127AE"/>
    <w:rsid w:val="00414CA3"/>
    <w:rsid w:val="00416ADE"/>
    <w:rsid w:val="00423FD4"/>
    <w:rsid w:val="0042740E"/>
    <w:rsid w:val="004358BA"/>
    <w:rsid w:val="004366F8"/>
    <w:rsid w:val="0044063E"/>
    <w:rsid w:val="00442356"/>
    <w:rsid w:val="00443845"/>
    <w:rsid w:val="00444646"/>
    <w:rsid w:val="0044530D"/>
    <w:rsid w:val="00446641"/>
    <w:rsid w:val="004474EE"/>
    <w:rsid w:val="00450A0B"/>
    <w:rsid w:val="00455319"/>
    <w:rsid w:val="00462C18"/>
    <w:rsid w:val="00473D92"/>
    <w:rsid w:val="004753AF"/>
    <w:rsid w:val="00475549"/>
    <w:rsid w:val="00476659"/>
    <w:rsid w:val="00481AEF"/>
    <w:rsid w:val="004820C6"/>
    <w:rsid w:val="00482747"/>
    <w:rsid w:val="00485853"/>
    <w:rsid w:val="00493EDC"/>
    <w:rsid w:val="004B1066"/>
    <w:rsid w:val="004B6752"/>
    <w:rsid w:val="004B7AD3"/>
    <w:rsid w:val="004C3293"/>
    <w:rsid w:val="004C7F73"/>
    <w:rsid w:val="004D57CE"/>
    <w:rsid w:val="004D609E"/>
    <w:rsid w:val="004E0864"/>
    <w:rsid w:val="004E1CBF"/>
    <w:rsid w:val="004E3F02"/>
    <w:rsid w:val="004E7CAC"/>
    <w:rsid w:val="004F229E"/>
    <w:rsid w:val="004F4D1E"/>
    <w:rsid w:val="004F7067"/>
    <w:rsid w:val="00500326"/>
    <w:rsid w:val="0050133A"/>
    <w:rsid w:val="00502FD2"/>
    <w:rsid w:val="00517573"/>
    <w:rsid w:val="00520939"/>
    <w:rsid w:val="005210F7"/>
    <w:rsid w:val="00521105"/>
    <w:rsid w:val="0052242D"/>
    <w:rsid w:val="00522EEC"/>
    <w:rsid w:val="005276BD"/>
    <w:rsid w:val="00530F60"/>
    <w:rsid w:val="0053137B"/>
    <w:rsid w:val="005316B5"/>
    <w:rsid w:val="00532549"/>
    <w:rsid w:val="0053676C"/>
    <w:rsid w:val="00545B20"/>
    <w:rsid w:val="00547356"/>
    <w:rsid w:val="00550D91"/>
    <w:rsid w:val="005525BD"/>
    <w:rsid w:val="005542F6"/>
    <w:rsid w:val="00554ACF"/>
    <w:rsid w:val="00560E53"/>
    <w:rsid w:val="00562376"/>
    <w:rsid w:val="005623E7"/>
    <w:rsid w:val="00562E5D"/>
    <w:rsid w:val="00566610"/>
    <w:rsid w:val="0056677E"/>
    <w:rsid w:val="00572848"/>
    <w:rsid w:val="00573A74"/>
    <w:rsid w:val="00573DBE"/>
    <w:rsid w:val="00573EE4"/>
    <w:rsid w:val="00577A26"/>
    <w:rsid w:val="00580E0F"/>
    <w:rsid w:val="00582AFD"/>
    <w:rsid w:val="005876A6"/>
    <w:rsid w:val="00595618"/>
    <w:rsid w:val="005959F5"/>
    <w:rsid w:val="00597CCD"/>
    <w:rsid w:val="005A0A9D"/>
    <w:rsid w:val="005A121B"/>
    <w:rsid w:val="005A1D81"/>
    <w:rsid w:val="005A26B4"/>
    <w:rsid w:val="005B0A7A"/>
    <w:rsid w:val="005B2B74"/>
    <w:rsid w:val="005B3F95"/>
    <w:rsid w:val="005B4F59"/>
    <w:rsid w:val="005B75E3"/>
    <w:rsid w:val="005C0DD0"/>
    <w:rsid w:val="005C14A2"/>
    <w:rsid w:val="005C7E3D"/>
    <w:rsid w:val="005D0260"/>
    <w:rsid w:val="005D2995"/>
    <w:rsid w:val="005D3E83"/>
    <w:rsid w:val="005D6E67"/>
    <w:rsid w:val="005D7094"/>
    <w:rsid w:val="005E11C0"/>
    <w:rsid w:val="005E6A30"/>
    <w:rsid w:val="005E6BFA"/>
    <w:rsid w:val="005F219D"/>
    <w:rsid w:val="005F2BED"/>
    <w:rsid w:val="005F60A9"/>
    <w:rsid w:val="005F70DB"/>
    <w:rsid w:val="006003B4"/>
    <w:rsid w:val="00600632"/>
    <w:rsid w:val="006008C6"/>
    <w:rsid w:val="00602CE7"/>
    <w:rsid w:val="006034B7"/>
    <w:rsid w:val="006035A9"/>
    <w:rsid w:val="006035BB"/>
    <w:rsid w:val="00611B03"/>
    <w:rsid w:val="00614D57"/>
    <w:rsid w:val="00627CFD"/>
    <w:rsid w:val="00631510"/>
    <w:rsid w:val="00634A01"/>
    <w:rsid w:val="00636440"/>
    <w:rsid w:val="0064042B"/>
    <w:rsid w:val="00640437"/>
    <w:rsid w:val="006421B8"/>
    <w:rsid w:val="00643006"/>
    <w:rsid w:val="00647753"/>
    <w:rsid w:val="00647ACE"/>
    <w:rsid w:val="00651124"/>
    <w:rsid w:val="00657496"/>
    <w:rsid w:val="00664D86"/>
    <w:rsid w:val="00667963"/>
    <w:rsid w:val="0067279C"/>
    <w:rsid w:val="00674389"/>
    <w:rsid w:val="00674BE0"/>
    <w:rsid w:val="00683B6D"/>
    <w:rsid w:val="006841E7"/>
    <w:rsid w:val="006A224C"/>
    <w:rsid w:val="006A2AEA"/>
    <w:rsid w:val="006A2C43"/>
    <w:rsid w:val="006A3ABE"/>
    <w:rsid w:val="006A3B37"/>
    <w:rsid w:val="006A3FD0"/>
    <w:rsid w:val="006B02B2"/>
    <w:rsid w:val="006B15EB"/>
    <w:rsid w:val="006B6C6C"/>
    <w:rsid w:val="006C31C4"/>
    <w:rsid w:val="006C4517"/>
    <w:rsid w:val="006C7201"/>
    <w:rsid w:val="006D53B0"/>
    <w:rsid w:val="006E0982"/>
    <w:rsid w:val="006E3B5F"/>
    <w:rsid w:val="006E4B39"/>
    <w:rsid w:val="006E7F9A"/>
    <w:rsid w:val="006F2AF7"/>
    <w:rsid w:val="007025C6"/>
    <w:rsid w:val="00703BB4"/>
    <w:rsid w:val="00705C7F"/>
    <w:rsid w:val="0070613D"/>
    <w:rsid w:val="0071109B"/>
    <w:rsid w:val="00712C78"/>
    <w:rsid w:val="00713E53"/>
    <w:rsid w:val="00715FF4"/>
    <w:rsid w:val="00720513"/>
    <w:rsid w:val="00720B72"/>
    <w:rsid w:val="007323A2"/>
    <w:rsid w:val="00732B08"/>
    <w:rsid w:val="007358C3"/>
    <w:rsid w:val="00737440"/>
    <w:rsid w:val="00745538"/>
    <w:rsid w:val="007457A3"/>
    <w:rsid w:val="00745F9B"/>
    <w:rsid w:val="007479FA"/>
    <w:rsid w:val="007510AF"/>
    <w:rsid w:val="00756E5A"/>
    <w:rsid w:val="00767D1C"/>
    <w:rsid w:val="007715AB"/>
    <w:rsid w:val="00773A7C"/>
    <w:rsid w:val="00775EFA"/>
    <w:rsid w:val="00787209"/>
    <w:rsid w:val="007909AE"/>
    <w:rsid w:val="00790F4C"/>
    <w:rsid w:val="007920CC"/>
    <w:rsid w:val="007934C8"/>
    <w:rsid w:val="007A5512"/>
    <w:rsid w:val="007A560F"/>
    <w:rsid w:val="007A6066"/>
    <w:rsid w:val="007B1717"/>
    <w:rsid w:val="007B1731"/>
    <w:rsid w:val="007B4C19"/>
    <w:rsid w:val="007B4C47"/>
    <w:rsid w:val="007C338F"/>
    <w:rsid w:val="007C691F"/>
    <w:rsid w:val="007D01EA"/>
    <w:rsid w:val="007D2134"/>
    <w:rsid w:val="007D3065"/>
    <w:rsid w:val="007D3DF5"/>
    <w:rsid w:val="007E1ED5"/>
    <w:rsid w:val="007E3417"/>
    <w:rsid w:val="007E6637"/>
    <w:rsid w:val="007E731C"/>
    <w:rsid w:val="007F3D19"/>
    <w:rsid w:val="007F474F"/>
    <w:rsid w:val="007F6397"/>
    <w:rsid w:val="007F67E2"/>
    <w:rsid w:val="007F74F2"/>
    <w:rsid w:val="00800308"/>
    <w:rsid w:val="00801928"/>
    <w:rsid w:val="0080199A"/>
    <w:rsid w:val="00801A32"/>
    <w:rsid w:val="00802DB1"/>
    <w:rsid w:val="0080411C"/>
    <w:rsid w:val="00804C7A"/>
    <w:rsid w:val="00805AB7"/>
    <w:rsid w:val="00807FE2"/>
    <w:rsid w:val="00811B70"/>
    <w:rsid w:val="008126F6"/>
    <w:rsid w:val="00820FD4"/>
    <w:rsid w:val="0082129E"/>
    <w:rsid w:val="00822D80"/>
    <w:rsid w:val="008254B2"/>
    <w:rsid w:val="008258F3"/>
    <w:rsid w:val="00826ED5"/>
    <w:rsid w:val="00843E51"/>
    <w:rsid w:val="00846462"/>
    <w:rsid w:val="00850390"/>
    <w:rsid w:val="00851137"/>
    <w:rsid w:val="008520D8"/>
    <w:rsid w:val="00852DD1"/>
    <w:rsid w:val="00854151"/>
    <w:rsid w:val="00857E21"/>
    <w:rsid w:val="00857E45"/>
    <w:rsid w:val="00860CC1"/>
    <w:rsid w:val="008619B8"/>
    <w:rsid w:val="00864664"/>
    <w:rsid w:val="00864ECF"/>
    <w:rsid w:val="00876CB4"/>
    <w:rsid w:val="00876DFC"/>
    <w:rsid w:val="008820B3"/>
    <w:rsid w:val="0088248F"/>
    <w:rsid w:val="00883282"/>
    <w:rsid w:val="00886027"/>
    <w:rsid w:val="00887CCB"/>
    <w:rsid w:val="00890CEE"/>
    <w:rsid w:val="00890E54"/>
    <w:rsid w:val="0089236F"/>
    <w:rsid w:val="00894BC0"/>
    <w:rsid w:val="008954C8"/>
    <w:rsid w:val="008A54E7"/>
    <w:rsid w:val="008B086A"/>
    <w:rsid w:val="008B2F0D"/>
    <w:rsid w:val="008B7C61"/>
    <w:rsid w:val="008C1ACB"/>
    <w:rsid w:val="008C1BBA"/>
    <w:rsid w:val="008C2D4D"/>
    <w:rsid w:val="008C7D6C"/>
    <w:rsid w:val="008D1309"/>
    <w:rsid w:val="008D1530"/>
    <w:rsid w:val="008D22EA"/>
    <w:rsid w:val="008D5F18"/>
    <w:rsid w:val="008D6976"/>
    <w:rsid w:val="008D7A83"/>
    <w:rsid w:val="008E0AA9"/>
    <w:rsid w:val="008E1AB6"/>
    <w:rsid w:val="008E1D9C"/>
    <w:rsid w:val="008E530A"/>
    <w:rsid w:val="008E55E6"/>
    <w:rsid w:val="008E74F5"/>
    <w:rsid w:val="008F00B3"/>
    <w:rsid w:val="008F167C"/>
    <w:rsid w:val="008F56F9"/>
    <w:rsid w:val="008F68B2"/>
    <w:rsid w:val="0090109B"/>
    <w:rsid w:val="00902564"/>
    <w:rsid w:val="00902BF4"/>
    <w:rsid w:val="00911230"/>
    <w:rsid w:val="00911A9A"/>
    <w:rsid w:val="00914B9B"/>
    <w:rsid w:val="0091707B"/>
    <w:rsid w:val="00920988"/>
    <w:rsid w:val="00926DE4"/>
    <w:rsid w:val="00927D84"/>
    <w:rsid w:val="0093330B"/>
    <w:rsid w:val="00933DD5"/>
    <w:rsid w:val="00936607"/>
    <w:rsid w:val="009369B5"/>
    <w:rsid w:val="009417E7"/>
    <w:rsid w:val="00943FED"/>
    <w:rsid w:val="00944ABD"/>
    <w:rsid w:val="0095038D"/>
    <w:rsid w:val="009508B8"/>
    <w:rsid w:val="009531A9"/>
    <w:rsid w:val="00955EEE"/>
    <w:rsid w:val="009611B5"/>
    <w:rsid w:val="00963AE4"/>
    <w:rsid w:val="00965E4C"/>
    <w:rsid w:val="00971EDD"/>
    <w:rsid w:val="00976074"/>
    <w:rsid w:val="0097790B"/>
    <w:rsid w:val="00977EA7"/>
    <w:rsid w:val="009816D6"/>
    <w:rsid w:val="00990B52"/>
    <w:rsid w:val="00991DC6"/>
    <w:rsid w:val="009968FE"/>
    <w:rsid w:val="009A0455"/>
    <w:rsid w:val="009A453C"/>
    <w:rsid w:val="009A6F2A"/>
    <w:rsid w:val="009B0CBC"/>
    <w:rsid w:val="009B0EA1"/>
    <w:rsid w:val="009B2F6D"/>
    <w:rsid w:val="009B3C1D"/>
    <w:rsid w:val="009B7660"/>
    <w:rsid w:val="009C0177"/>
    <w:rsid w:val="009C3AB0"/>
    <w:rsid w:val="009C45DB"/>
    <w:rsid w:val="009C5361"/>
    <w:rsid w:val="009D52BA"/>
    <w:rsid w:val="009D6C58"/>
    <w:rsid w:val="009E422B"/>
    <w:rsid w:val="009E52FA"/>
    <w:rsid w:val="009E6480"/>
    <w:rsid w:val="009F1F2B"/>
    <w:rsid w:val="00A00F5E"/>
    <w:rsid w:val="00A033B8"/>
    <w:rsid w:val="00A149C8"/>
    <w:rsid w:val="00A20726"/>
    <w:rsid w:val="00A21EFE"/>
    <w:rsid w:val="00A23A0D"/>
    <w:rsid w:val="00A25E69"/>
    <w:rsid w:val="00A3105B"/>
    <w:rsid w:val="00A31AC3"/>
    <w:rsid w:val="00A3518E"/>
    <w:rsid w:val="00A35316"/>
    <w:rsid w:val="00A35E29"/>
    <w:rsid w:val="00A4023A"/>
    <w:rsid w:val="00A41EB7"/>
    <w:rsid w:val="00A42B2F"/>
    <w:rsid w:val="00A553DE"/>
    <w:rsid w:val="00A55845"/>
    <w:rsid w:val="00A566F9"/>
    <w:rsid w:val="00A601D8"/>
    <w:rsid w:val="00A60EF5"/>
    <w:rsid w:val="00A65E42"/>
    <w:rsid w:val="00A70AEE"/>
    <w:rsid w:val="00A71EA1"/>
    <w:rsid w:val="00A7379D"/>
    <w:rsid w:val="00A776B4"/>
    <w:rsid w:val="00A77726"/>
    <w:rsid w:val="00A83827"/>
    <w:rsid w:val="00A9263E"/>
    <w:rsid w:val="00A9413D"/>
    <w:rsid w:val="00A95098"/>
    <w:rsid w:val="00AA2513"/>
    <w:rsid w:val="00AA29E7"/>
    <w:rsid w:val="00AA4B08"/>
    <w:rsid w:val="00AA5B38"/>
    <w:rsid w:val="00AA6442"/>
    <w:rsid w:val="00AB1C97"/>
    <w:rsid w:val="00AB218D"/>
    <w:rsid w:val="00AB587F"/>
    <w:rsid w:val="00AB6C58"/>
    <w:rsid w:val="00AC2878"/>
    <w:rsid w:val="00AC55D2"/>
    <w:rsid w:val="00AC7F33"/>
    <w:rsid w:val="00AD02A9"/>
    <w:rsid w:val="00AD04B6"/>
    <w:rsid w:val="00AD6627"/>
    <w:rsid w:val="00AD7E1C"/>
    <w:rsid w:val="00AE2A98"/>
    <w:rsid w:val="00AF0834"/>
    <w:rsid w:val="00AF43B4"/>
    <w:rsid w:val="00AF6368"/>
    <w:rsid w:val="00AF6F58"/>
    <w:rsid w:val="00B00D76"/>
    <w:rsid w:val="00B01668"/>
    <w:rsid w:val="00B06B42"/>
    <w:rsid w:val="00B07572"/>
    <w:rsid w:val="00B107F3"/>
    <w:rsid w:val="00B2348D"/>
    <w:rsid w:val="00B26437"/>
    <w:rsid w:val="00B31A7E"/>
    <w:rsid w:val="00B44B2B"/>
    <w:rsid w:val="00B54347"/>
    <w:rsid w:val="00B548EE"/>
    <w:rsid w:val="00B603BD"/>
    <w:rsid w:val="00B609DD"/>
    <w:rsid w:val="00B609F2"/>
    <w:rsid w:val="00B6116E"/>
    <w:rsid w:val="00B63246"/>
    <w:rsid w:val="00B70C98"/>
    <w:rsid w:val="00B74691"/>
    <w:rsid w:val="00B768C2"/>
    <w:rsid w:val="00B77C7C"/>
    <w:rsid w:val="00B8376F"/>
    <w:rsid w:val="00B8393E"/>
    <w:rsid w:val="00B8435F"/>
    <w:rsid w:val="00B86DBB"/>
    <w:rsid w:val="00B96E60"/>
    <w:rsid w:val="00BA00E3"/>
    <w:rsid w:val="00BA191F"/>
    <w:rsid w:val="00BA318E"/>
    <w:rsid w:val="00BA34B3"/>
    <w:rsid w:val="00BA491E"/>
    <w:rsid w:val="00BB0F94"/>
    <w:rsid w:val="00BB3A04"/>
    <w:rsid w:val="00BC2BE0"/>
    <w:rsid w:val="00BC7FBE"/>
    <w:rsid w:val="00BD1A88"/>
    <w:rsid w:val="00BD3781"/>
    <w:rsid w:val="00BD40B3"/>
    <w:rsid w:val="00BD47F7"/>
    <w:rsid w:val="00BD48A2"/>
    <w:rsid w:val="00BD4ADE"/>
    <w:rsid w:val="00BE03D5"/>
    <w:rsid w:val="00BE4738"/>
    <w:rsid w:val="00BE7E1D"/>
    <w:rsid w:val="00BF2295"/>
    <w:rsid w:val="00BF265C"/>
    <w:rsid w:val="00BF4803"/>
    <w:rsid w:val="00BF4C1A"/>
    <w:rsid w:val="00BF5C1C"/>
    <w:rsid w:val="00C07CBD"/>
    <w:rsid w:val="00C20CB1"/>
    <w:rsid w:val="00C2204C"/>
    <w:rsid w:val="00C305F5"/>
    <w:rsid w:val="00C33497"/>
    <w:rsid w:val="00C34DDD"/>
    <w:rsid w:val="00C35A27"/>
    <w:rsid w:val="00C37AF5"/>
    <w:rsid w:val="00C44BF0"/>
    <w:rsid w:val="00C44D42"/>
    <w:rsid w:val="00C54ACD"/>
    <w:rsid w:val="00C56258"/>
    <w:rsid w:val="00C56708"/>
    <w:rsid w:val="00C61C1D"/>
    <w:rsid w:val="00C64C29"/>
    <w:rsid w:val="00C67335"/>
    <w:rsid w:val="00C758D5"/>
    <w:rsid w:val="00C7770D"/>
    <w:rsid w:val="00C82D23"/>
    <w:rsid w:val="00C82DCD"/>
    <w:rsid w:val="00C9073C"/>
    <w:rsid w:val="00C93035"/>
    <w:rsid w:val="00C94E8A"/>
    <w:rsid w:val="00C9724D"/>
    <w:rsid w:val="00CA3209"/>
    <w:rsid w:val="00CA4724"/>
    <w:rsid w:val="00CA7D92"/>
    <w:rsid w:val="00CB47D0"/>
    <w:rsid w:val="00CB7C94"/>
    <w:rsid w:val="00CC307E"/>
    <w:rsid w:val="00CC4315"/>
    <w:rsid w:val="00CC5887"/>
    <w:rsid w:val="00CC7191"/>
    <w:rsid w:val="00CE13F2"/>
    <w:rsid w:val="00CE49A8"/>
    <w:rsid w:val="00CF07F0"/>
    <w:rsid w:val="00CF34F5"/>
    <w:rsid w:val="00CF59D2"/>
    <w:rsid w:val="00CF5D87"/>
    <w:rsid w:val="00D0114B"/>
    <w:rsid w:val="00D03933"/>
    <w:rsid w:val="00D04093"/>
    <w:rsid w:val="00D04858"/>
    <w:rsid w:val="00D06ADD"/>
    <w:rsid w:val="00D076B1"/>
    <w:rsid w:val="00D13CD0"/>
    <w:rsid w:val="00D148FE"/>
    <w:rsid w:val="00D159D5"/>
    <w:rsid w:val="00D20B8B"/>
    <w:rsid w:val="00D234CC"/>
    <w:rsid w:val="00D25708"/>
    <w:rsid w:val="00D31D4F"/>
    <w:rsid w:val="00D327E1"/>
    <w:rsid w:val="00D34E75"/>
    <w:rsid w:val="00D35A8E"/>
    <w:rsid w:val="00D40FE3"/>
    <w:rsid w:val="00D43AF6"/>
    <w:rsid w:val="00D43D90"/>
    <w:rsid w:val="00D43E4A"/>
    <w:rsid w:val="00D44D37"/>
    <w:rsid w:val="00D47879"/>
    <w:rsid w:val="00D5350D"/>
    <w:rsid w:val="00D66145"/>
    <w:rsid w:val="00D716AF"/>
    <w:rsid w:val="00D73147"/>
    <w:rsid w:val="00D748A9"/>
    <w:rsid w:val="00D76D14"/>
    <w:rsid w:val="00D81A3F"/>
    <w:rsid w:val="00D83287"/>
    <w:rsid w:val="00D87F96"/>
    <w:rsid w:val="00D90011"/>
    <w:rsid w:val="00D912C7"/>
    <w:rsid w:val="00D91BAB"/>
    <w:rsid w:val="00D94774"/>
    <w:rsid w:val="00DA11AE"/>
    <w:rsid w:val="00DA23D9"/>
    <w:rsid w:val="00DA35F2"/>
    <w:rsid w:val="00DA54C7"/>
    <w:rsid w:val="00DA691A"/>
    <w:rsid w:val="00DB49AB"/>
    <w:rsid w:val="00DB5212"/>
    <w:rsid w:val="00DC125C"/>
    <w:rsid w:val="00DC1260"/>
    <w:rsid w:val="00DC2457"/>
    <w:rsid w:val="00DC38F1"/>
    <w:rsid w:val="00DC4F55"/>
    <w:rsid w:val="00DC6AEA"/>
    <w:rsid w:val="00DD2EC8"/>
    <w:rsid w:val="00DD34C6"/>
    <w:rsid w:val="00DD4E73"/>
    <w:rsid w:val="00DD529D"/>
    <w:rsid w:val="00DD5DA0"/>
    <w:rsid w:val="00DD78F6"/>
    <w:rsid w:val="00DE00CF"/>
    <w:rsid w:val="00DF3FC1"/>
    <w:rsid w:val="00DF40D2"/>
    <w:rsid w:val="00E0210F"/>
    <w:rsid w:val="00E039A0"/>
    <w:rsid w:val="00E05BFF"/>
    <w:rsid w:val="00E0725A"/>
    <w:rsid w:val="00E07710"/>
    <w:rsid w:val="00E1130E"/>
    <w:rsid w:val="00E1379D"/>
    <w:rsid w:val="00E14034"/>
    <w:rsid w:val="00E22EEF"/>
    <w:rsid w:val="00E23401"/>
    <w:rsid w:val="00E2644D"/>
    <w:rsid w:val="00E3173F"/>
    <w:rsid w:val="00E343FC"/>
    <w:rsid w:val="00E34D3C"/>
    <w:rsid w:val="00E34D60"/>
    <w:rsid w:val="00E35088"/>
    <w:rsid w:val="00E35CD0"/>
    <w:rsid w:val="00E60392"/>
    <w:rsid w:val="00E615D9"/>
    <w:rsid w:val="00E660EE"/>
    <w:rsid w:val="00E70513"/>
    <w:rsid w:val="00E75E80"/>
    <w:rsid w:val="00E76468"/>
    <w:rsid w:val="00E82C21"/>
    <w:rsid w:val="00E840D2"/>
    <w:rsid w:val="00E96288"/>
    <w:rsid w:val="00EA6467"/>
    <w:rsid w:val="00EB0FC3"/>
    <w:rsid w:val="00EB4C27"/>
    <w:rsid w:val="00EC0F28"/>
    <w:rsid w:val="00EC68DB"/>
    <w:rsid w:val="00EC6F55"/>
    <w:rsid w:val="00EC70B4"/>
    <w:rsid w:val="00EC7E11"/>
    <w:rsid w:val="00ED1198"/>
    <w:rsid w:val="00ED15E9"/>
    <w:rsid w:val="00ED40E1"/>
    <w:rsid w:val="00ED4666"/>
    <w:rsid w:val="00ED6E75"/>
    <w:rsid w:val="00EE16EB"/>
    <w:rsid w:val="00EE4B5E"/>
    <w:rsid w:val="00EE5F3F"/>
    <w:rsid w:val="00EE718C"/>
    <w:rsid w:val="00EF15B2"/>
    <w:rsid w:val="00EF592B"/>
    <w:rsid w:val="00EF654C"/>
    <w:rsid w:val="00EF75E2"/>
    <w:rsid w:val="00F01756"/>
    <w:rsid w:val="00F037F7"/>
    <w:rsid w:val="00F06C9F"/>
    <w:rsid w:val="00F07DAF"/>
    <w:rsid w:val="00F07F45"/>
    <w:rsid w:val="00F127B2"/>
    <w:rsid w:val="00F1296E"/>
    <w:rsid w:val="00F149B4"/>
    <w:rsid w:val="00F16407"/>
    <w:rsid w:val="00F16998"/>
    <w:rsid w:val="00F17D57"/>
    <w:rsid w:val="00F2107D"/>
    <w:rsid w:val="00F23CE4"/>
    <w:rsid w:val="00F27C36"/>
    <w:rsid w:val="00F30AEA"/>
    <w:rsid w:val="00F32FF9"/>
    <w:rsid w:val="00F33FC5"/>
    <w:rsid w:val="00F34FFF"/>
    <w:rsid w:val="00F35DDE"/>
    <w:rsid w:val="00F3618F"/>
    <w:rsid w:val="00F376F0"/>
    <w:rsid w:val="00F37A0F"/>
    <w:rsid w:val="00F4531F"/>
    <w:rsid w:val="00F45BF5"/>
    <w:rsid w:val="00F51113"/>
    <w:rsid w:val="00F53862"/>
    <w:rsid w:val="00F54516"/>
    <w:rsid w:val="00F636CD"/>
    <w:rsid w:val="00F6474A"/>
    <w:rsid w:val="00F7468A"/>
    <w:rsid w:val="00F75C67"/>
    <w:rsid w:val="00F8207A"/>
    <w:rsid w:val="00F840C1"/>
    <w:rsid w:val="00F85CDC"/>
    <w:rsid w:val="00F863B5"/>
    <w:rsid w:val="00F87CC2"/>
    <w:rsid w:val="00FA1188"/>
    <w:rsid w:val="00FA523B"/>
    <w:rsid w:val="00FA5FCA"/>
    <w:rsid w:val="00FB2D29"/>
    <w:rsid w:val="00FB400D"/>
    <w:rsid w:val="00FB7ACA"/>
    <w:rsid w:val="00FC0B04"/>
    <w:rsid w:val="00FC16E1"/>
    <w:rsid w:val="00FC20AA"/>
    <w:rsid w:val="00FC36DB"/>
    <w:rsid w:val="00FD0ABC"/>
    <w:rsid w:val="00FD0EBD"/>
    <w:rsid w:val="00FD2880"/>
    <w:rsid w:val="00FD294A"/>
    <w:rsid w:val="00FE0A1B"/>
    <w:rsid w:val="00FE5DFC"/>
    <w:rsid w:val="00FE6366"/>
    <w:rsid w:val="00FF0A98"/>
    <w:rsid w:val="00FF1263"/>
    <w:rsid w:val="00FF3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F047"/>
  <w15:chartTrackingRefBased/>
  <w15:docId w15:val="{C26200A0-D044-4FD5-B52C-81B62753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7"/>
  </w:style>
  <w:style w:type="paragraph" w:styleId="1">
    <w:name w:val="heading 1"/>
    <w:basedOn w:val="a"/>
    <w:next w:val="a"/>
    <w:link w:val="10"/>
    <w:uiPriority w:val="9"/>
    <w:qFormat/>
    <w:rsid w:val="00552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64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64D8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A3FD0"/>
  </w:style>
  <w:style w:type="paragraph" w:customStyle="1" w:styleId="rvps2">
    <w:name w:val="rvps2"/>
    <w:basedOn w:val="a"/>
    <w:rsid w:val="006A3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A3FD0"/>
  </w:style>
  <w:style w:type="paragraph" w:styleId="a4">
    <w:name w:val="Balloon Text"/>
    <w:basedOn w:val="a"/>
    <w:link w:val="a5"/>
    <w:uiPriority w:val="99"/>
    <w:semiHidden/>
    <w:unhideWhenUsed/>
    <w:rsid w:val="00D716A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16AF"/>
    <w:rPr>
      <w:rFonts w:ascii="Segoe UI" w:hAnsi="Segoe UI" w:cs="Segoe UI"/>
      <w:sz w:val="18"/>
      <w:szCs w:val="18"/>
    </w:rPr>
  </w:style>
  <w:style w:type="paragraph" w:styleId="a6">
    <w:name w:val="Normal (Web)"/>
    <w:basedOn w:val="a"/>
    <w:uiPriority w:val="99"/>
    <w:unhideWhenUsed/>
    <w:rsid w:val="00C82D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ASBTableTNR">
    <w:name w:val="IASB Table TNR"/>
    <w:basedOn w:val="a"/>
    <w:qFormat/>
    <w:rsid w:val="00446641"/>
    <w:pPr>
      <w:spacing w:before="120" w:after="0" w:line="240" w:lineRule="auto"/>
    </w:pPr>
    <w:rPr>
      <w:rFonts w:ascii="Times New Roman" w:eastAsia="Times New Roman" w:hAnsi="Times New Roman" w:cs="Times New Roman"/>
      <w:sz w:val="19"/>
      <w:szCs w:val="20"/>
      <w:lang w:val="en-GB" w:eastAsia="en-GB"/>
    </w:rPr>
  </w:style>
  <w:style w:type="paragraph" w:customStyle="1" w:styleId="IASBNormalL1">
    <w:name w:val="IASB Normal L1"/>
    <w:basedOn w:val="a"/>
    <w:rsid w:val="00446641"/>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L2">
    <w:name w:val="IASB Normal L2"/>
    <w:basedOn w:val="IASBNormalL1"/>
    <w:rsid w:val="00446641"/>
    <w:pPr>
      <w:ind w:left="1564"/>
    </w:pPr>
  </w:style>
  <w:style w:type="paragraph" w:styleId="a7">
    <w:name w:val="List Paragraph"/>
    <w:basedOn w:val="a"/>
    <w:uiPriority w:val="34"/>
    <w:qFormat/>
    <w:rsid w:val="00446641"/>
    <w:pPr>
      <w:ind w:left="720"/>
      <w:contextualSpacing/>
    </w:pPr>
  </w:style>
  <w:style w:type="paragraph" w:styleId="a8">
    <w:name w:val="header"/>
    <w:basedOn w:val="a"/>
    <w:link w:val="a9"/>
    <w:uiPriority w:val="99"/>
    <w:unhideWhenUsed/>
    <w:rsid w:val="00EC0F2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C0F28"/>
  </w:style>
  <w:style w:type="paragraph" w:styleId="aa">
    <w:name w:val="footer"/>
    <w:basedOn w:val="a"/>
    <w:link w:val="ab"/>
    <w:uiPriority w:val="99"/>
    <w:unhideWhenUsed/>
    <w:rsid w:val="00EC0F2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C0F28"/>
  </w:style>
  <w:style w:type="character" w:customStyle="1" w:styleId="20">
    <w:name w:val="Заголовок 2 Знак"/>
    <w:basedOn w:val="a0"/>
    <w:link w:val="2"/>
    <w:uiPriority w:val="9"/>
    <w:semiHidden/>
    <w:rsid w:val="00664D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64D86"/>
    <w:rPr>
      <w:rFonts w:ascii="Times New Roman" w:eastAsia="Times New Roman" w:hAnsi="Times New Roman" w:cs="Times New Roman"/>
      <w:b/>
      <w:bCs/>
      <w:sz w:val="27"/>
      <w:szCs w:val="27"/>
      <w:lang w:eastAsia="uk-UA"/>
    </w:rPr>
  </w:style>
  <w:style w:type="character" w:styleId="ac">
    <w:name w:val="Hyperlink"/>
    <w:uiPriority w:val="99"/>
    <w:semiHidden/>
    <w:unhideWhenUsed/>
    <w:rsid w:val="005D6E67"/>
    <w:rPr>
      <w:color w:val="0000FF"/>
      <w:u w:val="single"/>
    </w:rPr>
  </w:style>
  <w:style w:type="paragraph" w:styleId="ad">
    <w:name w:val="Revision"/>
    <w:hidden/>
    <w:uiPriority w:val="99"/>
    <w:semiHidden/>
    <w:rsid w:val="00AF6F58"/>
    <w:pPr>
      <w:spacing w:after="0" w:line="240" w:lineRule="auto"/>
    </w:pPr>
  </w:style>
  <w:style w:type="character" w:styleId="ae">
    <w:name w:val="annotation reference"/>
    <w:basedOn w:val="a0"/>
    <w:uiPriority w:val="99"/>
    <w:semiHidden/>
    <w:unhideWhenUsed/>
    <w:rsid w:val="00F127B2"/>
    <w:rPr>
      <w:sz w:val="16"/>
      <w:szCs w:val="16"/>
    </w:rPr>
  </w:style>
  <w:style w:type="paragraph" w:styleId="af">
    <w:name w:val="annotation text"/>
    <w:basedOn w:val="a"/>
    <w:link w:val="af0"/>
    <w:uiPriority w:val="99"/>
    <w:semiHidden/>
    <w:unhideWhenUsed/>
    <w:rsid w:val="00F127B2"/>
    <w:pPr>
      <w:spacing w:line="240" w:lineRule="auto"/>
    </w:pPr>
    <w:rPr>
      <w:sz w:val="20"/>
      <w:szCs w:val="20"/>
    </w:rPr>
  </w:style>
  <w:style w:type="character" w:customStyle="1" w:styleId="af0">
    <w:name w:val="Текст примітки Знак"/>
    <w:basedOn w:val="a0"/>
    <w:link w:val="af"/>
    <w:uiPriority w:val="99"/>
    <w:semiHidden/>
    <w:rsid w:val="00F127B2"/>
    <w:rPr>
      <w:sz w:val="20"/>
      <w:szCs w:val="20"/>
    </w:rPr>
  </w:style>
  <w:style w:type="paragraph" w:styleId="af1">
    <w:name w:val="annotation subject"/>
    <w:basedOn w:val="af"/>
    <w:next w:val="af"/>
    <w:link w:val="af2"/>
    <w:uiPriority w:val="99"/>
    <w:semiHidden/>
    <w:unhideWhenUsed/>
    <w:rsid w:val="00F127B2"/>
    <w:rPr>
      <w:b/>
      <w:bCs/>
    </w:rPr>
  </w:style>
  <w:style w:type="character" w:customStyle="1" w:styleId="af2">
    <w:name w:val="Тема примітки Знак"/>
    <w:basedOn w:val="af0"/>
    <w:link w:val="af1"/>
    <w:uiPriority w:val="99"/>
    <w:semiHidden/>
    <w:rsid w:val="00F127B2"/>
    <w:rPr>
      <w:b/>
      <w:bCs/>
      <w:sz w:val="20"/>
      <w:szCs w:val="20"/>
    </w:rPr>
  </w:style>
  <w:style w:type="character" w:customStyle="1" w:styleId="10">
    <w:name w:val="Заголовок 1 Знак"/>
    <w:basedOn w:val="a0"/>
    <w:link w:val="1"/>
    <w:uiPriority w:val="9"/>
    <w:rsid w:val="005525BD"/>
    <w:rPr>
      <w:rFonts w:asciiTheme="majorHAnsi" w:eastAsiaTheme="majorEastAsia" w:hAnsiTheme="majorHAnsi" w:cstheme="majorBidi"/>
      <w:color w:val="2E74B5" w:themeColor="accent1" w:themeShade="BF"/>
      <w:sz w:val="32"/>
      <w:szCs w:val="32"/>
    </w:rPr>
  </w:style>
  <w:style w:type="paragraph" w:customStyle="1" w:styleId="rvps12">
    <w:name w:val="rvps12"/>
    <w:basedOn w:val="a"/>
    <w:rsid w:val="008954C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341">
      <w:bodyDiv w:val="1"/>
      <w:marLeft w:val="0"/>
      <w:marRight w:val="0"/>
      <w:marTop w:val="0"/>
      <w:marBottom w:val="0"/>
      <w:divBdr>
        <w:top w:val="none" w:sz="0" w:space="0" w:color="auto"/>
        <w:left w:val="none" w:sz="0" w:space="0" w:color="auto"/>
        <w:bottom w:val="none" w:sz="0" w:space="0" w:color="auto"/>
        <w:right w:val="none" w:sz="0" w:space="0" w:color="auto"/>
      </w:divBdr>
    </w:div>
    <w:div w:id="192572277">
      <w:bodyDiv w:val="1"/>
      <w:marLeft w:val="0"/>
      <w:marRight w:val="0"/>
      <w:marTop w:val="0"/>
      <w:marBottom w:val="0"/>
      <w:divBdr>
        <w:top w:val="none" w:sz="0" w:space="0" w:color="auto"/>
        <w:left w:val="none" w:sz="0" w:space="0" w:color="auto"/>
        <w:bottom w:val="none" w:sz="0" w:space="0" w:color="auto"/>
        <w:right w:val="none" w:sz="0" w:space="0" w:color="auto"/>
      </w:divBdr>
      <w:divsChild>
        <w:div w:id="504252251">
          <w:marLeft w:val="0"/>
          <w:marRight w:val="0"/>
          <w:marTop w:val="0"/>
          <w:marBottom w:val="0"/>
          <w:divBdr>
            <w:top w:val="none" w:sz="0" w:space="0" w:color="auto"/>
            <w:left w:val="none" w:sz="0" w:space="0" w:color="auto"/>
            <w:bottom w:val="none" w:sz="0" w:space="0" w:color="auto"/>
            <w:right w:val="none" w:sz="0" w:space="0" w:color="auto"/>
          </w:divBdr>
        </w:div>
        <w:div w:id="1139299875">
          <w:marLeft w:val="0"/>
          <w:marRight w:val="0"/>
          <w:marTop w:val="0"/>
          <w:marBottom w:val="0"/>
          <w:divBdr>
            <w:top w:val="none" w:sz="0" w:space="0" w:color="auto"/>
            <w:left w:val="none" w:sz="0" w:space="0" w:color="auto"/>
            <w:bottom w:val="none" w:sz="0" w:space="0" w:color="auto"/>
            <w:right w:val="none" w:sz="0" w:space="0" w:color="auto"/>
          </w:divBdr>
        </w:div>
        <w:div w:id="1883320276">
          <w:marLeft w:val="0"/>
          <w:marRight w:val="0"/>
          <w:marTop w:val="0"/>
          <w:marBottom w:val="0"/>
          <w:divBdr>
            <w:top w:val="none" w:sz="0" w:space="0" w:color="auto"/>
            <w:left w:val="none" w:sz="0" w:space="0" w:color="auto"/>
            <w:bottom w:val="none" w:sz="0" w:space="0" w:color="auto"/>
            <w:right w:val="none" w:sz="0" w:space="0" w:color="auto"/>
          </w:divBdr>
        </w:div>
        <w:div w:id="1976837514">
          <w:marLeft w:val="0"/>
          <w:marRight w:val="0"/>
          <w:marTop w:val="0"/>
          <w:marBottom w:val="0"/>
          <w:divBdr>
            <w:top w:val="none" w:sz="0" w:space="0" w:color="auto"/>
            <w:left w:val="none" w:sz="0" w:space="0" w:color="auto"/>
            <w:bottom w:val="none" w:sz="0" w:space="0" w:color="auto"/>
            <w:right w:val="none" w:sz="0" w:space="0" w:color="auto"/>
          </w:divBdr>
        </w:div>
        <w:div w:id="2050034024">
          <w:marLeft w:val="0"/>
          <w:marRight w:val="0"/>
          <w:marTop w:val="0"/>
          <w:marBottom w:val="0"/>
          <w:divBdr>
            <w:top w:val="none" w:sz="0" w:space="0" w:color="auto"/>
            <w:left w:val="none" w:sz="0" w:space="0" w:color="auto"/>
            <w:bottom w:val="none" w:sz="0" w:space="0" w:color="auto"/>
            <w:right w:val="none" w:sz="0" w:space="0" w:color="auto"/>
          </w:divBdr>
        </w:div>
      </w:divsChild>
    </w:div>
    <w:div w:id="203834422">
      <w:bodyDiv w:val="1"/>
      <w:marLeft w:val="0"/>
      <w:marRight w:val="0"/>
      <w:marTop w:val="0"/>
      <w:marBottom w:val="0"/>
      <w:divBdr>
        <w:top w:val="none" w:sz="0" w:space="0" w:color="auto"/>
        <w:left w:val="none" w:sz="0" w:space="0" w:color="auto"/>
        <w:bottom w:val="none" w:sz="0" w:space="0" w:color="auto"/>
        <w:right w:val="none" w:sz="0" w:space="0" w:color="auto"/>
      </w:divBdr>
      <w:divsChild>
        <w:div w:id="1797212122">
          <w:marLeft w:val="0"/>
          <w:marRight w:val="0"/>
          <w:marTop w:val="0"/>
          <w:marBottom w:val="0"/>
          <w:divBdr>
            <w:top w:val="none" w:sz="0" w:space="0" w:color="auto"/>
            <w:left w:val="none" w:sz="0" w:space="0" w:color="auto"/>
            <w:bottom w:val="none" w:sz="0" w:space="0" w:color="auto"/>
            <w:right w:val="none" w:sz="0" w:space="0" w:color="auto"/>
          </w:divBdr>
        </w:div>
      </w:divsChild>
    </w:div>
    <w:div w:id="248126996">
      <w:bodyDiv w:val="1"/>
      <w:marLeft w:val="0"/>
      <w:marRight w:val="0"/>
      <w:marTop w:val="0"/>
      <w:marBottom w:val="0"/>
      <w:divBdr>
        <w:top w:val="none" w:sz="0" w:space="0" w:color="auto"/>
        <w:left w:val="none" w:sz="0" w:space="0" w:color="auto"/>
        <w:bottom w:val="none" w:sz="0" w:space="0" w:color="auto"/>
        <w:right w:val="none" w:sz="0" w:space="0" w:color="auto"/>
      </w:divBdr>
    </w:div>
    <w:div w:id="369451805">
      <w:bodyDiv w:val="1"/>
      <w:marLeft w:val="0"/>
      <w:marRight w:val="0"/>
      <w:marTop w:val="0"/>
      <w:marBottom w:val="0"/>
      <w:divBdr>
        <w:top w:val="none" w:sz="0" w:space="0" w:color="auto"/>
        <w:left w:val="none" w:sz="0" w:space="0" w:color="auto"/>
        <w:bottom w:val="none" w:sz="0" w:space="0" w:color="auto"/>
        <w:right w:val="none" w:sz="0" w:space="0" w:color="auto"/>
      </w:divBdr>
    </w:div>
    <w:div w:id="378895199">
      <w:bodyDiv w:val="1"/>
      <w:marLeft w:val="0"/>
      <w:marRight w:val="0"/>
      <w:marTop w:val="0"/>
      <w:marBottom w:val="0"/>
      <w:divBdr>
        <w:top w:val="none" w:sz="0" w:space="0" w:color="auto"/>
        <w:left w:val="none" w:sz="0" w:space="0" w:color="auto"/>
        <w:bottom w:val="none" w:sz="0" w:space="0" w:color="auto"/>
        <w:right w:val="none" w:sz="0" w:space="0" w:color="auto"/>
      </w:divBdr>
    </w:div>
    <w:div w:id="512963018">
      <w:bodyDiv w:val="1"/>
      <w:marLeft w:val="0"/>
      <w:marRight w:val="0"/>
      <w:marTop w:val="0"/>
      <w:marBottom w:val="0"/>
      <w:divBdr>
        <w:top w:val="none" w:sz="0" w:space="0" w:color="auto"/>
        <w:left w:val="none" w:sz="0" w:space="0" w:color="auto"/>
        <w:bottom w:val="none" w:sz="0" w:space="0" w:color="auto"/>
        <w:right w:val="none" w:sz="0" w:space="0" w:color="auto"/>
      </w:divBdr>
    </w:div>
    <w:div w:id="515004405">
      <w:bodyDiv w:val="1"/>
      <w:marLeft w:val="0"/>
      <w:marRight w:val="0"/>
      <w:marTop w:val="0"/>
      <w:marBottom w:val="0"/>
      <w:divBdr>
        <w:top w:val="none" w:sz="0" w:space="0" w:color="auto"/>
        <w:left w:val="none" w:sz="0" w:space="0" w:color="auto"/>
        <w:bottom w:val="none" w:sz="0" w:space="0" w:color="auto"/>
        <w:right w:val="none" w:sz="0" w:space="0" w:color="auto"/>
      </w:divBdr>
    </w:div>
    <w:div w:id="787554849">
      <w:bodyDiv w:val="1"/>
      <w:marLeft w:val="0"/>
      <w:marRight w:val="0"/>
      <w:marTop w:val="0"/>
      <w:marBottom w:val="0"/>
      <w:divBdr>
        <w:top w:val="none" w:sz="0" w:space="0" w:color="auto"/>
        <w:left w:val="none" w:sz="0" w:space="0" w:color="auto"/>
        <w:bottom w:val="none" w:sz="0" w:space="0" w:color="auto"/>
        <w:right w:val="none" w:sz="0" w:space="0" w:color="auto"/>
      </w:divBdr>
    </w:div>
    <w:div w:id="945621164">
      <w:bodyDiv w:val="1"/>
      <w:marLeft w:val="0"/>
      <w:marRight w:val="0"/>
      <w:marTop w:val="0"/>
      <w:marBottom w:val="0"/>
      <w:divBdr>
        <w:top w:val="none" w:sz="0" w:space="0" w:color="auto"/>
        <w:left w:val="none" w:sz="0" w:space="0" w:color="auto"/>
        <w:bottom w:val="none" w:sz="0" w:space="0" w:color="auto"/>
        <w:right w:val="none" w:sz="0" w:space="0" w:color="auto"/>
      </w:divBdr>
      <w:divsChild>
        <w:div w:id="1092042912">
          <w:marLeft w:val="0"/>
          <w:marRight w:val="0"/>
          <w:marTop w:val="0"/>
          <w:marBottom w:val="0"/>
          <w:divBdr>
            <w:top w:val="none" w:sz="0" w:space="0" w:color="auto"/>
            <w:left w:val="none" w:sz="0" w:space="0" w:color="auto"/>
            <w:bottom w:val="none" w:sz="0" w:space="0" w:color="auto"/>
            <w:right w:val="none" w:sz="0" w:space="0" w:color="auto"/>
          </w:divBdr>
        </w:div>
        <w:div w:id="1337541026">
          <w:marLeft w:val="0"/>
          <w:marRight w:val="0"/>
          <w:marTop w:val="0"/>
          <w:marBottom w:val="0"/>
          <w:divBdr>
            <w:top w:val="none" w:sz="0" w:space="0" w:color="auto"/>
            <w:left w:val="none" w:sz="0" w:space="0" w:color="auto"/>
            <w:bottom w:val="none" w:sz="0" w:space="0" w:color="auto"/>
            <w:right w:val="none" w:sz="0" w:space="0" w:color="auto"/>
          </w:divBdr>
        </w:div>
        <w:div w:id="1778015881">
          <w:marLeft w:val="0"/>
          <w:marRight w:val="0"/>
          <w:marTop w:val="0"/>
          <w:marBottom w:val="0"/>
          <w:divBdr>
            <w:top w:val="none" w:sz="0" w:space="0" w:color="auto"/>
            <w:left w:val="none" w:sz="0" w:space="0" w:color="auto"/>
            <w:bottom w:val="none" w:sz="0" w:space="0" w:color="auto"/>
            <w:right w:val="none" w:sz="0" w:space="0" w:color="auto"/>
          </w:divBdr>
        </w:div>
        <w:div w:id="1952667065">
          <w:marLeft w:val="0"/>
          <w:marRight w:val="0"/>
          <w:marTop w:val="0"/>
          <w:marBottom w:val="0"/>
          <w:divBdr>
            <w:top w:val="none" w:sz="0" w:space="0" w:color="auto"/>
            <w:left w:val="none" w:sz="0" w:space="0" w:color="auto"/>
            <w:bottom w:val="none" w:sz="0" w:space="0" w:color="auto"/>
            <w:right w:val="none" w:sz="0" w:space="0" w:color="auto"/>
          </w:divBdr>
        </w:div>
      </w:divsChild>
    </w:div>
    <w:div w:id="984551782">
      <w:bodyDiv w:val="1"/>
      <w:marLeft w:val="0"/>
      <w:marRight w:val="0"/>
      <w:marTop w:val="0"/>
      <w:marBottom w:val="0"/>
      <w:divBdr>
        <w:top w:val="none" w:sz="0" w:space="0" w:color="auto"/>
        <w:left w:val="none" w:sz="0" w:space="0" w:color="auto"/>
        <w:bottom w:val="none" w:sz="0" w:space="0" w:color="auto"/>
        <w:right w:val="none" w:sz="0" w:space="0" w:color="auto"/>
      </w:divBdr>
      <w:divsChild>
        <w:div w:id="409619736">
          <w:marLeft w:val="0"/>
          <w:marRight w:val="0"/>
          <w:marTop w:val="0"/>
          <w:marBottom w:val="0"/>
          <w:divBdr>
            <w:top w:val="none" w:sz="0" w:space="0" w:color="auto"/>
            <w:left w:val="none" w:sz="0" w:space="0" w:color="auto"/>
            <w:bottom w:val="none" w:sz="0" w:space="0" w:color="auto"/>
            <w:right w:val="none" w:sz="0" w:space="0" w:color="auto"/>
          </w:divBdr>
        </w:div>
        <w:div w:id="730692802">
          <w:marLeft w:val="0"/>
          <w:marRight w:val="0"/>
          <w:marTop w:val="0"/>
          <w:marBottom w:val="0"/>
          <w:divBdr>
            <w:top w:val="none" w:sz="0" w:space="0" w:color="auto"/>
            <w:left w:val="none" w:sz="0" w:space="0" w:color="auto"/>
            <w:bottom w:val="none" w:sz="0" w:space="0" w:color="auto"/>
            <w:right w:val="none" w:sz="0" w:space="0" w:color="auto"/>
          </w:divBdr>
        </w:div>
        <w:div w:id="1107233653">
          <w:marLeft w:val="0"/>
          <w:marRight w:val="0"/>
          <w:marTop w:val="0"/>
          <w:marBottom w:val="0"/>
          <w:divBdr>
            <w:top w:val="none" w:sz="0" w:space="0" w:color="auto"/>
            <w:left w:val="none" w:sz="0" w:space="0" w:color="auto"/>
            <w:bottom w:val="none" w:sz="0" w:space="0" w:color="auto"/>
            <w:right w:val="none" w:sz="0" w:space="0" w:color="auto"/>
          </w:divBdr>
        </w:div>
      </w:divsChild>
    </w:div>
    <w:div w:id="1053045835">
      <w:bodyDiv w:val="1"/>
      <w:marLeft w:val="0"/>
      <w:marRight w:val="0"/>
      <w:marTop w:val="0"/>
      <w:marBottom w:val="0"/>
      <w:divBdr>
        <w:top w:val="none" w:sz="0" w:space="0" w:color="auto"/>
        <w:left w:val="none" w:sz="0" w:space="0" w:color="auto"/>
        <w:bottom w:val="none" w:sz="0" w:space="0" w:color="auto"/>
        <w:right w:val="none" w:sz="0" w:space="0" w:color="auto"/>
      </w:divBdr>
    </w:div>
    <w:div w:id="1201935945">
      <w:bodyDiv w:val="1"/>
      <w:marLeft w:val="0"/>
      <w:marRight w:val="0"/>
      <w:marTop w:val="0"/>
      <w:marBottom w:val="0"/>
      <w:divBdr>
        <w:top w:val="none" w:sz="0" w:space="0" w:color="auto"/>
        <w:left w:val="none" w:sz="0" w:space="0" w:color="auto"/>
        <w:bottom w:val="none" w:sz="0" w:space="0" w:color="auto"/>
        <w:right w:val="none" w:sz="0" w:space="0" w:color="auto"/>
      </w:divBdr>
      <w:divsChild>
        <w:div w:id="656960261">
          <w:marLeft w:val="0"/>
          <w:marRight w:val="0"/>
          <w:marTop w:val="0"/>
          <w:marBottom w:val="0"/>
          <w:divBdr>
            <w:top w:val="none" w:sz="0" w:space="0" w:color="auto"/>
            <w:left w:val="none" w:sz="0" w:space="0" w:color="auto"/>
            <w:bottom w:val="none" w:sz="0" w:space="0" w:color="auto"/>
            <w:right w:val="none" w:sz="0" w:space="0" w:color="auto"/>
          </w:divBdr>
        </w:div>
        <w:div w:id="1176188704">
          <w:marLeft w:val="0"/>
          <w:marRight w:val="0"/>
          <w:marTop w:val="0"/>
          <w:marBottom w:val="0"/>
          <w:divBdr>
            <w:top w:val="none" w:sz="0" w:space="0" w:color="auto"/>
            <w:left w:val="none" w:sz="0" w:space="0" w:color="auto"/>
            <w:bottom w:val="none" w:sz="0" w:space="0" w:color="auto"/>
            <w:right w:val="none" w:sz="0" w:space="0" w:color="auto"/>
          </w:divBdr>
        </w:div>
        <w:div w:id="1437291339">
          <w:marLeft w:val="0"/>
          <w:marRight w:val="0"/>
          <w:marTop w:val="0"/>
          <w:marBottom w:val="0"/>
          <w:divBdr>
            <w:top w:val="none" w:sz="0" w:space="0" w:color="auto"/>
            <w:left w:val="none" w:sz="0" w:space="0" w:color="auto"/>
            <w:bottom w:val="none" w:sz="0" w:space="0" w:color="auto"/>
            <w:right w:val="none" w:sz="0" w:space="0" w:color="auto"/>
          </w:divBdr>
        </w:div>
        <w:div w:id="1817717641">
          <w:marLeft w:val="0"/>
          <w:marRight w:val="0"/>
          <w:marTop w:val="0"/>
          <w:marBottom w:val="0"/>
          <w:divBdr>
            <w:top w:val="none" w:sz="0" w:space="0" w:color="auto"/>
            <w:left w:val="none" w:sz="0" w:space="0" w:color="auto"/>
            <w:bottom w:val="none" w:sz="0" w:space="0" w:color="auto"/>
            <w:right w:val="none" w:sz="0" w:space="0" w:color="auto"/>
          </w:divBdr>
        </w:div>
        <w:div w:id="1924996122">
          <w:marLeft w:val="0"/>
          <w:marRight w:val="0"/>
          <w:marTop w:val="0"/>
          <w:marBottom w:val="0"/>
          <w:divBdr>
            <w:top w:val="none" w:sz="0" w:space="0" w:color="auto"/>
            <w:left w:val="none" w:sz="0" w:space="0" w:color="auto"/>
            <w:bottom w:val="none" w:sz="0" w:space="0" w:color="auto"/>
            <w:right w:val="none" w:sz="0" w:space="0" w:color="auto"/>
          </w:divBdr>
        </w:div>
      </w:divsChild>
    </w:div>
    <w:div w:id="1219824293">
      <w:bodyDiv w:val="1"/>
      <w:marLeft w:val="0"/>
      <w:marRight w:val="0"/>
      <w:marTop w:val="0"/>
      <w:marBottom w:val="0"/>
      <w:divBdr>
        <w:top w:val="none" w:sz="0" w:space="0" w:color="auto"/>
        <w:left w:val="none" w:sz="0" w:space="0" w:color="auto"/>
        <w:bottom w:val="none" w:sz="0" w:space="0" w:color="auto"/>
        <w:right w:val="none" w:sz="0" w:space="0" w:color="auto"/>
      </w:divBdr>
      <w:divsChild>
        <w:div w:id="192037997">
          <w:marLeft w:val="0"/>
          <w:marRight w:val="0"/>
          <w:marTop w:val="0"/>
          <w:marBottom w:val="0"/>
          <w:divBdr>
            <w:top w:val="none" w:sz="0" w:space="0" w:color="auto"/>
            <w:left w:val="none" w:sz="0" w:space="0" w:color="auto"/>
            <w:bottom w:val="none" w:sz="0" w:space="0" w:color="auto"/>
            <w:right w:val="none" w:sz="0" w:space="0" w:color="auto"/>
          </w:divBdr>
        </w:div>
        <w:div w:id="560216211">
          <w:marLeft w:val="0"/>
          <w:marRight w:val="0"/>
          <w:marTop w:val="0"/>
          <w:marBottom w:val="0"/>
          <w:divBdr>
            <w:top w:val="none" w:sz="0" w:space="0" w:color="auto"/>
            <w:left w:val="none" w:sz="0" w:space="0" w:color="auto"/>
            <w:bottom w:val="none" w:sz="0" w:space="0" w:color="auto"/>
            <w:right w:val="none" w:sz="0" w:space="0" w:color="auto"/>
          </w:divBdr>
        </w:div>
        <w:div w:id="586765930">
          <w:marLeft w:val="0"/>
          <w:marRight w:val="0"/>
          <w:marTop w:val="0"/>
          <w:marBottom w:val="0"/>
          <w:divBdr>
            <w:top w:val="none" w:sz="0" w:space="0" w:color="auto"/>
            <w:left w:val="none" w:sz="0" w:space="0" w:color="auto"/>
            <w:bottom w:val="none" w:sz="0" w:space="0" w:color="auto"/>
            <w:right w:val="none" w:sz="0" w:space="0" w:color="auto"/>
          </w:divBdr>
        </w:div>
        <w:div w:id="1097555187">
          <w:marLeft w:val="0"/>
          <w:marRight w:val="0"/>
          <w:marTop w:val="0"/>
          <w:marBottom w:val="0"/>
          <w:divBdr>
            <w:top w:val="none" w:sz="0" w:space="0" w:color="auto"/>
            <w:left w:val="none" w:sz="0" w:space="0" w:color="auto"/>
            <w:bottom w:val="none" w:sz="0" w:space="0" w:color="auto"/>
            <w:right w:val="none" w:sz="0" w:space="0" w:color="auto"/>
          </w:divBdr>
        </w:div>
        <w:div w:id="1275673739">
          <w:marLeft w:val="0"/>
          <w:marRight w:val="0"/>
          <w:marTop w:val="0"/>
          <w:marBottom w:val="0"/>
          <w:divBdr>
            <w:top w:val="none" w:sz="0" w:space="0" w:color="auto"/>
            <w:left w:val="none" w:sz="0" w:space="0" w:color="auto"/>
            <w:bottom w:val="none" w:sz="0" w:space="0" w:color="auto"/>
            <w:right w:val="none" w:sz="0" w:space="0" w:color="auto"/>
          </w:divBdr>
        </w:div>
        <w:div w:id="1709793404">
          <w:marLeft w:val="0"/>
          <w:marRight w:val="0"/>
          <w:marTop w:val="0"/>
          <w:marBottom w:val="0"/>
          <w:divBdr>
            <w:top w:val="none" w:sz="0" w:space="0" w:color="auto"/>
            <w:left w:val="none" w:sz="0" w:space="0" w:color="auto"/>
            <w:bottom w:val="none" w:sz="0" w:space="0" w:color="auto"/>
            <w:right w:val="none" w:sz="0" w:space="0" w:color="auto"/>
          </w:divBdr>
        </w:div>
      </w:divsChild>
    </w:div>
    <w:div w:id="1221668892">
      <w:bodyDiv w:val="1"/>
      <w:marLeft w:val="0"/>
      <w:marRight w:val="0"/>
      <w:marTop w:val="0"/>
      <w:marBottom w:val="0"/>
      <w:divBdr>
        <w:top w:val="none" w:sz="0" w:space="0" w:color="auto"/>
        <w:left w:val="none" w:sz="0" w:space="0" w:color="auto"/>
        <w:bottom w:val="none" w:sz="0" w:space="0" w:color="auto"/>
        <w:right w:val="none" w:sz="0" w:space="0" w:color="auto"/>
      </w:divBdr>
      <w:divsChild>
        <w:div w:id="638001817">
          <w:marLeft w:val="0"/>
          <w:marRight w:val="0"/>
          <w:marTop w:val="0"/>
          <w:marBottom w:val="0"/>
          <w:divBdr>
            <w:top w:val="none" w:sz="0" w:space="0" w:color="auto"/>
            <w:left w:val="none" w:sz="0" w:space="0" w:color="auto"/>
            <w:bottom w:val="none" w:sz="0" w:space="0" w:color="auto"/>
            <w:right w:val="none" w:sz="0" w:space="0" w:color="auto"/>
          </w:divBdr>
        </w:div>
        <w:div w:id="1494880231">
          <w:marLeft w:val="0"/>
          <w:marRight w:val="0"/>
          <w:marTop w:val="0"/>
          <w:marBottom w:val="0"/>
          <w:divBdr>
            <w:top w:val="none" w:sz="0" w:space="0" w:color="auto"/>
            <w:left w:val="none" w:sz="0" w:space="0" w:color="auto"/>
            <w:bottom w:val="none" w:sz="0" w:space="0" w:color="auto"/>
            <w:right w:val="none" w:sz="0" w:space="0" w:color="auto"/>
          </w:divBdr>
        </w:div>
        <w:div w:id="1600408620">
          <w:marLeft w:val="0"/>
          <w:marRight w:val="0"/>
          <w:marTop w:val="0"/>
          <w:marBottom w:val="0"/>
          <w:divBdr>
            <w:top w:val="none" w:sz="0" w:space="0" w:color="auto"/>
            <w:left w:val="none" w:sz="0" w:space="0" w:color="auto"/>
            <w:bottom w:val="none" w:sz="0" w:space="0" w:color="auto"/>
            <w:right w:val="none" w:sz="0" w:space="0" w:color="auto"/>
          </w:divBdr>
        </w:div>
        <w:div w:id="2017615017">
          <w:marLeft w:val="0"/>
          <w:marRight w:val="0"/>
          <w:marTop w:val="0"/>
          <w:marBottom w:val="0"/>
          <w:divBdr>
            <w:top w:val="none" w:sz="0" w:space="0" w:color="auto"/>
            <w:left w:val="none" w:sz="0" w:space="0" w:color="auto"/>
            <w:bottom w:val="none" w:sz="0" w:space="0" w:color="auto"/>
            <w:right w:val="none" w:sz="0" w:space="0" w:color="auto"/>
          </w:divBdr>
        </w:div>
      </w:divsChild>
    </w:div>
    <w:div w:id="1267008581">
      <w:bodyDiv w:val="1"/>
      <w:marLeft w:val="0"/>
      <w:marRight w:val="0"/>
      <w:marTop w:val="0"/>
      <w:marBottom w:val="0"/>
      <w:divBdr>
        <w:top w:val="none" w:sz="0" w:space="0" w:color="auto"/>
        <w:left w:val="none" w:sz="0" w:space="0" w:color="auto"/>
        <w:bottom w:val="none" w:sz="0" w:space="0" w:color="auto"/>
        <w:right w:val="none" w:sz="0" w:space="0" w:color="auto"/>
      </w:divBdr>
      <w:divsChild>
        <w:div w:id="43023384">
          <w:marLeft w:val="0"/>
          <w:marRight w:val="0"/>
          <w:marTop w:val="0"/>
          <w:marBottom w:val="0"/>
          <w:divBdr>
            <w:top w:val="none" w:sz="0" w:space="0" w:color="auto"/>
            <w:left w:val="none" w:sz="0" w:space="0" w:color="auto"/>
            <w:bottom w:val="none" w:sz="0" w:space="0" w:color="auto"/>
            <w:right w:val="none" w:sz="0" w:space="0" w:color="auto"/>
          </w:divBdr>
        </w:div>
      </w:divsChild>
    </w:div>
    <w:div w:id="1309475456">
      <w:bodyDiv w:val="1"/>
      <w:marLeft w:val="0"/>
      <w:marRight w:val="0"/>
      <w:marTop w:val="0"/>
      <w:marBottom w:val="0"/>
      <w:divBdr>
        <w:top w:val="none" w:sz="0" w:space="0" w:color="auto"/>
        <w:left w:val="none" w:sz="0" w:space="0" w:color="auto"/>
        <w:bottom w:val="none" w:sz="0" w:space="0" w:color="auto"/>
        <w:right w:val="none" w:sz="0" w:space="0" w:color="auto"/>
      </w:divBdr>
      <w:divsChild>
        <w:div w:id="684790681">
          <w:marLeft w:val="0"/>
          <w:marRight w:val="0"/>
          <w:marTop w:val="0"/>
          <w:marBottom w:val="0"/>
          <w:divBdr>
            <w:top w:val="none" w:sz="0" w:space="0" w:color="auto"/>
            <w:left w:val="none" w:sz="0" w:space="0" w:color="auto"/>
            <w:bottom w:val="none" w:sz="0" w:space="0" w:color="auto"/>
            <w:right w:val="none" w:sz="0" w:space="0" w:color="auto"/>
          </w:divBdr>
        </w:div>
        <w:div w:id="1055814702">
          <w:marLeft w:val="0"/>
          <w:marRight w:val="0"/>
          <w:marTop w:val="0"/>
          <w:marBottom w:val="0"/>
          <w:divBdr>
            <w:top w:val="none" w:sz="0" w:space="0" w:color="auto"/>
            <w:left w:val="none" w:sz="0" w:space="0" w:color="auto"/>
            <w:bottom w:val="none" w:sz="0" w:space="0" w:color="auto"/>
            <w:right w:val="none" w:sz="0" w:space="0" w:color="auto"/>
          </w:divBdr>
        </w:div>
        <w:div w:id="1340161524">
          <w:marLeft w:val="0"/>
          <w:marRight w:val="0"/>
          <w:marTop w:val="0"/>
          <w:marBottom w:val="0"/>
          <w:divBdr>
            <w:top w:val="none" w:sz="0" w:space="0" w:color="auto"/>
            <w:left w:val="none" w:sz="0" w:space="0" w:color="auto"/>
            <w:bottom w:val="none" w:sz="0" w:space="0" w:color="auto"/>
            <w:right w:val="none" w:sz="0" w:space="0" w:color="auto"/>
          </w:divBdr>
        </w:div>
      </w:divsChild>
    </w:div>
    <w:div w:id="1333409139">
      <w:bodyDiv w:val="1"/>
      <w:marLeft w:val="0"/>
      <w:marRight w:val="0"/>
      <w:marTop w:val="0"/>
      <w:marBottom w:val="0"/>
      <w:divBdr>
        <w:top w:val="none" w:sz="0" w:space="0" w:color="auto"/>
        <w:left w:val="none" w:sz="0" w:space="0" w:color="auto"/>
        <w:bottom w:val="none" w:sz="0" w:space="0" w:color="auto"/>
        <w:right w:val="none" w:sz="0" w:space="0" w:color="auto"/>
      </w:divBdr>
      <w:divsChild>
        <w:div w:id="184057242">
          <w:marLeft w:val="0"/>
          <w:marRight w:val="0"/>
          <w:marTop w:val="0"/>
          <w:marBottom w:val="0"/>
          <w:divBdr>
            <w:top w:val="none" w:sz="0" w:space="0" w:color="auto"/>
            <w:left w:val="none" w:sz="0" w:space="0" w:color="auto"/>
            <w:bottom w:val="none" w:sz="0" w:space="0" w:color="auto"/>
            <w:right w:val="none" w:sz="0" w:space="0" w:color="auto"/>
          </w:divBdr>
        </w:div>
        <w:div w:id="406996442">
          <w:marLeft w:val="0"/>
          <w:marRight w:val="0"/>
          <w:marTop w:val="0"/>
          <w:marBottom w:val="0"/>
          <w:divBdr>
            <w:top w:val="none" w:sz="0" w:space="0" w:color="auto"/>
            <w:left w:val="none" w:sz="0" w:space="0" w:color="auto"/>
            <w:bottom w:val="none" w:sz="0" w:space="0" w:color="auto"/>
            <w:right w:val="none" w:sz="0" w:space="0" w:color="auto"/>
          </w:divBdr>
        </w:div>
        <w:div w:id="549153560">
          <w:marLeft w:val="0"/>
          <w:marRight w:val="0"/>
          <w:marTop w:val="0"/>
          <w:marBottom w:val="0"/>
          <w:divBdr>
            <w:top w:val="none" w:sz="0" w:space="0" w:color="auto"/>
            <w:left w:val="none" w:sz="0" w:space="0" w:color="auto"/>
            <w:bottom w:val="none" w:sz="0" w:space="0" w:color="auto"/>
            <w:right w:val="none" w:sz="0" w:space="0" w:color="auto"/>
          </w:divBdr>
        </w:div>
        <w:div w:id="1670325154">
          <w:marLeft w:val="0"/>
          <w:marRight w:val="0"/>
          <w:marTop w:val="0"/>
          <w:marBottom w:val="0"/>
          <w:divBdr>
            <w:top w:val="none" w:sz="0" w:space="0" w:color="auto"/>
            <w:left w:val="none" w:sz="0" w:space="0" w:color="auto"/>
            <w:bottom w:val="none" w:sz="0" w:space="0" w:color="auto"/>
            <w:right w:val="none" w:sz="0" w:space="0" w:color="auto"/>
          </w:divBdr>
        </w:div>
      </w:divsChild>
    </w:div>
    <w:div w:id="1344747673">
      <w:bodyDiv w:val="1"/>
      <w:marLeft w:val="0"/>
      <w:marRight w:val="0"/>
      <w:marTop w:val="0"/>
      <w:marBottom w:val="0"/>
      <w:divBdr>
        <w:top w:val="none" w:sz="0" w:space="0" w:color="auto"/>
        <w:left w:val="none" w:sz="0" w:space="0" w:color="auto"/>
        <w:bottom w:val="none" w:sz="0" w:space="0" w:color="auto"/>
        <w:right w:val="none" w:sz="0" w:space="0" w:color="auto"/>
      </w:divBdr>
    </w:div>
    <w:div w:id="1363483405">
      <w:bodyDiv w:val="1"/>
      <w:marLeft w:val="0"/>
      <w:marRight w:val="0"/>
      <w:marTop w:val="0"/>
      <w:marBottom w:val="0"/>
      <w:divBdr>
        <w:top w:val="none" w:sz="0" w:space="0" w:color="auto"/>
        <w:left w:val="none" w:sz="0" w:space="0" w:color="auto"/>
        <w:bottom w:val="none" w:sz="0" w:space="0" w:color="auto"/>
        <w:right w:val="none" w:sz="0" w:space="0" w:color="auto"/>
      </w:divBdr>
      <w:divsChild>
        <w:div w:id="29113358">
          <w:marLeft w:val="0"/>
          <w:marRight w:val="0"/>
          <w:marTop w:val="0"/>
          <w:marBottom w:val="0"/>
          <w:divBdr>
            <w:top w:val="none" w:sz="0" w:space="0" w:color="auto"/>
            <w:left w:val="none" w:sz="0" w:space="0" w:color="auto"/>
            <w:bottom w:val="none" w:sz="0" w:space="0" w:color="auto"/>
            <w:right w:val="none" w:sz="0" w:space="0" w:color="auto"/>
          </w:divBdr>
        </w:div>
        <w:div w:id="248538319">
          <w:marLeft w:val="0"/>
          <w:marRight w:val="0"/>
          <w:marTop w:val="0"/>
          <w:marBottom w:val="0"/>
          <w:divBdr>
            <w:top w:val="none" w:sz="0" w:space="0" w:color="auto"/>
            <w:left w:val="none" w:sz="0" w:space="0" w:color="auto"/>
            <w:bottom w:val="none" w:sz="0" w:space="0" w:color="auto"/>
            <w:right w:val="none" w:sz="0" w:space="0" w:color="auto"/>
          </w:divBdr>
        </w:div>
        <w:div w:id="2011638362">
          <w:marLeft w:val="0"/>
          <w:marRight w:val="0"/>
          <w:marTop w:val="0"/>
          <w:marBottom w:val="0"/>
          <w:divBdr>
            <w:top w:val="none" w:sz="0" w:space="0" w:color="auto"/>
            <w:left w:val="none" w:sz="0" w:space="0" w:color="auto"/>
            <w:bottom w:val="none" w:sz="0" w:space="0" w:color="auto"/>
            <w:right w:val="none" w:sz="0" w:space="0" w:color="auto"/>
          </w:divBdr>
        </w:div>
        <w:div w:id="2067101511">
          <w:marLeft w:val="0"/>
          <w:marRight w:val="0"/>
          <w:marTop w:val="0"/>
          <w:marBottom w:val="0"/>
          <w:divBdr>
            <w:top w:val="none" w:sz="0" w:space="0" w:color="auto"/>
            <w:left w:val="none" w:sz="0" w:space="0" w:color="auto"/>
            <w:bottom w:val="none" w:sz="0" w:space="0" w:color="auto"/>
            <w:right w:val="none" w:sz="0" w:space="0" w:color="auto"/>
          </w:divBdr>
        </w:div>
      </w:divsChild>
    </w:div>
    <w:div w:id="1395811996">
      <w:bodyDiv w:val="1"/>
      <w:marLeft w:val="0"/>
      <w:marRight w:val="0"/>
      <w:marTop w:val="0"/>
      <w:marBottom w:val="0"/>
      <w:divBdr>
        <w:top w:val="none" w:sz="0" w:space="0" w:color="auto"/>
        <w:left w:val="none" w:sz="0" w:space="0" w:color="auto"/>
        <w:bottom w:val="none" w:sz="0" w:space="0" w:color="auto"/>
        <w:right w:val="none" w:sz="0" w:space="0" w:color="auto"/>
      </w:divBdr>
    </w:div>
    <w:div w:id="1465197256">
      <w:bodyDiv w:val="1"/>
      <w:marLeft w:val="0"/>
      <w:marRight w:val="0"/>
      <w:marTop w:val="0"/>
      <w:marBottom w:val="0"/>
      <w:divBdr>
        <w:top w:val="none" w:sz="0" w:space="0" w:color="auto"/>
        <w:left w:val="none" w:sz="0" w:space="0" w:color="auto"/>
        <w:bottom w:val="none" w:sz="0" w:space="0" w:color="auto"/>
        <w:right w:val="none" w:sz="0" w:space="0" w:color="auto"/>
      </w:divBdr>
      <w:divsChild>
        <w:div w:id="156265583">
          <w:marLeft w:val="0"/>
          <w:marRight w:val="0"/>
          <w:marTop w:val="0"/>
          <w:marBottom w:val="0"/>
          <w:divBdr>
            <w:top w:val="none" w:sz="0" w:space="0" w:color="auto"/>
            <w:left w:val="none" w:sz="0" w:space="0" w:color="auto"/>
            <w:bottom w:val="none" w:sz="0" w:space="0" w:color="auto"/>
            <w:right w:val="none" w:sz="0" w:space="0" w:color="auto"/>
          </w:divBdr>
        </w:div>
        <w:div w:id="338699699">
          <w:marLeft w:val="0"/>
          <w:marRight w:val="0"/>
          <w:marTop w:val="0"/>
          <w:marBottom w:val="0"/>
          <w:divBdr>
            <w:top w:val="none" w:sz="0" w:space="0" w:color="auto"/>
            <w:left w:val="none" w:sz="0" w:space="0" w:color="auto"/>
            <w:bottom w:val="none" w:sz="0" w:space="0" w:color="auto"/>
            <w:right w:val="none" w:sz="0" w:space="0" w:color="auto"/>
          </w:divBdr>
        </w:div>
        <w:div w:id="1307009328">
          <w:marLeft w:val="0"/>
          <w:marRight w:val="0"/>
          <w:marTop w:val="0"/>
          <w:marBottom w:val="0"/>
          <w:divBdr>
            <w:top w:val="none" w:sz="0" w:space="0" w:color="auto"/>
            <w:left w:val="none" w:sz="0" w:space="0" w:color="auto"/>
            <w:bottom w:val="none" w:sz="0" w:space="0" w:color="auto"/>
            <w:right w:val="none" w:sz="0" w:space="0" w:color="auto"/>
          </w:divBdr>
        </w:div>
        <w:div w:id="361788997">
          <w:marLeft w:val="0"/>
          <w:marRight w:val="0"/>
          <w:marTop w:val="0"/>
          <w:marBottom w:val="0"/>
          <w:divBdr>
            <w:top w:val="none" w:sz="0" w:space="0" w:color="auto"/>
            <w:left w:val="none" w:sz="0" w:space="0" w:color="auto"/>
            <w:bottom w:val="none" w:sz="0" w:space="0" w:color="auto"/>
            <w:right w:val="none" w:sz="0" w:space="0" w:color="auto"/>
          </w:divBdr>
        </w:div>
        <w:div w:id="1492679850">
          <w:marLeft w:val="0"/>
          <w:marRight w:val="0"/>
          <w:marTop w:val="0"/>
          <w:marBottom w:val="0"/>
          <w:divBdr>
            <w:top w:val="none" w:sz="0" w:space="0" w:color="auto"/>
            <w:left w:val="none" w:sz="0" w:space="0" w:color="auto"/>
            <w:bottom w:val="none" w:sz="0" w:space="0" w:color="auto"/>
            <w:right w:val="none" w:sz="0" w:space="0" w:color="auto"/>
          </w:divBdr>
        </w:div>
        <w:div w:id="1049302717">
          <w:marLeft w:val="0"/>
          <w:marRight w:val="0"/>
          <w:marTop w:val="0"/>
          <w:marBottom w:val="0"/>
          <w:divBdr>
            <w:top w:val="none" w:sz="0" w:space="0" w:color="auto"/>
            <w:left w:val="none" w:sz="0" w:space="0" w:color="auto"/>
            <w:bottom w:val="none" w:sz="0" w:space="0" w:color="auto"/>
            <w:right w:val="none" w:sz="0" w:space="0" w:color="auto"/>
          </w:divBdr>
        </w:div>
      </w:divsChild>
    </w:div>
    <w:div w:id="1476527805">
      <w:bodyDiv w:val="1"/>
      <w:marLeft w:val="0"/>
      <w:marRight w:val="0"/>
      <w:marTop w:val="0"/>
      <w:marBottom w:val="0"/>
      <w:divBdr>
        <w:top w:val="none" w:sz="0" w:space="0" w:color="auto"/>
        <w:left w:val="none" w:sz="0" w:space="0" w:color="auto"/>
        <w:bottom w:val="none" w:sz="0" w:space="0" w:color="auto"/>
        <w:right w:val="none" w:sz="0" w:space="0" w:color="auto"/>
      </w:divBdr>
    </w:div>
    <w:div w:id="1485513525">
      <w:bodyDiv w:val="1"/>
      <w:marLeft w:val="0"/>
      <w:marRight w:val="0"/>
      <w:marTop w:val="0"/>
      <w:marBottom w:val="0"/>
      <w:divBdr>
        <w:top w:val="none" w:sz="0" w:space="0" w:color="auto"/>
        <w:left w:val="none" w:sz="0" w:space="0" w:color="auto"/>
        <w:bottom w:val="none" w:sz="0" w:space="0" w:color="auto"/>
        <w:right w:val="none" w:sz="0" w:space="0" w:color="auto"/>
      </w:divBdr>
      <w:divsChild>
        <w:div w:id="83500559">
          <w:marLeft w:val="0"/>
          <w:marRight w:val="0"/>
          <w:marTop w:val="0"/>
          <w:marBottom w:val="0"/>
          <w:divBdr>
            <w:top w:val="none" w:sz="0" w:space="0" w:color="auto"/>
            <w:left w:val="none" w:sz="0" w:space="0" w:color="auto"/>
            <w:bottom w:val="none" w:sz="0" w:space="0" w:color="auto"/>
            <w:right w:val="none" w:sz="0" w:space="0" w:color="auto"/>
          </w:divBdr>
        </w:div>
        <w:div w:id="1061907086">
          <w:marLeft w:val="0"/>
          <w:marRight w:val="0"/>
          <w:marTop w:val="0"/>
          <w:marBottom w:val="0"/>
          <w:divBdr>
            <w:top w:val="none" w:sz="0" w:space="0" w:color="auto"/>
            <w:left w:val="none" w:sz="0" w:space="0" w:color="auto"/>
            <w:bottom w:val="none" w:sz="0" w:space="0" w:color="auto"/>
            <w:right w:val="none" w:sz="0" w:space="0" w:color="auto"/>
          </w:divBdr>
        </w:div>
        <w:div w:id="1160343361">
          <w:marLeft w:val="0"/>
          <w:marRight w:val="0"/>
          <w:marTop w:val="0"/>
          <w:marBottom w:val="0"/>
          <w:divBdr>
            <w:top w:val="none" w:sz="0" w:space="0" w:color="auto"/>
            <w:left w:val="none" w:sz="0" w:space="0" w:color="auto"/>
            <w:bottom w:val="none" w:sz="0" w:space="0" w:color="auto"/>
            <w:right w:val="none" w:sz="0" w:space="0" w:color="auto"/>
          </w:divBdr>
        </w:div>
        <w:div w:id="2000963411">
          <w:marLeft w:val="0"/>
          <w:marRight w:val="0"/>
          <w:marTop w:val="0"/>
          <w:marBottom w:val="0"/>
          <w:divBdr>
            <w:top w:val="none" w:sz="0" w:space="0" w:color="auto"/>
            <w:left w:val="none" w:sz="0" w:space="0" w:color="auto"/>
            <w:bottom w:val="none" w:sz="0" w:space="0" w:color="auto"/>
            <w:right w:val="none" w:sz="0" w:space="0" w:color="auto"/>
          </w:divBdr>
        </w:div>
      </w:divsChild>
    </w:div>
    <w:div w:id="1535342689">
      <w:bodyDiv w:val="1"/>
      <w:marLeft w:val="0"/>
      <w:marRight w:val="0"/>
      <w:marTop w:val="0"/>
      <w:marBottom w:val="0"/>
      <w:divBdr>
        <w:top w:val="none" w:sz="0" w:space="0" w:color="auto"/>
        <w:left w:val="none" w:sz="0" w:space="0" w:color="auto"/>
        <w:bottom w:val="none" w:sz="0" w:space="0" w:color="auto"/>
        <w:right w:val="none" w:sz="0" w:space="0" w:color="auto"/>
      </w:divBdr>
      <w:divsChild>
        <w:div w:id="485896467">
          <w:marLeft w:val="0"/>
          <w:marRight w:val="0"/>
          <w:marTop w:val="0"/>
          <w:marBottom w:val="0"/>
          <w:divBdr>
            <w:top w:val="none" w:sz="0" w:space="0" w:color="auto"/>
            <w:left w:val="none" w:sz="0" w:space="0" w:color="auto"/>
            <w:bottom w:val="none" w:sz="0" w:space="0" w:color="auto"/>
            <w:right w:val="none" w:sz="0" w:space="0" w:color="auto"/>
          </w:divBdr>
        </w:div>
        <w:div w:id="1059090148">
          <w:marLeft w:val="0"/>
          <w:marRight w:val="0"/>
          <w:marTop w:val="0"/>
          <w:marBottom w:val="0"/>
          <w:divBdr>
            <w:top w:val="none" w:sz="0" w:space="0" w:color="auto"/>
            <w:left w:val="none" w:sz="0" w:space="0" w:color="auto"/>
            <w:bottom w:val="none" w:sz="0" w:space="0" w:color="auto"/>
            <w:right w:val="none" w:sz="0" w:space="0" w:color="auto"/>
          </w:divBdr>
        </w:div>
        <w:div w:id="1538272135">
          <w:marLeft w:val="0"/>
          <w:marRight w:val="0"/>
          <w:marTop w:val="0"/>
          <w:marBottom w:val="0"/>
          <w:divBdr>
            <w:top w:val="none" w:sz="0" w:space="0" w:color="auto"/>
            <w:left w:val="none" w:sz="0" w:space="0" w:color="auto"/>
            <w:bottom w:val="none" w:sz="0" w:space="0" w:color="auto"/>
            <w:right w:val="none" w:sz="0" w:space="0" w:color="auto"/>
          </w:divBdr>
        </w:div>
        <w:div w:id="2092509218">
          <w:marLeft w:val="0"/>
          <w:marRight w:val="0"/>
          <w:marTop w:val="0"/>
          <w:marBottom w:val="0"/>
          <w:divBdr>
            <w:top w:val="none" w:sz="0" w:space="0" w:color="auto"/>
            <w:left w:val="none" w:sz="0" w:space="0" w:color="auto"/>
            <w:bottom w:val="none" w:sz="0" w:space="0" w:color="auto"/>
            <w:right w:val="none" w:sz="0" w:space="0" w:color="auto"/>
          </w:divBdr>
        </w:div>
        <w:div w:id="1083644725">
          <w:marLeft w:val="0"/>
          <w:marRight w:val="0"/>
          <w:marTop w:val="0"/>
          <w:marBottom w:val="0"/>
          <w:divBdr>
            <w:top w:val="none" w:sz="0" w:space="0" w:color="auto"/>
            <w:left w:val="none" w:sz="0" w:space="0" w:color="auto"/>
            <w:bottom w:val="none" w:sz="0" w:space="0" w:color="auto"/>
            <w:right w:val="none" w:sz="0" w:space="0" w:color="auto"/>
          </w:divBdr>
        </w:div>
        <w:div w:id="1102458288">
          <w:marLeft w:val="0"/>
          <w:marRight w:val="0"/>
          <w:marTop w:val="0"/>
          <w:marBottom w:val="0"/>
          <w:divBdr>
            <w:top w:val="none" w:sz="0" w:space="0" w:color="auto"/>
            <w:left w:val="none" w:sz="0" w:space="0" w:color="auto"/>
            <w:bottom w:val="none" w:sz="0" w:space="0" w:color="auto"/>
            <w:right w:val="none" w:sz="0" w:space="0" w:color="auto"/>
          </w:divBdr>
        </w:div>
      </w:divsChild>
    </w:div>
    <w:div w:id="1538003635">
      <w:bodyDiv w:val="1"/>
      <w:marLeft w:val="0"/>
      <w:marRight w:val="0"/>
      <w:marTop w:val="0"/>
      <w:marBottom w:val="0"/>
      <w:divBdr>
        <w:top w:val="none" w:sz="0" w:space="0" w:color="auto"/>
        <w:left w:val="none" w:sz="0" w:space="0" w:color="auto"/>
        <w:bottom w:val="none" w:sz="0" w:space="0" w:color="auto"/>
        <w:right w:val="none" w:sz="0" w:space="0" w:color="auto"/>
      </w:divBdr>
    </w:div>
    <w:div w:id="1541089843">
      <w:bodyDiv w:val="1"/>
      <w:marLeft w:val="0"/>
      <w:marRight w:val="0"/>
      <w:marTop w:val="0"/>
      <w:marBottom w:val="0"/>
      <w:divBdr>
        <w:top w:val="none" w:sz="0" w:space="0" w:color="auto"/>
        <w:left w:val="none" w:sz="0" w:space="0" w:color="auto"/>
        <w:bottom w:val="none" w:sz="0" w:space="0" w:color="auto"/>
        <w:right w:val="none" w:sz="0" w:space="0" w:color="auto"/>
      </w:divBdr>
    </w:div>
    <w:div w:id="1667781077">
      <w:bodyDiv w:val="1"/>
      <w:marLeft w:val="0"/>
      <w:marRight w:val="0"/>
      <w:marTop w:val="0"/>
      <w:marBottom w:val="0"/>
      <w:divBdr>
        <w:top w:val="none" w:sz="0" w:space="0" w:color="auto"/>
        <w:left w:val="none" w:sz="0" w:space="0" w:color="auto"/>
        <w:bottom w:val="none" w:sz="0" w:space="0" w:color="auto"/>
        <w:right w:val="none" w:sz="0" w:space="0" w:color="auto"/>
      </w:divBdr>
    </w:div>
    <w:div w:id="1735809555">
      <w:bodyDiv w:val="1"/>
      <w:marLeft w:val="0"/>
      <w:marRight w:val="0"/>
      <w:marTop w:val="0"/>
      <w:marBottom w:val="0"/>
      <w:divBdr>
        <w:top w:val="none" w:sz="0" w:space="0" w:color="auto"/>
        <w:left w:val="none" w:sz="0" w:space="0" w:color="auto"/>
        <w:bottom w:val="none" w:sz="0" w:space="0" w:color="auto"/>
        <w:right w:val="none" w:sz="0" w:space="0" w:color="auto"/>
      </w:divBdr>
      <w:divsChild>
        <w:div w:id="476229">
          <w:marLeft w:val="0"/>
          <w:marRight w:val="0"/>
          <w:marTop w:val="0"/>
          <w:marBottom w:val="0"/>
          <w:divBdr>
            <w:top w:val="none" w:sz="0" w:space="0" w:color="auto"/>
            <w:left w:val="none" w:sz="0" w:space="0" w:color="auto"/>
            <w:bottom w:val="none" w:sz="0" w:space="0" w:color="auto"/>
            <w:right w:val="none" w:sz="0" w:space="0" w:color="auto"/>
          </w:divBdr>
        </w:div>
        <w:div w:id="610744106">
          <w:marLeft w:val="0"/>
          <w:marRight w:val="0"/>
          <w:marTop w:val="0"/>
          <w:marBottom w:val="0"/>
          <w:divBdr>
            <w:top w:val="none" w:sz="0" w:space="0" w:color="auto"/>
            <w:left w:val="none" w:sz="0" w:space="0" w:color="auto"/>
            <w:bottom w:val="none" w:sz="0" w:space="0" w:color="auto"/>
            <w:right w:val="none" w:sz="0" w:space="0" w:color="auto"/>
          </w:divBdr>
        </w:div>
        <w:div w:id="845284395">
          <w:marLeft w:val="0"/>
          <w:marRight w:val="0"/>
          <w:marTop w:val="0"/>
          <w:marBottom w:val="0"/>
          <w:divBdr>
            <w:top w:val="none" w:sz="0" w:space="0" w:color="auto"/>
            <w:left w:val="none" w:sz="0" w:space="0" w:color="auto"/>
            <w:bottom w:val="none" w:sz="0" w:space="0" w:color="auto"/>
            <w:right w:val="none" w:sz="0" w:space="0" w:color="auto"/>
          </w:divBdr>
        </w:div>
        <w:div w:id="1792091729">
          <w:marLeft w:val="0"/>
          <w:marRight w:val="0"/>
          <w:marTop w:val="0"/>
          <w:marBottom w:val="0"/>
          <w:divBdr>
            <w:top w:val="none" w:sz="0" w:space="0" w:color="auto"/>
            <w:left w:val="none" w:sz="0" w:space="0" w:color="auto"/>
            <w:bottom w:val="none" w:sz="0" w:space="0" w:color="auto"/>
            <w:right w:val="none" w:sz="0" w:space="0" w:color="auto"/>
          </w:divBdr>
        </w:div>
      </w:divsChild>
    </w:div>
    <w:div w:id="1920747483">
      <w:bodyDiv w:val="1"/>
      <w:marLeft w:val="0"/>
      <w:marRight w:val="0"/>
      <w:marTop w:val="0"/>
      <w:marBottom w:val="0"/>
      <w:divBdr>
        <w:top w:val="none" w:sz="0" w:space="0" w:color="auto"/>
        <w:left w:val="none" w:sz="0" w:space="0" w:color="auto"/>
        <w:bottom w:val="none" w:sz="0" w:space="0" w:color="auto"/>
        <w:right w:val="none" w:sz="0" w:space="0" w:color="auto"/>
      </w:divBdr>
      <w:divsChild>
        <w:div w:id="158736167">
          <w:marLeft w:val="0"/>
          <w:marRight w:val="0"/>
          <w:marTop w:val="0"/>
          <w:marBottom w:val="0"/>
          <w:divBdr>
            <w:top w:val="none" w:sz="0" w:space="0" w:color="auto"/>
            <w:left w:val="none" w:sz="0" w:space="0" w:color="auto"/>
            <w:bottom w:val="none" w:sz="0" w:space="0" w:color="auto"/>
            <w:right w:val="none" w:sz="0" w:space="0" w:color="auto"/>
          </w:divBdr>
        </w:div>
        <w:div w:id="669525985">
          <w:marLeft w:val="0"/>
          <w:marRight w:val="0"/>
          <w:marTop w:val="0"/>
          <w:marBottom w:val="0"/>
          <w:divBdr>
            <w:top w:val="none" w:sz="0" w:space="0" w:color="auto"/>
            <w:left w:val="none" w:sz="0" w:space="0" w:color="auto"/>
            <w:bottom w:val="none" w:sz="0" w:space="0" w:color="auto"/>
            <w:right w:val="none" w:sz="0" w:space="0" w:color="auto"/>
          </w:divBdr>
        </w:div>
        <w:div w:id="907958869">
          <w:marLeft w:val="0"/>
          <w:marRight w:val="0"/>
          <w:marTop w:val="0"/>
          <w:marBottom w:val="0"/>
          <w:divBdr>
            <w:top w:val="none" w:sz="0" w:space="0" w:color="auto"/>
            <w:left w:val="none" w:sz="0" w:space="0" w:color="auto"/>
            <w:bottom w:val="none" w:sz="0" w:space="0" w:color="auto"/>
            <w:right w:val="none" w:sz="0" w:space="0" w:color="auto"/>
          </w:divBdr>
        </w:div>
        <w:div w:id="1978873733">
          <w:marLeft w:val="0"/>
          <w:marRight w:val="0"/>
          <w:marTop w:val="0"/>
          <w:marBottom w:val="0"/>
          <w:divBdr>
            <w:top w:val="none" w:sz="0" w:space="0" w:color="auto"/>
            <w:left w:val="none" w:sz="0" w:space="0" w:color="auto"/>
            <w:bottom w:val="none" w:sz="0" w:space="0" w:color="auto"/>
            <w:right w:val="none" w:sz="0" w:space="0" w:color="auto"/>
          </w:divBdr>
        </w:div>
        <w:div w:id="2006937826">
          <w:marLeft w:val="0"/>
          <w:marRight w:val="0"/>
          <w:marTop w:val="0"/>
          <w:marBottom w:val="0"/>
          <w:divBdr>
            <w:top w:val="none" w:sz="0" w:space="0" w:color="auto"/>
            <w:left w:val="none" w:sz="0" w:space="0" w:color="auto"/>
            <w:bottom w:val="none" w:sz="0" w:space="0" w:color="auto"/>
            <w:right w:val="none" w:sz="0" w:space="0" w:color="auto"/>
          </w:divBdr>
        </w:div>
      </w:divsChild>
    </w:div>
    <w:div w:id="1977760842">
      <w:bodyDiv w:val="1"/>
      <w:marLeft w:val="0"/>
      <w:marRight w:val="0"/>
      <w:marTop w:val="0"/>
      <w:marBottom w:val="0"/>
      <w:divBdr>
        <w:top w:val="none" w:sz="0" w:space="0" w:color="auto"/>
        <w:left w:val="none" w:sz="0" w:space="0" w:color="auto"/>
        <w:bottom w:val="none" w:sz="0" w:space="0" w:color="auto"/>
        <w:right w:val="none" w:sz="0" w:space="0" w:color="auto"/>
      </w:divBdr>
      <w:divsChild>
        <w:div w:id="404693719">
          <w:marLeft w:val="0"/>
          <w:marRight w:val="0"/>
          <w:marTop w:val="0"/>
          <w:marBottom w:val="0"/>
          <w:divBdr>
            <w:top w:val="none" w:sz="0" w:space="0" w:color="auto"/>
            <w:left w:val="none" w:sz="0" w:space="0" w:color="auto"/>
            <w:bottom w:val="none" w:sz="0" w:space="0" w:color="auto"/>
            <w:right w:val="none" w:sz="0" w:space="0" w:color="auto"/>
          </w:divBdr>
        </w:div>
        <w:div w:id="360015568">
          <w:marLeft w:val="0"/>
          <w:marRight w:val="0"/>
          <w:marTop w:val="0"/>
          <w:marBottom w:val="0"/>
          <w:divBdr>
            <w:top w:val="none" w:sz="0" w:space="0" w:color="auto"/>
            <w:left w:val="none" w:sz="0" w:space="0" w:color="auto"/>
            <w:bottom w:val="none" w:sz="0" w:space="0" w:color="auto"/>
            <w:right w:val="none" w:sz="0" w:space="0" w:color="auto"/>
          </w:divBdr>
        </w:div>
        <w:div w:id="1377781886">
          <w:marLeft w:val="0"/>
          <w:marRight w:val="0"/>
          <w:marTop w:val="0"/>
          <w:marBottom w:val="0"/>
          <w:divBdr>
            <w:top w:val="none" w:sz="0" w:space="0" w:color="auto"/>
            <w:left w:val="none" w:sz="0" w:space="0" w:color="auto"/>
            <w:bottom w:val="none" w:sz="0" w:space="0" w:color="auto"/>
            <w:right w:val="none" w:sz="0" w:space="0" w:color="auto"/>
          </w:divBdr>
        </w:div>
        <w:div w:id="618029353">
          <w:marLeft w:val="0"/>
          <w:marRight w:val="0"/>
          <w:marTop w:val="0"/>
          <w:marBottom w:val="0"/>
          <w:divBdr>
            <w:top w:val="none" w:sz="0" w:space="0" w:color="auto"/>
            <w:left w:val="none" w:sz="0" w:space="0" w:color="auto"/>
            <w:bottom w:val="none" w:sz="0" w:space="0" w:color="auto"/>
            <w:right w:val="none" w:sz="0" w:space="0" w:color="auto"/>
          </w:divBdr>
        </w:div>
        <w:div w:id="417605979">
          <w:marLeft w:val="0"/>
          <w:marRight w:val="0"/>
          <w:marTop w:val="0"/>
          <w:marBottom w:val="0"/>
          <w:divBdr>
            <w:top w:val="none" w:sz="0" w:space="0" w:color="auto"/>
            <w:left w:val="none" w:sz="0" w:space="0" w:color="auto"/>
            <w:bottom w:val="none" w:sz="0" w:space="0" w:color="auto"/>
            <w:right w:val="none" w:sz="0" w:space="0" w:color="auto"/>
          </w:divBdr>
        </w:div>
        <w:div w:id="194120981">
          <w:marLeft w:val="0"/>
          <w:marRight w:val="0"/>
          <w:marTop w:val="0"/>
          <w:marBottom w:val="0"/>
          <w:divBdr>
            <w:top w:val="none" w:sz="0" w:space="0" w:color="auto"/>
            <w:left w:val="none" w:sz="0" w:space="0" w:color="auto"/>
            <w:bottom w:val="none" w:sz="0" w:space="0" w:color="auto"/>
            <w:right w:val="none" w:sz="0" w:space="0" w:color="auto"/>
          </w:divBdr>
        </w:div>
      </w:divsChild>
    </w:div>
    <w:div w:id="21005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9758-65A2-4C39-889C-4B8C038C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10504</Words>
  <Characters>5988</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Шевчук Юрій Ігорович</dc:creator>
  <cp:keywords/>
  <dc:description/>
  <cp:lastModifiedBy>Зінченко Лєна Анатоліївна</cp:lastModifiedBy>
  <cp:revision>4</cp:revision>
  <cp:lastPrinted>2020-09-17T14:58:00Z</cp:lastPrinted>
  <dcterms:created xsi:type="dcterms:W3CDTF">2023-10-16T08:13:00Z</dcterms:created>
  <dcterms:modified xsi:type="dcterms:W3CDTF">2023-10-16T09:47:00Z</dcterms:modified>
</cp:coreProperties>
</file>