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CCE5" w14:textId="77777777" w:rsidR="009051AB" w:rsidRPr="00AF273A" w:rsidRDefault="009051AB" w:rsidP="009051A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AF27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ПРОГНОЗ ВПЛИВУ</w:t>
      </w:r>
    </w:p>
    <w:p w14:paraId="3BD4F8DD" w14:textId="0B67A75A" w:rsidR="00CD3F6A" w:rsidRPr="00CD3F6A" w:rsidRDefault="009051AB" w:rsidP="00CD3F6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AF273A">
        <w:rPr>
          <w:rFonts w:ascii="Times New Roman" w:hAnsi="Times New Roman" w:cs="Times New Roman"/>
          <w:b/>
          <w:sz w:val="28"/>
          <w:szCs w:val="28"/>
        </w:rPr>
        <w:t xml:space="preserve">внаслідок прийняття </w:t>
      </w:r>
      <w:r w:rsidR="00CD3F6A" w:rsidRPr="00CD3F6A">
        <w:rPr>
          <w:rFonts w:ascii="Times New Roman" w:hAnsi="Times New Roman"/>
          <w:b/>
          <w:bCs/>
          <w:iCs/>
          <w:sz w:val="28"/>
          <w:szCs w:val="28"/>
        </w:rPr>
        <w:t xml:space="preserve">проекту наказу Міністерства фінансів України «Про затвердження </w:t>
      </w:r>
    </w:p>
    <w:p w14:paraId="74AD9289" w14:textId="745C1391" w:rsidR="009051AB" w:rsidRPr="00AF273A" w:rsidRDefault="00CD3F6A" w:rsidP="00CD3F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F6A">
        <w:rPr>
          <w:rFonts w:ascii="Times New Roman" w:hAnsi="Times New Roman"/>
          <w:b/>
          <w:bCs/>
          <w:iCs/>
          <w:sz w:val="28"/>
          <w:szCs w:val="28"/>
        </w:rPr>
        <w:t>Змін до деяких нормативно-правових актів Міністерства фінансів України»</w:t>
      </w:r>
    </w:p>
    <w:p w14:paraId="6AA8F58D" w14:textId="77777777" w:rsidR="00CD3F6A" w:rsidRPr="00CD3F6A" w:rsidRDefault="00CD3F6A" w:rsidP="00C2140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szCs w:val="28"/>
          <w:lang w:eastAsia="uk-UA"/>
        </w:rPr>
      </w:pPr>
      <w:bookmarkStart w:id="0" w:name="n1760"/>
      <w:bookmarkEnd w:id="0"/>
    </w:p>
    <w:p w14:paraId="7EEF194B" w14:textId="5CDCD4C2" w:rsidR="00C21409" w:rsidRPr="00AF273A" w:rsidRDefault="009051AB" w:rsidP="00CD3F6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7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Суть про</w:t>
      </w:r>
      <w:r w:rsidR="00DC3C36" w:rsidRPr="00AF27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</w:t>
      </w:r>
      <w:r w:rsidRPr="00AF27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кту акт</w:t>
      </w:r>
      <w:bookmarkStart w:id="1" w:name="n1761"/>
      <w:bookmarkEnd w:id="1"/>
      <w:r w:rsidRPr="00AF27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а: </w:t>
      </w:r>
      <w:r w:rsidR="00CD3F6A" w:rsidRP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</w:t>
      </w:r>
      <w:r w:rsidR="00CD3F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273A" w:rsidRPr="00AF273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  <w:r w:rsidRPr="00AF2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</w:t>
      </w:r>
      <w:r w:rsid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Мінфіном </w:t>
      </w:r>
      <w:r w:rsidR="00CD3F6A" w:rsidRP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пропозицій Державної митної служби України та відповідно до звернень АТ «НАК «Нафтогаз України»</w:t>
      </w:r>
      <w:r w:rsid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CD3F6A" w:rsidRP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зв’язку з необхідністю вдосконалення митних формальностей щодо товарів, що переміщуют</w:t>
      </w:r>
      <w:r w:rsid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>ься трубопровідним транспортом</w:t>
      </w:r>
      <w:r w:rsidR="00CD3F6A" w:rsidRPr="00CD3F6A">
        <w:rPr>
          <w:rFonts w:ascii="Times New Roman" w:eastAsia="Times New Roman" w:hAnsi="Times New Roman" w:cs="Times New Roman"/>
          <w:sz w:val="28"/>
          <w:szCs w:val="28"/>
          <w:lang w:eastAsia="uk-UA"/>
        </w:rPr>
        <w:t>, спрощення виконання митних формальностей під час митного контролю та митного оформлення таких товарів без негативних наслідків для контролю за переміщенням товарів через митний кордон України</w:t>
      </w:r>
      <w:r w:rsidR="00C21409" w:rsidRPr="00AF27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5F3BEF" w14:textId="77777777" w:rsidR="009051AB" w:rsidRPr="00CD3F6A" w:rsidRDefault="009051AB" w:rsidP="009051A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uk-UA"/>
        </w:rPr>
      </w:pPr>
    </w:p>
    <w:p w14:paraId="468B0B34" w14:textId="77777777" w:rsidR="009051AB" w:rsidRPr="00AF273A" w:rsidRDefault="009051AB" w:rsidP="009051A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F273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2. Вплив на ключові інтереси усіх заінтересованих сторін: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977"/>
        <w:gridCol w:w="2433"/>
        <w:gridCol w:w="2255"/>
        <w:gridCol w:w="5089"/>
      </w:tblGrid>
      <w:tr w:rsidR="00AF273A" w:rsidRPr="00AF273A" w14:paraId="596F1E71" w14:textId="77777777" w:rsidTr="00CA096E">
        <w:tc>
          <w:tcPr>
            <w:tcW w:w="832" w:type="pct"/>
            <w:vMerge w:val="restart"/>
            <w:hideMark/>
          </w:tcPr>
          <w:p w14:paraId="5F399963" w14:textId="77777777" w:rsidR="009051AB" w:rsidRPr="00AF273A" w:rsidRDefault="009051AB" w:rsidP="00662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762"/>
            <w:bookmarkEnd w:id="2"/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Заінтересована сторона</w:t>
            </w:r>
          </w:p>
        </w:tc>
        <w:tc>
          <w:tcPr>
            <w:tcW w:w="973" w:type="pct"/>
            <w:vMerge w:val="restart"/>
            <w:hideMark/>
          </w:tcPr>
          <w:p w14:paraId="3FBE6074" w14:textId="77777777" w:rsidR="009051AB" w:rsidRPr="00AF273A" w:rsidRDefault="009051AB" w:rsidP="00662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Ключовий інтерес</w:t>
            </w:r>
          </w:p>
        </w:tc>
        <w:tc>
          <w:tcPr>
            <w:tcW w:w="1532" w:type="pct"/>
            <w:gridSpan w:val="2"/>
            <w:hideMark/>
          </w:tcPr>
          <w:p w14:paraId="058714CA" w14:textId="77777777" w:rsidR="009051AB" w:rsidRPr="00AF273A" w:rsidRDefault="009051AB" w:rsidP="00662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(у числовому або якісному вимірі)</w:t>
            </w:r>
          </w:p>
        </w:tc>
        <w:tc>
          <w:tcPr>
            <w:tcW w:w="1663" w:type="pct"/>
            <w:vMerge w:val="restart"/>
            <w:hideMark/>
          </w:tcPr>
          <w:p w14:paraId="2A354A46" w14:textId="77777777" w:rsidR="009051AB" w:rsidRPr="00AF273A" w:rsidRDefault="009051AB" w:rsidP="00662EF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Пояснення (чому саме реалізація акта призведе до очікуваного впливу)</w:t>
            </w:r>
          </w:p>
        </w:tc>
      </w:tr>
      <w:tr w:rsidR="00AF273A" w:rsidRPr="00AF273A" w14:paraId="3A505898" w14:textId="77777777" w:rsidTr="00CA096E">
        <w:tc>
          <w:tcPr>
            <w:tcW w:w="832" w:type="pct"/>
            <w:vMerge/>
            <w:vAlign w:val="center"/>
            <w:hideMark/>
          </w:tcPr>
          <w:p w14:paraId="16EFCC0A" w14:textId="77777777" w:rsidR="009051AB" w:rsidRPr="00AF273A" w:rsidRDefault="009051AB" w:rsidP="0066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14:paraId="08736032" w14:textId="77777777" w:rsidR="009051AB" w:rsidRPr="00AF273A" w:rsidRDefault="009051AB" w:rsidP="0066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pct"/>
            <w:hideMark/>
          </w:tcPr>
          <w:p w14:paraId="4D3E195B" w14:textId="77777777" w:rsidR="009051AB" w:rsidRPr="00AF273A" w:rsidRDefault="009051AB" w:rsidP="00662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короткостроковий </w:t>
            </w:r>
          </w:p>
          <w:p w14:paraId="625FA4ED" w14:textId="77777777" w:rsidR="009051AB" w:rsidRPr="00AF273A" w:rsidRDefault="009051AB" w:rsidP="00662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вплив (до року)</w:t>
            </w:r>
          </w:p>
        </w:tc>
        <w:tc>
          <w:tcPr>
            <w:tcW w:w="737" w:type="pct"/>
            <w:hideMark/>
          </w:tcPr>
          <w:p w14:paraId="0A471562" w14:textId="38CEAB84" w:rsidR="009051AB" w:rsidRPr="00AF273A" w:rsidRDefault="009051AB" w:rsidP="00E57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середн</w:t>
            </w:r>
            <w:bookmarkStart w:id="3" w:name="_GoBack"/>
            <w:bookmarkEnd w:id="3"/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ьостроковий вплив (більше року</w:t>
            </w:r>
            <w:r w:rsidR="00E57D6A"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 – </w:t>
            </w:r>
            <w:r w:rsidRPr="00AF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 5 років)</w:t>
            </w:r>
          </w:p>
        </w:tc>
        <w:tc>
          <w:tcPr>
            <w:tcW w:w="1663" w:type="pct"/>
            <w:vMerge/>
            <w:vAlign w:val="bottom"/>
            <w:hideMark/>
          </w:tcPr>
          <w:p w14:paraId="640BF8B0" w14:textId="77777777" w:rsidR="009051AB" w:rsidRPr="00AF273A" w:rsidRDefault="009051AB" w:rsidP="0066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F273A" w:rsidRPr="00AF273A" w14:paraId="0FC2CA42" w14:textId="77777777" w:rsidTr="00CA096E">
        <w:tc>
          <w:tcPr>
            <w:tcW w:w="832" w:type="pct"/>
          </w:tcPr>
          <w:p w14:paraId="3763A532" w14:textId="343DEDD4" w:rsidR="009051AB" w:rsidRPr="00AF273A" w:rsidRDefault="00CD3F6A" w:rsidP="00CD3F6A">
            <w:pPr>
              <w:spacing w:after="0" w:line="240" w:lineRule="auto"/>
              <w:ind w:left="14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митних органів</w:t>
            </w:r>
            <w:r w:rsidR="00CE6CDE" w:rsidRPr="00AF2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pct"/>
          </w:tcPr>
          <w:p w14:paraId="4C6C57B3" w14:textId="092B78C2" w:rsidR="009051AB" w:rsidRPr="00AF273A" w:rsidRDefault="00CD3F6A" w:rsidP="009051AB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Удосконалення нормативно-правових актів, якими керуються під час роботи посадові особи митних органів.</w:t>
            </w:r>
          </w:p>
          <w:p w14:paraId="04C5512D" w14:textId="1023E747" w:rsidR="009051AB" w:rsidRPr="00AF273A" w:rsidRDefault="009051AB" w:rsidP="00662EFE">
            <w:pPr>
              <w:spacing w:after="0" w:line="240" w:lineRule="auto"/>
              <w:ind w:left="140" w:right="135"/>
              <w:jc w:val="both"/>
            </w:pPr>
          </w:p>
        </w:tc>
        <w:tc>
          <w:tcPr>
            <w:tcW w:w="795" w:type="pct"/>
          </w:tcPr>
          <w:p w14:paraId="20C7CEF1" w14:textId="77777777" w:rsidR="009051AB" w:rsidRPr="00AF273A" w:rsidRDefault="009051AB" w:rsidP="00662EFE">
            <w:pPr>
              <w:spacing w:after="0" w:line="240" w:lineRule="auto"/>
              <w:ind w:left="148" w:right="143"/>
              <w:jc w:val="both"/>
            </w:pPr>
            <w:r w:rsidRPr="00AF27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C5AB1BE" w14:textId="77777777" w:rsidR="009051AB" w:rsidRPr="00AF273A" w:rsidRDefault="009051AB" w:rsidP="00662EF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2E6196B9" w14:textId="77777777" w:rsidR="009051AB" w:rsidRPr="00AF273A" w:rsidRDefault="009051AB" w:rsidP="00662EFE">
            <w:pPr>
              <w:pStyle w:val="a3"/>
              <w:spacing w:after="0" w:line="240" w:lineRule="auto"/>
              <w:ind w:left="14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0E002BB" w14:textId="77777777" w:rsidR="009051AB" w:rsidRPr="00AF273A" w:rsidRDefault="009051AB" w:rsidP="00662EFE">
            <w:pPr>
              <w:pStyle w:val="a3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14:paraId="5CD5C3BB" w14:textId="6926E6D1" w:rsidR="009051AB" w:rsidRPr="00AF273A" w:rsidRDefault="00AF273A" w:rsidP="00AF273A">
            <w:pPr>
              <w:pStyle w:val="a4"/>
              <w:spacing w:after="0"/>
              <w:ind w:left="90" w:hanging="1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Дія положень</w:t>
            </w:r>
            <w:r w:rsidR="00C21409" w:rsidRPr="00AF273A">
              <w:rPr>
                <w:szCs w:val="28"/>
                <w:lang w:val="uk-UA"/>
              </w:rPr>
              <w:t xml:space="preserve"> </w:t>
            </w:r>
            <w:r w:rsidR="00CD3F6A">
              <w:rPr>
                <w:szCs w:val="28"/>
                <w:lang w:val="uk-UA"/>
              </w:rPr>
              <w:t xml:space="preserve">проекту </w:t>
            </w:r>
            <w:r>
              <w:rPr>
                <w:szCs w:val="28"/>
                <w:lang w:val="uk-UA"/>
              </w:rPr>
              <w:t>наказу</w:t>
            </w:r>
            <w:r w:rsidR="00C21409" w:rsidRPr="00AF273A">
              <w:rPr>
                <w:szCs w:val="28"/>
                <w:lang w:val="uk-UA"/>
              </w:rPr>
              <w:t xml:space="preserve"> дасть змогу забезпечити </w:t>
            </w:r>
            <w:r w:rsidR="00CD3F6A" w:rsidRPr="00CD3F6A">
              <w:rPr>
                <w:szCs w:val="28"/>
                <w:lang w:val="uk-UA"/>
              </w:rPr>
              <w:t>спрощення виконання митних формальностей під час митного контролю та митного оформлення таких товарів без негативних наслідків для контролю за переміщенням товарів через митний кордон України</w:t>
            </w:r>
          </w:p>
        </w:tc>
      </w:tr>
      <w:tr w:rsidR="009051AB" w:rsidRPr="00AF273A" w14:paraId="2848E9BE" w14:textId="77777777" w:rsidTr="00CA096E">
        <w:tc>
          <w:tcPr>
            <w:tcW w:w="832" w:type="pct"/>
          </w:tcPr>
          <w:p w14:paraId="3ED5F9FA" w14:textId="369F6A25" w:rsidR="009051AB" w:rsidRPr="00AF273A" w:rsidRDefault="00CD3F6A" w:rsidP="00CD3F6A">
            <w:pPr>
              <w:spacing w:after="0" w:line="240" w:lineRule="auto"/>
              <w:ind w:left="14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господарювання.</w:t>
            </w:r>
          </w:p>
        </w:tc>
        <w:tc>
          <w:tcPr>
            <w:tcW w:w="973" w:type="pct"/>
          </w:tcPr>
          <w:p w14:paraId="31E3C7E9" w14:textId="0D1D5486" w:rsidR="009051AB" w:rsidRPr="00AF273A" w:rsidRDefault="00CD3F6A" w:rsidP="009051AB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D3F6A">
              <w:rPr>
                <w:rFonts w:ascii="Times New Roman" w:hAnsi="Times New Roman"/>
                <w:sz w:val="24"/>
                <w:szCs w:val="24"/>
                <w:lang w:eastAsia="ru-RU"/>
              </w:rPr>
              <w:t>досконалення порядку виконання митних формальностей при здійсненні митного контролю товарів, що переміщуються через митний кордон України трубопровідним транспортом</w:t>
            </w:r>
          </w:p>
        </w:tc>
        <w:tc>
          <w:tcPr>
            <w:tcW w:w="795" w:type="pct"/>
          </w:tcPr>
          <w:p w14:paraId="0A78F231" w14:textId="77777777" w:rsidR="009051AB" w:rsidRPr="00AF273A" w:rsidRDefault="009051AB" w:rsidP="00662EFE">
            <w:pPr>
              <w:spacing w:after="0" w:line="240" w:lineRule="auto"/>
              <w:ind w:left="148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pct"/>
          </w:tcPr>
          <w:p w14:paraId="5CEFEC49" w14:textId="77777777" w:rsidR="009051AB" w:rsidRPr="00AF273A" w:rsidRDefault="009051AB" w:rsidP="00662EFE">
            <w:pPr>
              <w:pStyle w:val="a3"/>
              <w:spacing w:after="0" w:line="240" w:lineRule="auto"/>
              <w:ind w:left="14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3" w:type="pct"/>
          </w:tcPr>
          <w:p w14:paraId="7B4885FB" w14:textId="4BE4E975" w:rsidR="009051AB" w:rsidRPr="00AF273A" w:rsidRDefault="00C21409" w:rsidP="00CD3F6A">
            <w:pPr>
              <w:pStyle w:val="a4"/>
              <w:ind w:left="90"/>
              <w:jc w:val="both"/>
              <w:rPr>
                <w:szCs w:val="28"/>
                <w:lang w:val="uk-UA"/>
              </w:rPr>
            </w:pPr>
            <w:r w:rsidRPr="00AF273A">
              <w:rPr>
                <w:szCs w:val="28"/>
                <w:lang w:val="uk-UA"/>
              </w:rPr>
              <w:t>Спрощення ведення господарської діяльності суб’єктами ЗЕ</w:t>
            </w:r>
            <w:r w:rsidR="00E57D6A" w:rsidRPr="00AF273A">
              <w:rPr>
                <w:szCs w:val="28"/>
                <w:lang w:val="uk-UA"/>
              </w:rPr>
              <w:t>Д</w:t>
            </w:r>
            <w:r w:rsidRPr="00AF273A">
              <w:rPr>
                <w:szCs w:val="28"/>
                <w:lang w:val="uk-UA"/>
              </w:rPr>
              <w:t xml:space="preserve"> </w:t>
            </w:r>
            <w:r w:rsidR="00E57D6A" w:rsidRPr="00AF273A">
              <w:rPr>
                <w:szCs w:val="28"/>
                <w:lang w:val="uk-UA"/>
              </w:rPr>
              <w:t>у</w:t>
            </w:r>
            <w:r w:rsidRPr="00AF273A">
              <w:rPr>
                <w:szCs w:val="28"/>
                <w:lang w:val="uk-UA"/>
              </w:rPr>
              <w:t xml:space="preserve"> частині</w:t>
            </w:r>
            <w:r w:rsidR="00CD3F6A">
              <w:rPr>
                <w:szCs w:val="28"/>
                <w:lang w:val="uk-UA"/>
              </w:rPr>
              <w:t xml:space="preserve"> митного контролю та митного оформлення товарів, що переміщуються трубопровідним транспортом та лініями електропередачі.</w:t>
            </w:r>
          </w:p>
        </w:tc>
      </w:tr>
    </w:tbl>
    <w:p w14:paraId="394B2A0A" w14:textId="77777777" w:rsidR="00E04AC3" w:rsidRPr="00AF273A" w:rsidRDefault="00CA096E" w:rsidP="00CD3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757"/>
      <w:bookmarkEnd w:id="4"/>
    </w:p>
    <w:sectPr w:rsidR="00E04AC3" w:rsidRPr="00AF273A" w:rsidSect="00BF3545">
      <w:pgSz w:w="16838" w:h="11906" w:orient="landscape"/>
      <w:pgMar w:top="284" w:right="536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AB"/>
    <w:rsid w:val="001C3893"/>
    <w:rsid w:val="005E6356"/>
    <w:rsid w:val="009051AB"/>
    <w:rsid w:val="00AF273A"/>
    <w:rsid w:val="00C21409"/>
    <w:rsid w:val="00C24454"/>
    <w:rsid w:val="00CA096E"/>
    <w:rsid w:val="00CD3F6A"/>
    <w:rsid w:val="00CE6CDE"/>
    <w:rsid w:val="00DC3C36"/>
    <w:rsid w:val="00E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661"/>
  <w15:chartTrackingRefBased/>
  <w15:docId w15:val="{8B359856-853A-4304-9379-8D45B7F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A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AB"/>
    <w:pPr>
      <w:spacing w:after="160" w:line="259" w:lineRule="auto"/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051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9051A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Илья</dc:creator>
  <cp:keywords/>
  <dc:description/>
  <cp:lastModifiedBy>Кислицька Юлія Василівна</cp:lastModifiedBy>
  <cp:revision>6</cp:revision>
  <dcterms:created xsi:type="dcterms:W3CDTF">2020-04-23T13:54:00Z</dcterms:created>
  <dcterms:modified xsi:type="dcterms:W3CDTF">2020-05-19T09:12:00Z</dcterms:modified>
</cp:coreProperties>
</file>