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623" w:rsidRPr="001522CA" w:rsidRDefault="00121623" w:rsidP="00107D22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ЗАТВЕРДЖЕНО</w:t>
      </w:r>
    </w:p>
    <w:p w:rsidR="00121623" w:rsidRPr="001522CA" w:rsidRDefault="00121623" w:rsidP="00107D22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Наказ Міністерства фінансів України</w:t>
      </w:r>
    </w:p>
    <w:p w:rsidR="00121623" w:rsidRPr="001522CA" w:rsidRDefault="00121623" w:rsidP="00107D22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___________</w:t>
      </w:r>
      <w:r w:rsidR="00411D8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____ р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оку № _________</w:t>
      </w:r>
    </w:p>
    <w:p w:rsidR="00107D22" w:rsidRPr="001522CA" w:rsidRDefault="00107D22" w:rsidP="0010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21623" w:rsidRPr="001522CA" w:rsidRDefault="00121623" w:rsidP="0010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</w:p>
    <w:p w:rsidR="005B6AF7" w:rsidRPr="001522CA" w:rsidRDefault="005B6AF7" w:rsidP="0010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5B6AF7" w:rsidRPr="001522CA" w:rsidRDefault="005B6AF7" w:rsidP="0010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73B1B" w:rsidRPr="001522CA" w:rsidRDefault="00E97952" w:rsidP="00107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Порядок  </w:t>
      </w:r>
      <w:r w:rsidR="0073342C"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ведення </w:t>
      </w:r>
      <w:r w:rsidR="008B1D9E"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т</w:t>
      </w: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ипової  форми</w:t>
      </w:r>
      <w:r w:rsidR="00EA1B18"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,</w:t>
      </w: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за якою здійснюється облік доходів і витрат</w:t>
      </w:r>
      <w:r w:rsidR="0073342C"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,</w:t>
      </w: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фізичними особами</w:t>
      </w:r>
      <w:r w:rsidR="00BE0A11"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– </w:t>
      </w: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підприємцями</w:t>
      </w:r>
      <w:r w:rsidR="006A0642"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і фізичними особами, які пров</w:t>
      </w:r>
      <w:r w:rsidR="00164BA8"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а</w:t>
      </w: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дять незалежну професійну діяльність</w:t>
      </w:r>
    </w:p>
    <w:p w:rsidR="00546D1D" w:rsidRPr="001522CA" w:rsidRDefault="00546D1D" w:rsidP="00107D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E6FE1" w:rsidRPr="001522CA" w:rsidRDefault="006E6FE1" w:rsidP="00107D22">
      <w:pPr>
        <w:pStyle w:val="ad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Загальні положення</w:t>
      </w:r>
    </w:p>
    <w:p w:rsidR="00107D22" w:rsidRPr="001522CA" w:rsidRDefault="00107D22" w:rsidP="00107D22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164BA8" w:rsidRPr="001522CA" w:rsidRDefault="00D653B0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1. Відповідно до п</w:t>
      </w:r>
      <w:r w:rsidR="00546D1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ункту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17</w:t>
      </w:r>
      <w:r w:rsidR="00EC6EC2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.10 ст</w:t>
      </w:r>
      <w:r w:rsidR="00546D1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атті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177 та п</w:t>
      </w:r>
      <w:r w:rsidR="00546D1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ункту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178</w:t>
      </w:r>
      <w:r w:rsidR="00EC6EC2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 ст</w:t>
      </w:r>
      <w:r w:rsidR="00546D1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атті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178 розділу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Податкового кодексу України (далі – Кодекс) фізичні особи – підприємці та фізичні особи, які провадять незалежну професійну діяльність (далі</w:t>
      </w:r>
      <w:r w:rsidR="00732CCF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E0A11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самозайняті</w:t>
      </w:r>
      <w:proofErr w:type="spellEnd"/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особи</w:t>
      </w:r>
      <w:r w:rsidR="00732CCF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), зобов’яза</w:t>
      </w:r>
      <w:r w:rsidR="00164BA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ні вести облік доходів і витрат</w:t>
      </w:r>
      <w:r w:rsidR="00BB3F3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BB3F37" w:rsidRPr="001522CA" w:rsidRDefault="00BB3F37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 підставі первинних документів за підсумками </w:t>
      </w:r>
      <w:r w:rsidR="00863F1E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робочого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дня</w:t>
      </w:r>
      <w:r w:rsidR="000456C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протягом якого отримано дохід</w:t>
      </w:r>
      <w:r w:rsidR="00C351B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/ понесено витрати</w:t>
      </w:r>
      <w:r w:rsidR="000456C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здійснюються записи про отримані доходи та документально підтверджені витрати.</w:t>
      </w:r>
    </w:p>
    <w:p w:rsidR="00107D22" w:rsidRPr="001522CA" w:rsidRDefault="00107D22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07D22" w:rsidRPr="001522CA" w:rsidRDefault="00732CCF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2. </w:t>
      </w:r>
      <w:r w:rsidR="0073342C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EC6EC2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блік доходів і витрат </w:t>
      </w:r>
      <w:r w:rsidR="004C12D1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ведеться</w:t>
      </w:r>
      <w:r w:rsidR="00EC6EC2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 паперов</w:t>
      </w:r>
      <w:r w:rsidR="00F44E5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ому </w:t>
      </w:r>
      <w:r w:rsidR="00EC6EC2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та/або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C12D1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електронн</w:t>
      </w:r>
      <w:r w:rsidR="00F44E5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ому</w:t>
      </w:r>
      <w:r w:rsidR="004C12D1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44E5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вигляді</w:t>
      </w:r>
      <w:r w:rsidR="00EC6EC2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у тому числі </w:t>
      </w:r>
      <w:r w:rsidR="00042B25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засобами електронного кабінету</w:t>
      </w:r>
      <w:r w:rsidR="004C12D1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BC1F55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="004C12D1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порядку</w:t>
      </w:r>
      <w:r w:rsidR="00BC1F55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встановленому законодавством</w:t>
      </w:r>
      <w:r w:rsidR="00AA4F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107D22" w:rsidRPr="001522CA" w:rsidRDefault="00107D22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07D22" w:rsidRPr="001522CA" w:rsidRDefault="00732CCF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3. У разі ведення </w:t>
      </w:r>
      <w:r w:rsidR="00EC6EC2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облік</w:t>
      </w:r>
      <w:r w:rsidR="0073342C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EC6EC2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доходів і витрат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 паперовому вигляді  </w:t>
      </w:r>
      <w:proofErr w:type="spellStart"/>
      <w:r w:rsidR="001160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самозайнята</w:t>
      </w:r>
      <w:proofErr w:type="spellEnd"/>
      <w:r w:rsidR="001160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особа зобов’язана виконувати записи </w:t>
      </w:r>
      <w:proofErr w:type="spellStart"/>
      <w:r w:rsidR="001160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розбірливо</w:t>
      </w:r>
      <w:proofErr w:type="spellEnd"/>
      <w:r w:rsidR="001160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чорнилом темного кольору або кульковою ручкою. Внесення виправлень здійснюється шляхом </w:t>
      </w:r>
      <w:r w:rsidR="007235F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створення </w:t>
      </w:r>
      <w:r w:rsidR="001160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нового запису, який засвідчується підписом </w:t>
      </w:r>
      <w:proofErr w:type="spellStart"/>
      <w:r w:rsidR="001160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самозайнятої</w:t>
      </w:r>
      <w:proofErr w:type="spellEnd"/>
      <w:r w:rsidR="001160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особи</w:t>
      </w:r>
      <w:r w:rsidR="000E244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107D22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107D22" w:rsidRPr="001522CA" w:rsidRDefault="00107D22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07D22" w:rsidRPr="001522CA" w:rsidRDefault="00254DC6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4. У разі ведення облік</w:t>
      </w:r>
      <w:r w:rsidR="0073342C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доходів і витрат </w:t>
      </w:r>
      <w:r w:rsidR="00091B21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 електронному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вигляді </w:t>
      </w:r>
      <w:proofErr w:type="spellStart"/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самозайнята</w:t>
      </w:r>
      <w:proofErr w:type="spellEnd"/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особа зобов’язана вести таку форму у форматі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EXCEL</w:t>
      </w:r>
      <w:r w:rsidR="007235F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крім випадку ведення обліку доходів і витрат в електронній формі</w:t>
      </w:r>
      <w:r w:rsidR="007235F4" w:rsidRPr="001522CA">
        <w:rPr>
          <w:color w:val="000000" w:themeColor="text1"/>
        </w:rPr>
        <w:t xml:space="preserve"> </w:t>
      </w:r>
      <w:r w:rsidR="007235F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засобами електронного кабінету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107D22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107D22" w:rsidRPr="001522CA" w:rsidRDefault="00107D22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24486" w:rsidRPr="001522CA" w:rsidRDefault="00254DC6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D2448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У разі </w:t>
      </w:r>
      <w:r w:rsidR="005B649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ведення обліку доходів і витрат в електронній формі</w:t>
      </w:r>
      <w:r w:rsidR="005B6499" w:rsidRPr="001522CA">
        <w:rPr>
          <w:color w:val="000000" w:themeColor="text1"/>
        </w:rPr>
        <w:t xml:space="preserve"> </w:t>
      </w:r>
      <w:r w:rsidR="005B649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засобами електронного кабінету </w:t>
      </w:r>
      <w:proofErr w:type="spellStart"/>
      <w:r w:rsidR="00D2448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самозайнята</w:t>
      </w:r>
      <w:proofErr w:type="spellEnd"/>
      <w:r w:rsidR="00D2448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особа зобов’язана отримати </w:t>
      </w:r>
      <w:r w:rsidR="00F06755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кваліфікований сертифікат відкритого ключа, сформований кваліфікованим надавачем електронних довірчих послуг, включених до системи подання податкових документів в електронному вигляді</w:t>
      </w:r>
      <w:r w:rsidR="00A55E61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D2448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Після отр</w:t>
      </w:r>
      <w:r w:rsidR="00A71DE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D2448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мання </w:t>
      </w:r>
      <w:proofErr w:type="spellStart"/>
      <w:r w:rsidR="00D2448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самозайнятою</w:t>
      </w:r>
      <w:proofErr w:type="spellEnd"/>
      <w:r w:rsidR="00D2448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особою </w:t>
      </w:r>
      <w:r w:rsidR="00F06755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кваліфікованого сертифіката відкритого ключа така особа </w:t>
      </w:r>
      <w:r w:rsidR="00A71DE8" w:rsidRPr="001522CA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A71DE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здійснює операції з ведення</w:t>
      </w:r>
      <w:r w:rsidR="003A535A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обліку доходів і витрат</w:t>
      </w:r>
      <w:r w:rsidR="007235F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</w:t>
      </w:r>
      <w:r w:rsidR="00655F6F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ідповідно до Кодексу безкоштовно.</w:t>
      </w:r>
    </w:p>
    <w:p w:rsidR="003A535A" w:rsidRPr="001522CA" w:rsidRDefault="00DD3590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типовій формі, яка ведеться в електронному вигляді</w:t>
      </w:r>
      <w:r w:rsidR="007235F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у тому числі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42B25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засобами електронного кабінету</w:t>
      </w:r>
      <w:r w:rsidR="00AD4D4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042B25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допускається виправлення помилок або коригування шляхом доповнення рядка, </w:t>
      </w:r>
      <w:r w:rsidR="00AD4D4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якому відображається від’ємне або позитивне значення.</w:t>
      </w:r>
    </w:p>
    <w:p w:rsidR="00546D1D" w:rsidRPr="001522CA" w:rsidRDefault="00546D1D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2752E1" w:rsidRPr="001522CA" w:rsidRDefault="002752E1" w:rsidP="00107D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. Порядок </w:t>
      </w:r>
      <w:r w:rsidR="00DE0039"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ведення </w:t>
      </w:r>
      <w:proofErr w:type="gramStart"/>
      <w:r w:rsidR="00DE0039"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т</w:t>
      </w: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ипової  форми</w:t>
      </w:r>
      <w:proofErr w:type="gramEnd"/>
      <w:r w:rsidR="00254DC6"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,</w:t>
      </w: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за якою здійснюється облік доходів і витрат фізичними особами</w:t>
      </w:r>
      <w:r w:rsidR="00AD4D49"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– </w:t>
      </w: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підприємцями і фізичними особами, які пров</w:t>
      </w:r>
      <w:r w:rsidR="00BE0A11"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а</w:t>
      </w: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дять незалежну професійну діяльність</w:t>
      </w:r>
    </w:p>
    <w:p w:rsidR="00546D1D" w:rsidRPr="001522CA" w:rsidRDefault="00546D1D" w:rsidP="00107D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6C364E" w:rsidRPr="001522CA" w:rsidRDefault="000A463C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A71DE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A71DE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Самозайняті</w:t>
      </w:r>
      <w:proofErr w:type="spellEnd"/>
      <w:r w:rsidR="00A71DE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особи заносять</w:t>
      </w:r>
      <w:r w:rsidR="00732B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A71DE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до </w:t>
      </w:r>
      <w:r w:rsidR="0003041F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="006B21D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ипової форми </w:t>
      </w:r>
      <w:r w:rsidR="0014336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відомості</w:t>
      </w:r>
      <w:r w:rsidR="0069642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14336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B21D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 як</w:t>
      </w:r>
      <w:r w:rsidR="0014336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ими</w:t>
      </w:r>
      <w:r w:rsidR="006B21D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здійснюється  облік доходів і витрат</w:t>
      </w:r>
      <w:r w:rsidR="00BE0A11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6B21D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A013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A71DE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такому порядку:</w:t>
      </w:r>
    </w:p>
    <w:p w:rsidR="006C364E" w:rsidRPr="001522CA" w:rsidRDefault="00662E30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1) </w:t>
      </w:r>
      <w:r w:rsidR="000E244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 першому аркуші</w:t>
      </w:r>
      <w:r w:rsidR="008538E1" w:rsidRPr="001522CA">
        <w:rPr>
          <w:color w:val="000000" w:themeColor="text1"/>
          <w:lang w:val="uk-UA"/>
        </w:rPr>
        <w:t xml:space="preserve"> </w:t>
      </w:r>
      <w:r w:rsidR="000E244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зазначаються: прізвище, ім’я та по батькові</w:t>
      </w:r>
      <w:r w:rsidR="00546D1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(за наявності)</w:t>
      </w:r>
      <w:r w:rsidR="000E244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реєстраційний номер облікової картки платника податків або серія (за наявності) </w:t>
      </w:r>
      <w:r w:rsidR="004C12D1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або</w:t>
      </w:r>
      <w:r w:rsidR="000E244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номер паспорта (для осіб, які за релігійними переконаннями відмовились від прийняття реєстраційного номера облікової картки платника податків та повідомили про це відповідний контролюючий орган  і мають відмітку у паспорті);</w:t>
      </w:r>
    </w:p>
    <w:p w:rsidR="00721B88" w:rsidRPr="001522CA" w:rsidRDefault="00662E30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A71DE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графі 1 зазначається дата запису</w:t>
      </w:r>
      <w:r w:rsidR="000E244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Записи</w:t>
      </w:r>
      <w:r w:rsidR="000E2447" w:rsidRPr="001522CA">
        <w:rPr>
          <w:color w:val="000000" w:themeColor="text1"/>
        </w:rPr>
        <w:t xml:space="preserve"> </w:t>
      </w:r>
      <w:r w:rsidR="000E244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ведуться </w:t>
      </w:r>
      <w:r w:rsidR="00721B8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 хронологічному порядку</w:t>
      </w:r>
      <w:r w:rsidR="009B4FAA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107D22" w:rsidRPr="001522CA" w:rsidRDefault="00662E30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3) </w:t>
      </w:r>
      <w:r w:rsidR="00A71DE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графі 2 відображається сума доходу, отриманого </w:t>
      </w:r>
      <w:r w:rsidR="001146A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A71DE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ід здійснення господарської або незалежної професійної </w:t>
      </w:r>
      <w:r w:rsidR="001146A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діяльності</w:t>
      </w:r>
      <w:r w:rsidR="00BE0A11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1146A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зокрема, кошти, що надійшли на поточний рахунок, </w:t>
      </w:r>
      <w:r w:rsidR="001E2B71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="001146A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касу платника податків та/або отримано готівкою, сума заборгованості, за якою минув строк позовної давності, вартість безоплатно отриманих товарів (робіт, послуг)</w:t>
      </w:r>
      <w:r w:rsidR="00732B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</w:p>
    <w:p w:rsidR="00546D1D" w:rsidRPr="001522CA" w:rsidRDefault="00662E30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732B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графі 3 вказується сума </w:t>
      </w:r>
      <w:proofErr w:type="gramStart"/>
      <w:r w:rsidR="00732B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повернути</w:t>
      </w:r>
      <w:r w:rsidR="006B7FC1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х </w:t>
      </w:r>
      <w:r w:rsidR="00732B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732B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самозайнятою</w:t>
      </w:r>
      <w:proofErr w:type="spellEnd"/>
      <w:proofErr w:type="gramEnd"/>
      <w:r w:rsidR="00732B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особою коштів за товар</w:t>
      </w:r>
      <w:r w:rsidR="001812FE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732B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(роботи</w:t>
      </w:r>
      <w:r w:rsidR="001812FE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732B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послуги) та/або повернутої передплати;</w:t>
      </w:r>
    </w:p>
    <w:p w:rsidR="00EC1B19" w:rsidRPr="001522CA" w:rsidRDefault="00662E30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5) </w:t>
      </w:r>
      <w:r w:rsidR="00732B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графі 4 </w:t>
      </w:r>
      <w:r w:rsidR="00AB1C2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вказується сума</w:t>
      </w:r>
      <w:r w:rsidR="002514AB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AB1C2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A7551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яка</w:t>
      </w:r>
      <w:r w:rsidR="00AB1C2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32B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розраховується </w:t>
      </w:r>
      <w:r w:rsidR="008A7551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як </w:t>
      </w:r>
      <w:r w:rsidR="00732B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різниця між отриманим доходом від здійснення господарської або незалежної професійної діяльності (графа 2) та сумою повернутих </w:t>
      </w:r>
      <w:proofErr w:type="spellStart"/>
      <w:r w:rsidR="00732B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самозайнятою</w:t>
      </w:r>
      <w:proofErr w:type="spellEnd"/>
      <w:r w:rsidR="00732B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особою коштів за товари (роботи</w:t>
      </w:r>
      <w:r w:rsidR="001812FE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732B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послуги) (графа 3)</w:t>
      </w:r>
      <w:r w:rsidR="00AD4D4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  <w:r w:rsidR="002514AB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6D0FE9" w:rsidRPr="001522CA" w:rsidRDefault="006D0FE9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6) інформація про документально підтверджені витрати, пов’язані з господарською діяльністю або провадженням незалежної професійної діяльності</w:t>
      </w:r>
      <w:r w:rsidR="008A7C3F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зазначається у графах 5</w:t>
      </w:r>
      <w:r w:rsidR="00AD4D4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4676B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 відповідно:</w:t>
      </w:r>
    </w:p>
    <w:p w:rsidR="00732BB9" w:rsidRPr="001522CA" w:rsidRDefault="00732BB9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графі 5 зазначаються реквізити документа, який підтверджує</w:t>
      </w:r>
      <w:r w:rsidR="00E842E5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понесені витрати, що безпосередньо пов’я</w:t>
      </w:r>
      <w:r w:rsidR="00374F1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зані з отриманим доходом</w:t>
      </w:r>
      <w:r w:rsidR="00C351B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/ пов’язані з провадженням незалежної професійної діяльності</w:t>
      </w:r>
      <w:r w:rsidR="00374F1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Документ</w:t>
      </w:r>
      <w:r w:rsidR="00AD4D4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ам</w:t>
      </w:r>
      <w:r w:rsidR="00374F1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и, які підтверджують витрати, можуть бути, зокрема, платіжне доручення, прибутковий касовий ордер, квитанція, фіскальний чек, акт закупки (виконаних  робіт, наданих послуг) та інші первинні документи, що засвідчують факт оплати товарів</w:t>
      </w:r>
      <w:r w:rsidR="00B2161A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(</w:t>
      </w:r>
      <w:r w:rsidR="00374F1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робіт, послуг</w:t>
      </w:r>
      <w:r w:rsidR="00B2161A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374F1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031114" w:rsidRPr="001522CA" w:rsidRDefault="00374F14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графі </w:t>
      </w:r>
      <w:r w:rsidR="00105C2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відображається </w:t>
      </w:r>
      <w:r w:rsidR="006D0FE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вартість придбаних товарно-матеріальних цінностей, що реалізовані/використані у виробництві продукції, товарів (наданн</w:t>
      </w:r>
      <w:r w:rsidR="00E25F75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</w:t>
      </w:r>
      <w:r w:rsidR="006D0FE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робіт, послуг)</w:t>
      </w:r>
      <w:r w:rsidR="00C351B4" w:rsidRPr="001522CA">
        <w:rPr>
          <w:lang w:val="uk-UA"/>
        </w:rPr>
        <w:t xml:space="preserve">, </w:t>
      </w:r>
      <w:r w:rsidR="00C351B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або для використання під час провадження незалежної професійної діяльності</w:t>
      </w:r>
      <w:r w:rsidR="0003111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5B5845" w:rsidRPr="001522CA" w:rsidRDefault="005B5845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графі </w:t>
      </w:r>
      <w:r w:rsidR="00105C2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відображ</w:t>
      </w:r>
      <w:r w:rsidR="00B42473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ає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ться </w:t>
      </w:r>
      <w:r w:rsidR="006D0FE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сум</w:t>
      </w:r>
      <w:r w:rsidR="00B42473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6D0FE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витрат на оплату праці </w:t>
      </w:r>
      <w:r w:rsidR="006D0FE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фізичних осіб, що перебувають у трудових відносинах</w:t>
      </w:r>
      <w:r w:rsidR="00C151F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6D0FE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або за виконання робіт, послуг згідно з договорами цивільно-правового характеру</w:t>
      </w:r>
      <w:r w:rsidR="0003111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F9015E" w:rsidRPr="001522CA" w:rsidRDefault="005B5845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графі </w:t>
      </w:r>
      <w:r w:rsidR="00105C2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відображ</w:t>
      </w:r>
      <w:r w:rsidR="00B42473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E01F7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ться сум</w:t>
      </w:r>
      <w:r w:rsidR="00E01F7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F9015E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податків, зборів, єдиного внеску на загальнообов’язкове державне соціальне страхування, платежі, сплачені за одержання ліцензій</w:t>
      </w:r>
      <w:r w:rsidR="00400023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іншого документа дозвільного характеру, які пов’язані з господарською діяльністю</w:t>
      </w:r>
      <w:r w:rsidR="00C351B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/ незалежною професійною діяльністю</w:t>
      </w:r>
      <w:r w:rsidR="00DD374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6D49C3" w:rsidRPr="001522CA" w:rsidRDefault="006D49C3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графі </w:t>
      </w:r>
      <w:r w:rsidR="00105C2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відображ</w:t>
      </w:r>
      <w:r w:rsidR="00B42473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463D1C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є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ться сум</w:t>
      </w:r>
      <w:r w:rsidR="00463D1C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інших витрат, пов’язаних з одержанням доходу</w:t>
      </w:r>
      <w:r w:rsidR="00C351B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/ провадженням незалежної професійної діяльності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857C79" w:rsidRPr="001522CA" w:rsidRDefault="006D49C3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графі 1</w:t>
      </w:r>
      <w:r w:rsidR="00105C2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00023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відображається сума амортизаційних відрахувань, яка  складається</w:t>
      </w:r>
      <w:r w:rsidR="000C7BC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00023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 </w:t>
      </w:r>
      <w:r w:rsidR="00DE5EC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підсумков</w:t>
      </w:r>
      <w:r w:rsidR="00400023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ого</w:t>
      </w:r>
      <w:r w:rsidR="00DE5EC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C7BC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значення рядка </w:t>
      </w:r>
      <w:r w:rsidR="00400023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11 додатка до </w:t>
      </w:r>
      <w:r w:rsidR="00ED7B5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="00400023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ипової форми</w:t>
      </w:r>
      <w:r w:rsidR="0025677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що розраховується за власним бажанням платника та є необов’язковим для заповнення</w:t>
      </w:r>
      <w:r w:rsidR="001478D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107D22" w:rsidRPr="001522CA" w:rsidRDefault="003104C0" w:rsidP="00107D22">
      <w:pPr>
        <w:spacing w:after="0" w:line="240" w:lineRule="auto"/>
        <w:ind w:firstLine="567"/>
        <w:jc w:val="both"/>
        <w:rPr>
          <w:color w:val="000000" w:themeColor="text1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7) </w:t>
      </w:r>
      <w:r w:rsidR="006312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графі </w:t>
      </w:r>
      <w:r w:rsidR="001B7AA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105C2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6312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зазначається сума чистого оподаткованого доходу, яка розраховується як різниця між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загальною сумою отриманого доходу, яка підлягає декларуванню (графа 4</w:t>
      </w:r>
      <w:r w:rsidR="00D33503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312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та сумою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документально підтверджених витрат, пов’язаних з господарською діяльністю або провадженням незалежної професійної діяльності (графи </w:t>
      </w:r>
      <w:r w:rsidR="00C2669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6,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2669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7,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2669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8,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2669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9,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C2669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="006312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).</w:t>
      </w:r>
      <w:r w:rsidRPr="001522CA">
        <w:rPr>
          <w:color w:val="000000" w:themeColor="text1"/>
          <w:lang w:val="uk-UA"/>
        </w:rPr>
        <w:t xml:space="preserve"> </w:t>
      </w:r>
    </w:p>
    <w:p w:rsidR="00107D22" w:rsidRPr="001522CA" w:rsidRDefault="00107D22" w:rsidP="00107D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07D22" w:rsidRPr="001522CA" w:rsidRDefault="000A463C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6312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Фізичні особи –</w:t>
      </w:r>
      <w:r w:rsidR="002D41F2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312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підприємці, зареєстровані як платники податку на додану вартість, не включають до витрат і доход</w:t>
      </w:r>
      <w:r w:rsidR="0004134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ів</w:t>
      </w:r>
      <w:r w:rsidR="006312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суми податку на додану вартість, що входять до ціни придбаних або проданих товарів (робіт</w:t>
      </w:r>
      <w:r w:rsidR="00716B71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6312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послуг).</w:t>
      </w:r>
      <w:r w:rsidR="005F2614" w:rsidRPr="001522CA">
        <w:rPr>
          <w:color w:val="000000" w:themeColor="text1"/>
        </w:rPr>
        <w:t xml:space="preserve"> </w:t>
      </w:r>
      <w:r w:rsidR="005F261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Не включаються до доходу фізичної особи </w:t>
      </w:r>
      <w:r w:rsidR="00400023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5F261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підприємця суми акцизного податку з реалізованих 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суб’єктами</w:t>
      </w:r>
      <w:r w:rsidR="005F261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господарювання роздрібної торгівлі підакцизних товарів.</w:t>
      </w:r>
      <w:r w:rsidR="00107D22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107D22" w:rsidRPr="001522CA" w:rsidRDefault="00107D22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07D22" w:rsidRPr="001522CA" w:rsidRDefault="000A463C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6F044A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 Типова ф</w:t>
      </w:r>
      <w:r w:rsidR="006312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орма зберігається у </w:t>
      </w:r>
      <w:proofErr w:type="spellStart"/>
      <w:r w:rsidR="006312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самозайнятої</w:t>
      </w:r>
      <w:proofErr w:type="spellEnd"/>
      <w:r w:rsidR="006312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особи протягом 3 років після закінчення звітного періоду, 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</w:t>
      </w:r>
      <w:r w:rsidR="006312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якому здійснено останній запис.</w:t>
      </w:r>
      <w:r w:rsidR="00107D22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107D22" w:rsidRPr="001522CA" w:rsidRDefault="00107D22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107D22" w:rsidRPr="001522CA" w:rsidRDefault="00674387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6312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. Дані </w:t>
      </w:r>
      <w:r w:rsidR="000A167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обліку доходів і витрат </w:t>
      </w:r>
      <w:r w:rsidR="006312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заповнюються </w:t>
      </w:r>
      <w:r w:rsidR="006F044A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 наростаючим підсумком </w:t>
      </w:r>
      <w:r w:rsidR="006312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гривнях з копійками</w:t>
      </w:r>
      <w:r w:rsidR="006F044A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F58DB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та </w:t>
      </w:r>
      <w:r w:rsidR="006F044A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використову</w:t>
      </w:r>
      <w:r w:rsidR="002E784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ються</w:t>
      </w:r>
      <w:r w:rsidR="006F044A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заповнення річної податкової декларації про майновий стан і доходи.</w:t>
      </w:r>
      <w:r w:rsidR="00FA013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F58DB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107D22" w:rsidRPr="001522CA" w:rsidRDefault="00107D22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45CFC" w:rsidRPr="001522CA" w:rsidRDefault="00674387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5. У разі ведення обліку доходів і витрат в електронному вигляді </w:t>
      </w:r>
      <w:proofErr w:type="spellStart"/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самозайнята</w:t>
      </w:r>
      <w:proofErr w:type="spellEnd"/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особа зобов’язана </w:t>
      </w:r>
      <w:r w:rsidR="007B36E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 вимогу контролюючого органу </w:t>
      </w:r>
      <w:r w:rsidR="001A527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надати</w:t>
      </w:r>
      <w:r w:rsidR="00B93BF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засвідчен</w:t>
      </w:r>
      <w:r w:rsidR="0030329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</w:t>
      </w:r>
      <w:r w:rsidR="00B93BF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належним чином</w:t>
      </w:r>
      <w:r w:rsidR="001A527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копі</w:t>
      </w:r>
      <w:r w:rsidR="0030329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ю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такого обліку</w:t>
      </w:r>
      <w:r w:rsidR="0030329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 паперовому вигляді</w:t>
      </w:r>
      <w:r w:rsidR="00BC109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 порядку, встановленому податковим законодавством</w:t>
      </w:r>
      <w:r w:rsidR="00B93BF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9A58F9" w:rsidRPr="001522CA" w:rsidRDefault="009A58F9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6244D7" w:rsidRPr="001522CA" w:rsidRDefault="0050742A" w:rsidP="00107D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III</w:t>
      </w: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6244D7"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Облік амортизаційних відрахувань основних засобів та нематеріальних активів</w:t>
      </w:r>
    </w:p>
    <w:p w:rsidR="00107D22" w:rsidRPr="001522CA" w:rsidRDefault="00107D22" w:rsidP="00107D2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9A58F9" w:rsidRPr="001522CA" w:rsidRDefault="00655320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підпунктом 177.4.6  пункту  177.4 статті 177 Кодексу фізичні особи – підприємці  мають право (за власним бажанням) включати до складу витрат, пов’язаних з провадженням їх господарської діяльності, амортизаційні відрахування з відповідним веденням окремого обліку таких витрат.</w:t>
      </w:r>
    </w:p>
    <w:p w:rsidR="000C7BC4" w:rsidRPr="001522CA" w:rsidRDefault="000C7BC4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Облік амортизаційних відрахувань </w:t>
      </w:r>
      <w:r w:rsidR="00BA7035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 бажанням платника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ведеться окремо </w:t>
      </w:r>
      <w:r w:rsidR="00A86CE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за кожним об’єктом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та розраховується відповідно до встановленої форми згідно з додатком до </w:t>
      </w:r>
      <w:r w:rsidR="0003041F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ипової форми</w:t>
      </w:r>
      <w:r w:rsidR="0000045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:</w:t>
      </w:r>
    </w:p>
    <w:p w:rsidR="000C7BC4" w:rsidRPr="001522CA" w:rsidRDefault="000C7BC4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1) у графі 1</w:t>
      </w:r>
      <w:r w:rsidR="00B27BB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зазначається порядковий номер запису;</w:t>
      </w:r>
    </w:p>
    <w:p w:rsidR="006244D7" w:rsidRPr="001522CA" w:rsidRDefault="00021B25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у графі </w:t>
      </w:r>
      <w:r w:rsidR="000C7BC4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зазначається група основних</w:t>
      </w:r>
      <w:r w:rsidR="005F377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засобів/нематеріальних активів, </w:t>
      </w:r>
      <w:r w:rsidR="00A86CED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встановлена</w:t>
      </w:r>
      <w:r w:rsidR="006C3F1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F377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662E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ідпункт</w:t>
      </w:r>
      <w:r w:rsidR="002E03EC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ом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F377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177.4.9</w:t>
      </w:r>
      <w:r w:rsidR="00662E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F377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п</w:t>
      </w:r>
      <w:r w:rsidR="00662E3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ункту </w:t>
      </w:r>
      <w:r w:rsidR="005F377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177.4 ст</w:t>
      </w:r>
      <w:r w:rsidR="002E03EC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атті</w:t>
      </w:r>
      <w:r w:rsidR="005F3776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177 Кодексу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;</w:t>
      </w:r>
    </w:p>
    <w:p w:rsidR="006244D7" w:rsidRPr="001522CA" w:rsidRDefault="00021B25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у графі </w:t>
      </w:r>
      <w:r w:rsidR="00B27BB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зазначається назва об’єкт</w:t>
      </w:r>
      <w:r w:rsidR="00F46B6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основних засобів/нематеріальних активів;</w:t>
      </w:r>
    </w:p>
    <w:p w:rsidR="00F46B60" w:rsidRPr="001522CA" w:rsidRDefault="00021B25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у графі </w:t>
      </w:r>
      <w:r w:rsidR="00B27BB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зазначаються реквізити документа, який підтверджує факт придбання/самостійного виготовлення основних засобів/нематеріальних активів. Такими документами можуть бути акт приймання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передачі, акт приймання</w:t>
      </w:r>
      <w:r w:rsidR="002E03EC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здачі, фіскальний чек, вантажно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митна декларація, видаткова накладна та інші первинні документи, що підтверджують придбання/самостійн</w:t>
      </w:r>
      <w:r w:rsidR="00F46B6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е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виготовлення основних засобів/нематеріальних активів;</w:t>
      </w:r>
    </w:p>
    <w:p w:rsidR="006244D7" w:rsidRPr="001522CA" w:rsidRDefault="00021B25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у графі </w:t>
      </w:r>
      <w:r w:rsidR="00B27BB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5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зазначаються реквізити документа, який підтверджує, що об’єкт основних засобів/нематеріальних активів став придатним для корисного використання (експлуатації). Таким документом, зокрема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може бути акт введення в експлуатацію;</w:t>
      </w:r>
    </w:p>
    <w:p w:rsidR="006244D7" w:rsidRPr="001522CA" w:rsidRDefault="00021B25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у графі </w:t>
      </w:r>
      <w:r w:rsidR="00B27BB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вказується строк корисного використання (експлуатації) об’єкта основних засобів/нематеріальних активів, самостійно установлений фізичною особою – підприємцем, але не менше мінімально допустимого строку корисного використання об’єкта основних засобів/нематеріальних активів, встановленого </w:t>
      </w:r>
      <w:r w:rsidR="008330A2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="002E03EC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ідпунктом 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177.4.9 п</w:t>
      </w:r>
      <w:r w:rsidR="002E03EC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ункту 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177.4 ст</w:t>
      </w:r>
      <w:r w:rsidR="002E03EC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атті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177 Кодексу;</w:t>
      </w:r>
    </w:p>
    <w:p w:rsidR="006244D7" w:rsidRPr="001522CA" w:rsidRDefault="00021B25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у графі </w:t>
      </w:r>
      <w:r w:rsidR="00B27BB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вказується первісна вартість об’єкт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основних засобів/нематеріальних активів, яка амортизується. Первісна вартість об’єкт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основних засобів/нематеріальних активів, яка амортизується, складається з витрат на придбання основних засобів/нематеріальних активів або витрат на самостійне виготовлення основних засобів, реконструкцію, модернізацію та інші види поліпшення основних засобів (крім поточного ремонту) без урахування податку на додану вартість;</w:t>
      </w:r>
    </w:p>
    <w:p w:rsidR="006244D7" w:rsidRPr="001522CA" w:rsidRDefault="00021B25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у графі </w:t>
      </w:r>
      <w:r w:rsidR="00B27BB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вказується річна сума амортизації, що визначається діленням первісної вартості об’єкта основних засобів/нематеріальних активів, яка амортизується (графа </w:t>
      </w:r>
      <w:r w:rsidR="007C7FAB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), на строк корисного викорис</w:t>
      </w:r>
      <w:r w:rsidR="00F46B6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тання об’єкта основних засобів/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нематеріальних активів (графа </w:t>
      </w:r>
      <w:r w:rsidR="007C7FAB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);</w:t>
      </w:r>
    </w:p>
    <w:p w:rsidR="006244D7" w:rsidRPr="001522CA" w:rsidRDefault="00021B25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у графі </w:t>
      </w:r>
      <w:r w:rsidR="00B27BB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вказується місячна сума амортизації, що визначається діленням річної суми амортизації (графа </w:t>
      </w:r>
      <w:r w:rsidR="007C7FAB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8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 на 12;</w:t>
      </w:r>
    </w:p>
    <w:p w:rsidR="006244D7" w:rsidRPr="001522CA" w:rsidRDefault="00021B25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розрахунок амортизаційних відрахувань звітного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періоду 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здійснюється у графах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– 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6244D7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відповідно: </w:t>
      </w:r>
    </w:p>
    <w:p w:rsidR="006244D7" w:rsidRPr="001522CA" w:rsidRDefault="006244D7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графі </w:t>
      </w:r>
      <w:r w:rsidR="00021B25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вказується вартість об’єкта основних засобів/нематеріальних активів на початок звітного періоду. По основни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засоба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/нематеріальни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актива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придбани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/самостійно виготовлени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 поточному звітному періоді</w:t>
      </w:r>
      <w:r w:rsidR="00411D88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вказується первісна вартість об’єкта основних засобів/нематеріальних активів, яка амортизується (графа </w:t>
      </w:r>
      <w:r w:rsidR="00107F4E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), по основни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засоба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/нематеріальни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актива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придбани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/самостійно виготовлени</w:t>
      </w:r>
      <w:r w:rsidR="00105CA9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х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у попередньому звітному періоді, вказується вартість об’єкта основних засобів/нематеріальних активів на кінець попереднього звітного періоду (графа 1</w:t>
      </w:r>
      <w:r w:rsidR="007C7FAB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);</w:t>
      </w:r>
    </w:p>
    <w:p w:rsidR="006244D7" w:rsidRPr="001522CA" w:rsidRDefault="006244D7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графі 1</w:t>
      </w:r>
      <w:r w:rsidR="00021B25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вказується сума амортизаційних відрахувань, яка визначається множенням місячної суми амортизації (графа </w:t>
      </w:r>
      <w:r w:rsidR="007C7FAB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9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) на кількість місяців корисного використання (експлуатації) у звітному періоді. Підсумкова сума амортизаційних відрахувань за звітний період переноситься до графи 10 </w:t>
      </w:r>
      <w:r w:rsidR="002963AE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ипової форми, за якою здійснюється облік доходів і витрат фізичними особами – підприємцями</w:t>
      </w:r>
      <w:r w:rsidR="006A0642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і фізичними особами, які пров</w:t>
      </w:r>
      <w:r w:rsidR="00F46B6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дять незалежну професійну діяльність;</w:t>
      </w:r>
    </w:p>
    <w:p w:rsidR="006244D7" w:rsidRPr="001522CA" w:rsidRDefault="006244D7" w:rsidP="00107D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у графі 1</w:t>
      </w:r>
      <w:r w:rsidR="00021B25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2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вказується вартість об’єкта основних засобів/нематеріальних активів на кінець звітного періоду, яка визначається </w:t>
      </w:r>
      <w:r w:rsidR="00CD417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як 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різниц</w:t>
      </w:r>
      <w:r w:rsidR="00CD4170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між вартістю об’єкта основних засобів/нематеріальних активів на початок звітного періоду (графа </w:t>
      </w:r>
      <w:r w:rsidR="007C7FAB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 та сумою амортизаційних відрахувань (графа 1</w:t>
      </w:r>
      <w:r w:rsidR="007C7FAB"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Pr="001522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).</w:t>
      </w:r>
    </w:p>
    <w:p w:rsidR="00A031F2" w:rsidRPr="001522CA" w:rsidRDefault="00A031F2" w:rsidP="00107D22">
      <w:pPr>
        <w:tabs>
          <w:tab w:val="left" w:pos="36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91D72" w:rsidRPr="001522CA" w:rsidRDefault="00E91D72" w:rsidP="00107D22">
      <w:pPr>
        <w:tabs>
          <w:tab w:val="left" w:pos="36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C14D37" w:rsidRPr="001522CA" w:rsidRDefault="00C14D37" w:rsidP="00107D22">
      <w:pPr>
        <w:tabs>
          <w:tab w:val="left" w:pos="360"/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Директор Департаменту </w:t>
      </w:r>
    </w:p>
    <w:p w:rsidR="00B73B1B" w:rsidRPr="002B5E63" w:rsidRDefault="00C14D37" w:rsidP="00107D22">
      <w:pPr>
        <w:tabs>
          <w:tab w:val="left" w:pos="360"/>
          <w:tab w:val="left" w:pos="7088"/>
        </w:tabs>
        <w:spacing w:after="0" w:line="240" w:lineRule="auto"/>
        <w:jc w:val="both"/>
        <w:rPr>
          <w:b/>
          <w:color w:val="000000" w:themeColor="text1"/>
          <w:lang w:val="uk-UA"/>
        </w:rPr>
      </w:pPr>
      <w:r w:rsidRPr="001522C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>податкової політики                                                             Лариса МАКСИМЕНКО</w:t>
      </w:r>
      <w:bookmarkStart w:id="0" w:name="_GoBack"/>
      <w:bookmarkEnd w:id="0"/>
      <w:r w:rsidRPr="002B5E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857C79" w:rsidRDefault="00857C79" w:rsidP="00107D22">
      <w:pPr>
        <w:tabs>
          <w:tab w:val="left" w:pos="360"/>
          <w:tab w:val="left" w:pos="7088"/>
        </w:tabs>
        <w:spacing w:after="0" w:line="240" w:lineRule="auto"/>
        <w:jc w:val="both"/>
        <w:rPr>
          <w:b/>
          <w:color w:val="000000" w:themeColor="text1"/>
          <w:lang w:val="uk-UA"/>
        </w:rPr>
      </w:pPr>
    </w:p>
    <w:p w:rsidR="00857C79" w:rsidRDefault="00857C79" w:rsidP="00107D22">
      <w:pPr>
        <w:tabs>
          <w:tab w:val="left" w:pos="360"/>
          <w:tab w:val="left" w:pos="7088"/>
        </w:tabs>
        <w:spacing w:after="0" w:line="240" w:lineRule="auto"/>
        <w:jc w:val="both"/>
        <w:rPr>
          <w:b/>
          <w:color w:val="000000" w:themeColor="text1"/>
          <w:lang w:val="uk-UA"/>
        </w:rPr>
      </w:pPr>
    </w:p>
    <w:sectPr w:rsidR="00857C79" w:rsidSect="00616940">
      <w:headerReference w:type="even" r:id="rId7"/>
      <w:headerReference w:type="default" r:id="rId8"/>
      <w:pgSz w:w="11906" w:h="16838" w:code="9"/>
      <w:pgMar w:top="851" w:right="851" w:bottom="1134" w:left="1418" w:header="567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D13" w:rsidRDefault="00FA3D13">
      <w:r>
        <w:separator/>
      </w:r>
    </w:p>
  </w:endnote>
  <w:endnote w:type="continuationSeparator" w:id="0">
    <w:p w:rsidR="00FA3D13" w:rsidRDefault="00FA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D13" w:rsidRDefault="00FA3D13">
      <w:r>
        <w:separator/>
      </w:r>
    </w:p>
  </w:footnote>
  <w:footnote w:type="continuationSeparator" w:id="0">
    <w:p w:rsidR="00FA3D13" w:rsidRDefault="00FA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103" w:rsidRDefault="00927103" w:rsidP="00803FE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7103" w:rsidRDefault="009271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083" w:rsidRDefault="0033208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522CA">
      <w:rPr>
        <w:noProof/>
      </w:rPr>
      <w:t>5</w:t>
    </w:r>
    <w:r>
      <w:fldChar w:fldCharType="end"/>
    </w:r>
  </w:p>
  <w:p w:rsidR="00332083" w:rsidRDefault="0033208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5780D"/>
    <w:multiLevelType w:val="hybridMultilevel"/>
    <w:tmpl w:val="DE10A8E8"/>
    <w:lvl w:ilvl="0" w:tplc="175EF9E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90D1B11"/>
    <w:multiLevelType w:val="multilevel"/>
    <w:tmpl w:val="52806B5E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4745B98"/>
    <w:multiLevelType w:val="hybridMultilevel"/>
    <w:tmpl w:val="420AF19C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1B"/>
    <w:rsid w:val="00000454"/>
    <w:rsid w:val="0002028E"/>
    <w:rsid w:val="00021B25"/>
    <w:rsid w:val="0002250F"/>
    <w:rsid w:val="00024B31"/>
    <w:rsid w:val="0002521D"/>
    <w:rsid w:val="0003041F"/>
    <w:rsid w:val="00031114"/>
    <w:rsid w:val="000342E0"/>
    <w:rsid w:val="00041348"/>
    <w:rsid w:val="00042B25"/>
    <w:rsid w:val="000456C4"/>
    <w:rsid w:val="00050D00"/>
    <w:rsid w:val="00064131"/>
    <w:rsid w:val="00083CB5"/>
    <w:rsid w:val="00091B21"/>
    <w:rsid w:val="0009450D"/>
    <w:rsid w:val="000A1679"/>
    <w:rsid w:val="000A463C"/>
    <w:rsid w:val="000B56AA"/>
    <w:rsid w:val="000B7431"/>
    <w:rsid w:val="000C45AC"/>
    <w:rsid w:val="000C7BC4"/>
    <w:rsid w:val="000D09E6"/>
    <w:rsid w:val="000D2E44"/>
    <w:rsid w:val="000E2447"/>
    <w:rsid w:val="000E4BA1"/>
    <w:rsid w:val="000E73C3"/>
    <w:rsid w:val="000F35CE"/>
    <w:rsid w:val="00105C2D"/>
    <w:rsid w:val="00105CA9"/>
    <w:rsid w:val="001062D6"/>
    <w:rsid w:val="00107D22"/>
    <w:rsid w:val="00107F4E"/>
    <w:rsid w:val="00113BAC"/>
    <w:rsid w:val="001146A7"/>
    <w:rsid w:val="001160A9"/>
    <w:rsid w:val="00121623"/>
    <w:rsid w:val="00137552"/>
    <w:rsid w:val="0014336D"/>
    <w:rsid w:val="001478D4"/>
    <w:rsid w:val="001522CA"/>
    <w:rsid w:val="00164BA8"/>
    <w:rsid w:val="001652E9"/>
    <w:rsid w:val="001812FE"/>
    <w:rsid w:val="001907D4"/>
    <w:rsid w:val="0019712E"/>
    <w:rsid w:val="001A00B9"/>
    <w:rsid w:val="001A365C"/>
    <w:rsid w:val="001A527D"/>
    <w:rsid w:val="001A74B1"/>
    <w:rsid w:val="001B5E67"/>
    <w:rsid w:val="001B5F4A"/>
    <w:rsid w:val="001B7AA6"/>
    <w:rsid w:val="001C5CE4"/>
    <w:rsid w:val="001D20D5"/>
    <w:rsid w:val="001E2B71"/>
    <w:rsid w:val="001E74E3"/>
    <w:rsid w:val="00212726"/>
    <w:rsid w:val="00217361"/>
    <w:rsid w:val="00233983"/>
    <w:rsid w:val="002514AB"/>
    <w:rsid w:val="00254DC6"/>
    <w:rsid w:val="00255A3A"/>
    <w:rsid w:val="00256770"/>
    <w:rsid w:val="00257B05"/>
    <w:rsid w:val="00271279"/>
    <w:rsid w:val="002752E1"/>
    <w:rsid w:val="002954B5"/>
    <w:rsid w:val="002963AE"/>
    <w:rsid w:val="002B3BBE"/>
    <w:rsid w:val="002B40EC"/>
    <w:rsid w:val="002B5E63"/>
    <w:rsid w:val="002C7D9B"/>
    <w:rsid w:val="002D1582"/>
    <w:rsid w:val="002D41F2"/>
    <w:rsid w:val="002E03EC"/>
    <w:rsid w:val="002E436A"/>
    <w:rsid w:val="002E7667"/>
    <w:rsid w:val="002E7840"/>
    <w:rsid w:val="002F76C8"/>
    <w:rsid w:val="0030329D"/>
    <w:rsid w:val="0030663F"/>
    <w:rsid w:val="003104C0"/>
    <w:rsid w:val="00311813"/>
    <w:rsid w:val="00313188"/>
    <w:rsid w:val="00313774"/>
    <w:rsid w:val="00332083"/>
    <w:rsid w:val="00335920"/>
    <w:rsid w:val="0034236C"/>
    <w:rsid w:val="00342D34"/>
    <w:rsid w:val="00346FA1"/>
    <w:rsid w:val="00374F14"/>
    <w:rsid w:val="003800AB"/>
    <w:rsid w:val="00391B24"/>
    <w:rsid w:val="003A535A"/>
    <w:rsid w:val="003B0E0F"/>
    <w:rsid w:val="003B42A2"/>
    <w:rsid w:val="003C14C7"/>
    <w:rsid w:val="003D262A"/>
    <w:rsid w:val="003F58DB"/>
    <w:rsid w:val="00400023"/>
    <w:rsid w:val="00404B9F"/>
    <w:rsid w:val="00406317"/>
    <w:rsid w:val="00411D88"/>
    <w:rsid w:val="0041266C"/>
    <w:rsid w:val="00413427"/>
    <w:rsid w:val="00414C6A"/>
    <w:rsid w:val="00423176"/>
    <w:rsid w:val="00424723"/>
    <w:rsid w:val="004358CF"/>
    <w:rsid w:val="00441A0E"/>
    <w:rsid w:val="00451FEA"/>
    <w:rsid w:val="00456A22"/>
    <w:rsid w:val="0046017B"/>
    <w:rsid w:val="00462A09"/>
    <w:rsid w:val="00463D1C"/>
    <w:rsid w:val="004676B9"/>
    <w:rsid w:val="0047078B"/>
    <w:rsid w:val="004711BC"/>
    <w:rsid w:val="00471DD8"/>
    <w:rsid w:val="004818F7"/>
    <w:rsid w:val="00483436"/>
    <w:rsid w:val="004A1D45"/>
    <w:rsid w:val="004C12D1"/>
    <w:rsid w:val="004C751A"/>
    <w:rsid w:val="004E03DE"/>
    <w:rsid w:val="00503B26"/>
    <w:rsid w:val="0050742A"/>
    <w:rsid w:val="00516B44"/>
    <w:rsid w:val="00521ECB"/>
    <w:rsid w:val="00536986"/>
    <w:rsid w:val="00537615"/>
    <w:rsid w:val="00546D1D"/>
    <w:rsid w:val="00556547"/>
    <w:rsid w:val="00570183"/>
    <w:rsid w:val="00571E2C"/>
    <w:rsid w:val="00596193"/>
    <w:rsid w:val="005A4A69"/>
    <w:rsid w:val="005A5EE4"/>
    <w:rsid w:val="005B5845"/>
    <w:rsid w:val="005B6499"/>
    <w:rsid w:val="005B6AF7"/>
    <w:rsid w:val="005C2479"/>
    <w:rsid w:val="005D48E5"/>
    <w:rsid w:val="005D611E"/>
    <w:rsid w:val="005E254F"/>
    <w:rsid w:val="005E5D88"/>
    <w:rsid w:val="005F2614"/>
    <w:rsid w:val="005F3776"/>
    <w:rsid w:val="005F38AC"/>
    <w:rsid w:val="005F429D"/>
    <w:rsid w:val="006044C3"/>
    <w:rsid w:val="00614117"/>
    <w:rsid w:val="0061476D"/>
    <w:rsid w:val="00616940"/>
    <w:rsid w:val="006244D7"/>
    <w:rsid w:val="00631230"/>
    <w:rsid w:val="00641298"/>
    <w:rsid w:val="00645563"/>
    <w:rsid w:val="00650757"/>
    <w:rsid w:val="00655320"/>
    <w:rsid w:val="0065574E"/>
    <w:rsid w:val="00655F6F"/>
    <w:rsid w:val="00657221"/>
    <w:rsid w:val="00662E30"/>
    <w:rsid w:val="00672826"/>
    <w:rsid w:val="00674387"/>
    <w:rsid w:val="00690146"/>
    <w:rsid w:val="00696427"/>
    <w:rsid w:val="006A0642"/>
    <w:rsid w:val="006A4AEE"/>
    <w:rsid w:val="006B21D9"/>
    <w:rsid w:val="006B7FC1"/>
    <w:rsid w:val="006C1B51"/>
    <w:rsid w:val="006C1CB4"/>
    <w:rsid w:val="006C364E"/>
    <w:rsid w:val="006C3F16"/>
    <w:rsid w:val="006C448F"/>
    <w:rsid w:val="006D0FE9"/>
    <w:rsid w:val="006D3722"/>
    <w:rsid w:val="006D49C3"/>
    <w:rsid w:val="006E6FE1"/>
    <w:rsid w:val="006E7531"/>
    <w:rsid w:val="006F044A"/>
    <w:rsid w:val="006F208F"/>
    <w:rsid w:val="006F3FC7"/>
    <w:rsid w:val="00716B71"/>
    <w:rsid w:val="00720FA9"/>
    <w:rsid w:val="00721B88"/>
    <w:rsid w:val="007235F4"/>
    <w:rsid w:val="007238EC"/>
    <w:rsid w:val="00723C9E"/>
    <w:rsid w:val="007265B5"/>
    <w:rsid w:val="00732BB9"/>
    <w:rsid w:val="00732CCF"/>
    <w:rsid w:val="0073342C"/>
    <w:rsid w:val="0073560C"/>
    <w:rsid w:val="00736343"/>
    <w:rsid w:val="00742BF2"/>
    <w:rsid w:val="00771D49"/>
    <w:rsid w:val="007723AF"/>
    <w:rsid w:val="00772D66"/>
    <w:rsid w:val="00776993"/>
    <w:rsid w:val="0077756E"/>
    <w:rsid w:val="0078601D"/>
    <w:rsid w:val="00796DCC"/>
    <w:rsid w:val="00797BAF"/>
    <w:rsid w:val="007B36E7"/>
    <w:rsid w:val="007C4616"/>
    <w:rsid w:val="007C5C4E"/>
    <w:rsid w:val="007C7FAB"/>
    <w:rsid w:val="007D08DC"/>
    <w:rsid w:val="007D15D2"/>
    <w:rsid w:val="007F1626"/>
    <w:rsid w:val="007F3D6A"/>
    <w:rsid w:val="007F3FDE"/>
    <w:rsid w:val="007F5E1C"/>
    <w:rsid w:val="00803FE3"/>
    <w:rsid w:val="00806211"/>
    <w:rsid w:val="00824005"/>
    <w:rsid w:val="008330A2"/>
    <w:rsid w:val="008529CD"/>
    <w:rsid w:val="008538E1"/>
    <w:rsid w:val="00857C79"/>
    <w:rsid w:val="00863F1E"/>
    <w:rsid w:val="008675B5"/>
    <w:rsid w:val="00871C62"/>
    <w:rsid w:val="008A7551"/>
    <w:rsid w:val="008A7C3F"/>
    <w:rsid w:val="008B10F5"/>
    <w:rsid w:val="008B1D9E"/>
    <w:rsid w:val="008B2FE9"/>
    <w:rsid w:val="008C0C80"/>
    <w:rsid w:val="008C511D"/>
    <w:rsid w:val="008D6FFA"/>
    <w:rsid w:val="00900A18"/>
    <w:rsid w:val="0090396E"/>
    <w:rsid w:val="00915060"/>
    <w:rsid w:val="00926FCA"/>
    <w:rsid w:val="00927103"/>
    <w:rsid w:val="00936A81"/>
    <w:rsid w:val="009451CA"/>
    <w:rsid w:val="0095399E"/>
    <w:rsid w:val="00962E79"/>
    <w:rsid w:val="00975427"/>
    <w:rsid w:val="00997CBE"/>
    <w:rsid w:val="009A0916"/>
    <w:rsid w:val="009A3491"/>
    <w:rsid w:val="009A58F9"/>
    <w:rsid w:val="009A59EC"/>
    <w:rsid w:val="009B4FAA"/>
    <w:rsid w:val="009D1E7F"/>
    <w:rsid w:val="009E0B34"/>
    <w:rsid w:val="009E132A"/>
    <w:rsid w:val="009E19AF"/>
    <w:rsid w:val="009F08BE"/>
    <w:rsid w:val="009F6FAE"/>
    <w:rsid w:val="00A0095D"/>
    <w:rsid w:val="00A014DC"/>
    <w:rsid w:val="00A031F2"/>
    <w:rsid w:val="00A07DEF"/>
    <w:rsid w:val="00A16131"/>
    <w:rsid w:val="00A30E38"/>
    <w:rsid w:val="00A55E61"/>
    <w:rsid w:val="00A71DE8"/>
    <w:rsid w:val="00A7466E"/>
    <w:rsid w:val="00A74C03"/>
    <w:rsid w:val="00A8149A"/>
    <w:rsid w:val="00A86CED"/>
    <w:rsid w:val="00AA46CA"/>
    <w:rsid w:val="00AA4FB9"/>
    <w:rsid w:val="00AA5D80"/>
    <w:rsid w:val="00AB1C20"/>
    <w:rsid w:val="00AB4360"/>
    <w:rsid w:val="00AB6D38"/>
    <w:rsid w:val="00AC06ED"/>
    <w:rsid w:val="00AC7FE1"/>
    <w:rsid w:val="00AD166E"/>
    <w:rsid w:val="00AD4D49"/>
    <w:rsid w:val="00AE51D9"/>
    <w:rsid w:val="00AF7287"/>
    <w:rsid w:val="00B10637"/>
    <w:rsid w:val="00B169FC"/>
    <w:rsid w:val="00B17E67"/>
    <w:rsid w:val="00B2161A"/>
    <w:rsid w:val="00B27BB8"/>
    <w:rsid w:val="00B42473"/>
    <w:rsid w:val="00B436DF"/>
    <w:rsid w:val="00B56270"/>
    <w:rsid w:val="00B620CE"/>
    <w:rsid w:val="00B664C1"/>
    <w:rsid w:val="00B73B1B"/>
    <w:rsid w:val="00B93BFD"/>
    <w:rsid w:val="00B94896"/>
    <w:rsid w:val="00B94EFB"/>
    <w:rsid w:val="00BA427F"/>
    <w:rsid w:val="00BA7035"/>
    <w:rsid w:val="00BB3F37"/>
    <w:rsid w:val="00BB5C9A"/>
    <w:rsid w:val="00BB6C3C"/>
    <w:rsid w:val="00BC1096"/>
    <w:rsid w:val="00BC1F55"/>
    <w:rsid w:val="00BE0A11"/>
    <w:rsid w:val="00BE4E84"/>
    <w:rsid w:val="00BF2D63"/>
    <w:rsid w:val="00BF5481"/>
    <w:rsid w:val="00C035D1"/>
    <w:rsid w:val="00C07184"/>
    <w:rsid w:val="00C14D37"/>
    <w:rsid w:val="00C151F6"/>
    <w:rsid w:val="00C25F98"/>
    <w:rsid w:val="00C26690"/>
    <w:rsid w:val="00C3344C"/>
    <w:rsid w:val="00C351B4"/>
    <w:rsid w:val="00C60FBF"/>
    <w:rsid w:val="00C81602"/>
    <w:rsid w:val="00C8348F"/>
    <w:rsid w:val="00CA7D54"/>
    <w:rsid w:val="00CB7F45"/>
    <w:rsid w:val="00CC7B19"/>
    <w:rsid w:val="00CD4170"/>
    <w:rsid w:val="00CE240D"/>
    <w:rsid w:val="00CE435C"/>
    <w:rsid w:val="00CE628C"/>
    <w:rsid w:val="00CF193D"/>
    <w:rsid w:val="00D01454"/>
    <w:rsid w:val="00D021BB"/>
    <w:rsid w:val="00D02B49"/>
    <w:rsid w:val="00D24486"/>
    <w:rsid w:val="00D33503"/>
    <w:rsid w:val="00D3471B"/>
    <w:rsid w:val="00D37A0D"/>
    <w:rsid w:val="00D45CFC"/>
    <w:rsid w:val="00D653B0"/>
    <w:rsid w:val="00DA15BC"/>
    <w:rsid w:val="00DA5537"/>
    <w:rsid w:val="00DB3FCE"/>
    <w:rsid w:val="00DD1616"/>
    <w:rsid w:val="00DD3590"/>
    <w:rsid w:val="00DD3744"/>
    <w:rsid w:val="00DD3EB7"/>
    <w:rsid w:val="00DD458F"/>
    <w:rsid w:val="00DE0039"/>
    <w:rsid w:val="00DE5ECD"/>
    <w:rsid w:val="00DF108F"/>
    <w:rsid w:val="00DF17B7"/>
    <w:rsid w:val="00DF29D8"/>
    <w:rsid w:val="00E01F76"/>
    <w:rsid w:val="00E04707"/>
    <w:rsid w:val="00E0502F"/>
    <w:rsid w:val="00E067D2"/>
    <w:rsid w:val="00E16F94"/>
    <w:rsid w:val="00E2103F"/>
    <w:rsid w:val="00E25F75"/>
    <w:rsid w:val="00E30CEB"/>
    <w:rsid w:val="00E43FE6"/>
    <w:rsid w:val="00E56FF2"/>
    <w:rsid w:val="00E667DD"/>
    <w:rsid w:val="00E74A64"/>
    <w:rsid w:val="00E74FDF"/>
    <w:rsid w:val="00E842E5"/>
    <w:rsid w:val="00E91D72"/>
    <w:rsid w:val="00E959BF"/>
    <w:rsid w:val="00E97952"/>
    <w:rsid w:val="00EA1610"/>
    <w:rsid w:val="00EA1B18"/>
    <w:rsid w:val="00EB0F82"/>
    <w:rsid w:val="00EB7060"/>
    <w:rsid w:val="00EC1B19"/>
    <w:rsid w:val="00EC6EC2"/>
    <w:rsid w:val="00ED0599"/>
    <w:rsid w:val="00ED2606"/>
    <w:rsid w:val="00ED7B56"/>
    <w:rsid w:val="00EE4299"/>
    <w:rsid w:val="00EF60BF"/>
    <w:rsid w:val="00F00E9C"/>
    <w:rsid w:val="00F03858"/>
    <w:rsid w:val="00F06755"/>
    <w:rsid w:val="00F177BA"/>
    <w:rsid w:val="00F27B20"/>
    <w:rsid w:val="00F33A25"/>
    <w:rsid w:val="00F37686"/>
    <w:rsid w:val="00F40863"/>
    <w:rsid w:val="00F42FE8"/>
    <w:rsid w:val="00F44E5D"/>
    <w:rsid w:val="00F46B60"/>
    <w:rsid w:val="00F52BA8"/>
    <w:rsid w:val="00F557DA"/>
    <w:rsid w:val="00F70B7E"/>
    <w:rsid w:val="00F8429E"/>
    <w:rsid w:val="00F9015E"/>
    <w:rsid w:val="00F95256"/>
    <w:rsid w:val="00F96D0E"/>
    <w:rsid w:val="00F978A8"/>
    <w:rsid w:val="00FA0137"/>
    <w:rsid w:val="00FA3D13"/>
    <w:rsid w:val="00FC513D"/>
    <w:rsid w:val="00FD7532"/>
    <w:rsid w:val="00FE204C"/>
    <w:rsid w:val="00FE395A"/>
    <w:rsid w:val="00FE6754"/>
    <w:rsid w:val="00FF5D62"/>
    <w:rsid w:val="00FF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881EF3EF-9969-4880-80E8-4ED61FED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B1B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3B1B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a5">
    <w:name w:val="page number"/>
    <w:basedOn w:val="a0"/>
    <w:rsid w:val="00B73B1B"/>
  </w:style>
  <w:style w:type="paragraph" w:customStyle="1" w:styleId="a6">
    <w:basedOn w:val="a"/>
    <w:rsid w:val="00B73B1B"/>
    <w:pPr>
      <w:suppressAutoHyphens w:val="0"/>
      <w:spacing w:after="0" w:line="240" w:lineRule="auto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styleId="a7">
    <w:name w:val="Plain Text"/>
    <w:basedOn w:val="a"/>
    <w:link w:val="a8"/>
    <w:unhideWhenUsed/>
    <w:rsid w:val="002C7D9B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uk-UA" w:eastAsia="uk-UA"/>
    </w:rPr>
  </w:style>
  <w:style w:type="character" w:customStyle="1" w:styleId="a8">
    <w:name w:val="Текст Знак"/>
    <w:link w:val="a7"/>
    <w:rsid w:val="002C7D9B"/>
    <w:rPr>
      <w:sz w:val="24"/>
    </w:rPr>
  </w:style>
  <w:style w:type="paragraph" w:styleId="a9">
    <w:name w:val="Balloon Text"/>
    <w:basedOn w:val="a"/>
    <w:link w:val="aa"/>
    <w:rsid w:val="002C7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2C7D9B"/>
    <w:rPr>
      <w:rFonts w:ascii="Tahoma" w:eastAsia="SimSun" w:hAnsi="Tahoma" w:cs="Tahoma"/>
      <w:kern w:val="1"/>
      <w:sz w:val="16"/>
      <w:szCs w:val="16"/>
      <w:lang w:val="ru-RU" w:eastAsia="ar-SA"/>
    </w:rPr>
  </w:style>
  <w:style w:type="paragraph" w:styleId="ab">
    <w:name w:val="footer"/>
    <w:basedOn w:val="a"/>
    <w:link w:val="ac"/>
    <w:rsid w:val="00AB4360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rsid w:val="00AB4360"/>
    <w:rPr>
      <w:rFonts w:ascii="Calibri" w:eastAsia="SimSun" w:hAnsi="Calibri" w:cs="Calibri"/>
      <w:kern w:val="1"/>
      <w:sz w:val="22"/>
      <w:szCs w:val="22"/>
      <w:lang w:val="ru-RU" w:eastAsia="ar-SA"/>
    </w:rPr>
  </w:style>
  <w:style w:type="character" w:customStyle="1" w:styleId="a4">
    <w:name w:val="Верхній колонтитул Знак"/>
    <w:link w:val="a3"/>
    <w:uiPriority w:val="99"/>
    <w:rsid w:val="00AB4360"/>
    <w:rPr>
      <w:kern w:val="1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546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1327</Words>
  <Characters>9458</Characters>
  <Application>Microsoft Office Word</Application>
  <DocSecurity>0</DocSecurity>
  <Lines>78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/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user</dc:creator>
  <cp:lastModifiedBy>Апар Олена Миколаївна</cp:lastModifiedBy>
  <cp:revision>3</cp:revision>
  <cp:lastPrinted>2021-03-11T10:02:00Z</cp:lastPrinted>
  <dcterms:created xsi:type="dcterms:W3CDTF">2021-03-11T10:14:00Z</dcterms:created>
  <dcterms:modified xsi:type="dcterms:W3CDTF">2021-03-11T10:14:00Z</dcterms:modified>
</cp:coreProperties>
</file>