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0A" w:rsidRPr="00D513B9" w:rsidRDefault="00632F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D513B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ПОЯСНЮВАЛЬНА ЗАПИСКА</w:t>
      </w:r>
    </w:p>
    <w:p w:rsidR="00060C0A" w:rsidRPr="00D513B9" w:rsidRDefault="00632F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D513B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до проекту Закону України  «Про внесення змін до Податкового кодексу</w:t>
      </w:r>
    </w:p>
    <w:p w:rsidR="00060C0A" w:rsidRPr="00D513B9" w:rsidRDefault="00632F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D513B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України щодо удосконалення оподаткування страхової діяльності </w:t>
      </w:r>
    </w:p>
    <w:p w:rsidR="00060C0A" w:rsidRPr="00D513B9" w:rsidRDefault="00632F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D513B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 Україні»</w:t>
      </w:r>
    </w:p>
    <w:p w:rsidR="00060C0A" w:rsidRPr="00D513B9" w:rsidRDefault="00060C0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060C0A" w:rsidRPr="00D513B9" w:rsidRDefault="00632F16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Мета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Приведення Податкового кодексу України (далі – Кодекс)  у відповідність із Законом України від 18.11.2021 № 1909-IX «Про страхування»</w:t>
      </w:r>
      <w:r w:rsidRPr="00D513B9"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далі – </w:t>
      </w:r>
      <w:r w:rsidRPr="00D513B9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Закон) </w:t>
      </w:r>
      <w:r w:rsidRPr="00D513B9">
        <w:rPr>
          <w:rFonts w:ascii="Times New Roman" w:hAnsi="Times New Roman"/>
          <w:sz w:val="28"/>
          <w:szCs w:val="28"/>
          <w:lang w:val="uk-UA"/>
        </w:rPr>
        <w:t xml:space="preserve">та створення сприятливих умов для належного забезпечення функціонування </w:t>
      </w:r>
      <w:r w:rsidRPr="00D513B9">
        <w:rPr>
          <w:rFonts w:ascii="Times New Roman" w:hAnsi="Times New Roman"/>
          <w:color w:val="000000"/>
          <w:sz w:val="28"/>
          <w:szCs w:val="28"/>
          <w:lang w:val="uk-UA"/>
        </w:rPr>
        <w:t>ринку страхування.</w:t>
      </w:r>
    </w:p>
    <w:p w:rsidR="00060C0A" w:rsidRPr="00D513B9" w:rsidRDefault="00060C0A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60C0A" w:rsidRPr="00D513B9" w:rsidRDefault="00632F16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Обґрунтування необхідності прийняття </w:t>
      </w:r>
      <w:proofErr w:type="spellStart"/>
      <w:r w:rsidRPr="00D513B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акта</w:t>
      </w:r>
      <w:proofErr w:type="spellEnd"/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Пунктом 1 розділу XV «Прикінцеві та перехідні положення» Закону  встановлено, що </w:t>
      </w:r>
      <w:r w:rsidR="00160A40"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він</w:t>
      </w: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набирає чинності з дня, наступного за днем його опублікування, та вводиться в дію з 01.01.2024, крім деяких положень, які набирають чинності та вводяться в дію з дня, наступного за днем його опублікування.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Абзацом п’ятим пункту 24 розділу XV «Прикінцеві та перехідні положення» Закону встановлено, що Кабінет Міністрів України спільно з Національним банком України протягом шести місяців з дня набрання чинності цим Законом має забезпечити розробку та внесення на розгляд Верховної Ради України законопроектів з питань оподаткування у зв’язку з набранням чинності цим Законом.</w:t>
      </w:r>
    </w:p>
    <w:p w:rsidR="00060C0A" w:rsidRPr="00D513B9" w:rsidRDefault="00632F1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Тому з метою реалізації вищезазначених положень Закону розроблено проект Закону України </w:t>
      </w:r>
      <w:r w:rsidRPr="00D513B9">
        <w:rPr>
          <w:rFonts w:ascii="Times New Roman" w:hAnsi="Times New Roman"/>
          <w:bCs/>
          <w:color w:val="000000"/>
          <w:sz w:val="28"/>
          <w:szCs w:val="28"/>
          <w:lang w:val="uk-UA"/>
        </w:rPr>
        <w:t>«Про внесення змін до Податкового кодексу України щодо удосконалення оподаткування страхової діяльності в Україні».</w:t>
      </w:r>
    </w:p>
    <w:p w:rsidR="00060C0A" w:rsidRPr="00D513B9" w:rsidRDefault="00632F16">
      <w:pPr>
        <w:tabs>
          <w:tab w:val="left" w:pos="720"/>
          <w:tab w:val="left" w:pos="1669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Прийняття зазначеного законопроекту створить сприятливі умови для ринку страхування і стимулюватиме розвиток цього сектору економіки.</w:t>
      </w:r>
    </w:p>
    <w:p w:rsidR="00060C0A" w:rsidRPr="00D513B9" w:rsidRDefault="00060C0A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060C0A" w:rsidRPr="00D513B9" w:rsidRDefault="00632F16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Основні положення проекту </w:t>
      </w:r>
      <w:proofErr w:type="spellStart"/>
      <w:r w:rsidRPr="00D513B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акта</w:t>
      </w:r>
      <w:proofErr w:type="spellEnd"/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З метою приведення положень Кодексу у відповідність до Закону законопроектом пропонується уточнити термінологію, узгодити окремі положення Кодексу в частині податку на прибуток підприємств, податку на додану вартість, податку на доходи фізичних осіб та рентної плати  для уникнення суперечностей положень Кодексу, що стосуються договорів страхування, страхових виплат (</w:t>
      </w:r>
      <w:proofErr w:type="spellStart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відшкодувань</w:t>
      </w:r>
      <w:proofErr w:type="spellEnd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) та діяльності страховика для подальшого розвитку ринку страхування в Україні.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Так, зокрема, це стосується: 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color w:val="000000"/>
          <w:sz w:val="28"/>
          <w:szCs w:val="28"/>
          <w:lang w:val="uk-UA" w:eastAsia="ru-RU"/>
        </w:rPr>
        <w:t>1) уточнення визначення понять</w:t>
      </w: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, які вживаються у Кодексі, а саме: «договір довгострокового страхування життя», «договір медичного страхування», «недержавне пенсійне забезпечення», «пенсійний внесок», «пасивні доходи», та </w:t>
      </w:r>
      <w:r w:rsidRPr="00D513B9">
        <w:rPr>
          <w:rFonts w:ascii="Times New Roman" w:hAnsi="Times New Roman"/>
          <w:color w:val="000000"/>
          <w:sz w:val="28"/>
          <w:szCs w:val="28"/>
          <w:lang w:val="uk-UA" w:eastAsia="ru-RU"/>
        </w:rPr>
        <w:t>виключення понять:</w:t>
      </w:r>
      <w:r w:rsidRPr="00D513B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«договір страхування додаткової пенсії», «іпотечний </w:t>
      </w: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lastRenderedPageBreak/>
        <w:t>сертифікат (у тому числі іпотечний сертифікат участі та іпотечний сертифікат з фіксованою дохідністю)», «консолідований іпотечний борг</w:t>
      </w:r>
      <w:r w:rsidR="00CC26A3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»</w:t>
      </w: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;</w:t>
      </w:r>
    </w:p>
    <w:p w:rsidR="00060C0A" w:rsidRPr="00D513B9" w:rsidRDefault="00632F1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  <w:t>2) у частині податку на прибуток підприємств:</w:t>
      </w:r>
    </w:p>
    <w:p w:rsidR="00060C0A" w:rsidRPr="00D513B9" w:rsidRDefault="00632F1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запровадження податку на операції внутрішнього вхідного перестрахування для страховиків, що мають на меті нівелювання «некласичного» страхування та ухилення від сплати податків;</w:t>
      </w:r>
    </w:p>
    <w:p w:rsidR="00060C0A" w:rsidRPr="00D513B9" w:rsidRDefault="00632F1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коригування порядку оподаткування операцій з нерезидентами за договорами страхування для виїжджаючих за кордон з метою уникнення податкового арбітражу по відношенню до виплат нерезидентам за договорами страхування;</w:t>
      </w:r>
    </w:p>
    <w:p w:rsidR="00060C0A" w:rsidRPr="00D513B9" w:rsidRDefault="00632F1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  <w:t>3) у частині податку на доходи фізичних осіб:</w:t>
      </w:r>
    </w:p>
    <w:p w:rsidR="0056561C" w:rsidRPr="00D513B9" w:rsidRDefault="0056561C" w:rsidP="0049797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встановити порядок визначення викупної суми за договором страхування у разі визначення грошових зобов’язань </w:t>
      </w:r>
      <w:r w:rsidR="001B31E8"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 іноземній валюті</w:t>
      </w: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;</w:t>
      </w:r>
    </w:p>
    <w:p w:rsidR="0056561C" w:rsidRPr="00297FF9" w:rsidRDefault="0056561C" w:rsidP="00DA0E9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встановити, </w:t>
      </w:r>
      <w:r w:rsidRPr="000427BB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що </w:t>
      </w:r>
      <w:r w:rsidR="00DA0E93" w:rsidRPr="000427BB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сум</w:t>
      </w:r>
      <w:r w:rsidR="00AC14BE" w:rsidRPr="000427BB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и</w:t>
      </w:r>
      <w:r w:rsidR="00DA0E93" w:rsidRPr="000427BB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427BB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страхової виплати, яка належить </w:t>
      </w:r>
      <w:proofErr w:type="spellStart"/>
      <w:r w:rsidRPr="000427BB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вигодонабувачам</w:t>
      </w:r>
      <w:proofErr w:type="spellEnd"/>
      <w:r w:rsidRPr="000427BB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або спадкоємцям, оподатковується за правилами та ставками, встановленими для оподаткування спадщини, при цьому </w:t>
      </w:r>
      <w:proofErr w:type="spellStart"/>
      <w:r w:rsidRPr="000427BB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вигодонабувач</w:t>
      </w:r>
      <w:proofErr w:type="spellEnd"/>
      <w:r w:rsidRPr="000427BB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прирівнюється до </w:t>
      </w:r>
      <w:r w:rsidRPr="00297FF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спадкоємця;</w:t>
      </w:r>
    </w:p>
    <w:p w:rsidR="00060C0A" w:rsidRPr="00297FF9" w:rsidRDefault="00632F1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297FF9"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  <w:t>4) у частині податку на додану вартість:</w:t>
      </w:r>
    </w:p>
    <w:p w:rsidR="00073D22" w:rsidRPr="00073D22" w:rsidRDefault="00073D22" w:rsidP="00073D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3D22">
        <w:rPr>
          <w:rFonts w:ascii="Times New Roman" w:hAnsi="Times New Roman"/>
          <w:color w:val="000000"/>
          <w:sz w:val="28"/>
          <w:szCs w:val="28"/>
          <w:lang w:val="uk-UA"/>
        </w:rPr>
        <w:t>змінено напрямок витрат на страхування, що не включаються до бази оподаткування (а саме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073D22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бази оподаткування не включатимуться витрати на страхування відповідальності перевізника виключно за шкоду, заподіяну життю та здоров’ю пасажирів, яка перераховується страховику);</w:t>
      </w:r>
    </w:p>
    <w:p w:rsidR="00073D22" w:rsidRPr="00073D22" w:rsidRDefault="00073D22" w:rsidP="00073D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3D22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виключено з переліку операцій, що не є об’єктом оподаткування, операції: з іпотечними сертифікатами; з грошовими виплатами основної суми консолідованого іпотечного боргу та процентів, нарахованих на неї, об’єднання та/або купівлі (продажу) консолідованого іпотечного боргу, заміною однієї частки консолідованого іпотечного боргу на іншу, або поверненням (зворотним викупом) такого консолідованого іпотечного боргу відповідно до закону резидентом або на його користь; </w:t>
      </w:r>
    </w:p>
    <w:p w:rsidR="00686328" w:rsidRDefault="00073D22" w:rsidP="00073D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73D22">
        <w:rPr>
          <w:rFonts w:ascii="Times New Roman" w:hAnsi="Times New Roman"/>
          <w:color w:val="000000"/>
          <w:sz w:val="28"/>
          <w:szCs w:val="28"/>
          <w:lang w:val="uk-UA"/>
        </w:rPr>
        <w:t>змінено перелік операцій, що не є об’єктом оподаткування, а саме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073D22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виключено операції з надання послуг пов’язаних із страховою діяльністю страховими брокерами і страховими агентами та включено операції з надання інших посередницьких послуг, пов’язаних з реалізацією страхових та/або </w:t>
      </w:r>
      <w:proofErr w:type="spellStart"/>
      <w:r w:rsidRPr="00073D22">
        <w:rPr>
          <w:rFonts w:ascii="Times New Roman" w:hAnsi="Times New Roman"/>
          <w:color w:val="000000"/>
          <w:sz w:val="28"/>
          <w:szCs w:val="28"/>
          <w:lang w:val="uk-UA"/>
        </w:rPr>
        <w:t>перестрахових</w:t>
      </w:r>
      <w:proofErr w:type="spellEnd"/>
      <w:r w:rsidRPr="00073D2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продуктів </w:t>
      </w:r>
      <w:r w:rsidR="009A4DBE" w:rsidRPr="009A4DBE">
        <w:rPr>
          <w:rFonts w:ascii="Times New Roman" w:hAnsi="Times New Roman"/>
          <w:color w:val="000000"/>
          <w:sz w:val="28"/>
          <w:szCs w:val="28"/>
          <w:lang w:val="uk-UA"/>
        </w:rPr>
        <w:t xml:space="preserve">страховими та/або </w:t>
      </w:r>
      <w:proofErr w:type="spellStart"/>
      <w:r w:rsidR="009A4DBE" w:rsidRPr="009A4DBE">
        <w:rPr>
          <w:rFonts w:ascii="Times New Roman" w:hAnsi="Times New Roman"/>
          <w:color w:val="000000"/>
          <w:sz w:val="28"/>
          <w:szCs w:val="28"/>
          <w:lang w:val="uk-UA"/>
        </w:rPr>
        <w:t>перестраховими</w:t>
      </w:r>
      <w:proofErr w:type="spellEnd"/>
      <w:r w:rsidR="009A4DBE" w:rsidRPr="009A4DBE">
        <w:rPr>
          <w:rFonts w:ascii="Times New Roman" w:hAnsi="Times New Roman"/>
          <w:color w:val="000000"/>
          <w:sz w:val="28"/>
          <w:szCs w:val="28"/>
          <w:lang w:val="uk-UA"/>
        </w:rPr>
        <w:t xml:space="preserve"> брокерами</w:t>
      </w:r>
      <w:r w:rsidRPr="00073D22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="00686328" w:rsidRPr="0068632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60C0A" w:rsidRPr="000427BB" w:rsidRDefault="00632F1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</w:pPr>
      <w:r w:rsidRPr="000427BB">
        <w:rPr>
          <w:rFonts w:ascii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5) у частині рентної плати: </w:t>
      </w:r>
    </w:p>
    <w:p w:rsidR="00B40A58" w:rsidRDefault="00632F1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40A5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приведення норми статті 252 </w:t>
      </w:r>
      <w:r w:rsidR="00A31073" w:rsidRPr="00B40A58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розділу IX </w:t>
      </w:r>
      <w:r w:rsidRPr="00B40A58">
        <w:rPr>
          <w:rFonts w:ascii="Times New Roman" w:hAnsi="Times New Roman"/>
          <w:color w:val="000000"/>
          <w:sz w:val="28"/>
          <w:szCs w:val="28"/>
          <w:lang w:val="uk-UA"/>
        </w:rPr>
        <w:t>Кодексу у відповідність до Закону в частині визначення витрат платників рентної</w:t>
      </w:r>
      <w:r w:rsidRPr="00D513B9">
        <w:rPr>
          <w:rFonts w:ascii="Times New Roman" w:hAnsi="Times New Roman"/>
          <w:color w:val="000000"/>
          <w:sz w:val="28"/>
          <w:szCs w:val="28"/>
          <w:lang w:val="uk-UA"/>
        </w:rPr>
        <w:t xml:space="preserve"> плати за користування надрами для видобування корисних копалин на страхування вантажів, які враховуються під час обчислення бази оподаткування такою рентною платою</w:t>
      </w:r>
      <w:r w:rsidR="00B40A5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60C0A" w:rsidRPr="00D513B9" w:rsidRDefault="00060C0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060C0A" w:rsidRPr="00D513B9" w:rsidRDefault="00632F16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Правові аспекти</w:t>
      </w:r>
    </w:p>
    <w:p w:rsidR="00FD38DC" w:rsidRPr="00D513B9" w:rsidRDefault="00FD38DC" w:rsidP="0066790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Регулювання правовідносин у зазначеній сфері здійснюється:</w:t>
      </w:r>
    </w:p>
    <w:p w:rsidR="00FD38DC" w:rsidRPr="00D513B9" w:rsidRDefault="00FD38DC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Конституцією України;</w:t>
      </w:r>
    </w:p>
    <w:p w:rsidR="00FD38DC" w:rsidRPr="00D513B9" w:rsidRDefault="00160A40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lastRenderedPageBreak/>
        <w:t>Податковим кодексом України</w:t>
      </w:r>
      <w:r w:rsidR="00FD38DC"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; </w:t>
      </w:r>
    </w:p>
    <w:p w:rsidR="00FD38DC" w:rsidRPr="00D513B9" w:rsidRDefault="00FD38DC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Законом</w:t>
      </w:r>
      <w:r w:rsidR="00160A40"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України «Про страхування»</w:t>
      </w:r>
      <w:r w:rsidR="00905159"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.</w:t>
      </w:r>
    </w:p>
    <w:p w:rsidR="00060C0A" w:rsidRPr="00D513B9" w:rsidRDefault="00060C0A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5. Фінансово-економічне обґрунтування 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Реалізація положень проекту </w:t>
      </w:r>
      <w:proofErr w:type="spellStart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акта</w:t>
      </w:r>
      <w:proofErr w:type="spellEnd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не потребуватиме додаткових видатків Державного бюджету України</w:t>
      </w:r>
    </w:p>
    <w:p w:rsidR="00060C0A" w:rsidRPr="00D513B9" w:rsidRDefault="00060C0A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</w:pPr>
    </w:p>
    <w:p w:rsidR="00060C0A" w:rsidRPr="00D513B9" w:rsidRDefault="00632F16">
      <w:pPr>
        <w:pStyle w:val="a4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Позиція заінтересованих сторін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Реалізація положень проекту </w:t>
      </w:r>
      <w:proofErr w:type="spellStart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акта</w:t>
      </w:r>
      <w:proofErr w:type="spellEnd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не матиме впливу на ключові інтереси заінтересованих сторін внаслідок його прийняття. 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Проект </w:t>
      </w:r>
      <w:proofErr w:type="spellStart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акта</w:t>
      </w:r>
      <w:proofErr w:type="spellEnd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Проект </w:t>
      </w:r>
      <w:proofErr w:type="spellStart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акта</w:t>
      </w:r>
      <w:proofErr w:type="spellEnd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не потребує розгляду Науковим комітетом Національної ради України з питань розвитку науки і технологій. 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D513B9">
        <w:rPr>
          <w:rFonts w:ascii="Times New Roman" w:hAnsi="Times New Roman"/>
          <w:color w:val="000000"/>
          <w:sz w:val="28"/>
          <w:lang w:val="uk-UA" w:eastAsia="ru-RU"/>
        </w:rPr>
        <w:t xml:space="preserve">Проект </w:t>
      </w:r>
      <w:proofErr w:type="spellStart"/>
      <w:r w:rsidRPr="00D513B9">
        <w:rPr>
          <w:rFonts w:ascii="Times New Roman" w:hAnsi="Times New Roman"/>
          <w:color w:val="000000"/>
          <w:sz w:val="28"/>
          <w:lang w:val="uk-UA" w:eastAsia="ru-RU"/>
        </w:rPr>
        <w:t>акта</w:t>
      </w:r>
      <w:proofErr w:type="spellEnd"/>
      <w:r w:rsidRPr="00D513B9">
        <w:rPr>
          <w:rFonts w:ascii="Times New Roman" w:hAnsi="Times New Roman"/>
          <w:color w:val="000000"/>
          <w:sz w:val="28"/>
          <w:lang w:val="uk-UA" w:eastAsia="ru-RU"/>
        </w:rPr>
        <w:t xml:space="preserve"> потребує погодження з Мін</w:t>
      </w:r>
      <w:r w:rsidR="00FD38DC" w:rsidRPr="00D513B9">
        <w:rPr>
          <w:rFonts w:ascii="Times New Roman" w:hAnsi="Times New Roman"/>
          <w:color w:val="000000"/>
          <w:sz w:val="28"/>
          <w:lang w:val="uk-UA" w:eastAsia="ru-RU"/>
        </w:rPr>
        <w:t xml:space="preserve">істерством </w:t>
      </w:r>
      <w:r w:rsidRPr="00D513B9">
        <w:rPr>
          <w:rFonts w:ascii="Times New Roman" w:hAnsi="Times New Roman"/>
          <w:color w:val="000000"/>
          <w:sz w:val="28"/>
          <w:lang w:val="uk-UA" w:eastAsia="ru-RU"/>
        </w:rPr>
        <w:t>економіки</w:t>
      </w:r>
      <w:r w:rsidR="00FD38DC" w:rsidRPr="00D513B9">
        <w:rPr>
          <w:rFonts w:ascii="Times New Roman" w:hAnsi="Times New Roman"/>
          <w:color w:val="000000"/>
          <w:sz w:val="28"/>
          <w:lang w:val="uk-UA" w:eastAsia="ru-RU"/>
        </w:rPr>
        <w:t xml:space="preserve"> України</w:t>
      </w:r>
      <w:r w:rsidRPr="00D513B9">
        <w:rPr>
          <w:rFonts w:ascii="Times New Roman" w:hAnsi="Times New Roman"/>
          <w:color w:val="000000"/>
          <w:sz w:val="28"/>
          <w:lang w:val="uk-UA" w:eastAsia="ru-RU"/>
        </w:rPr>
        <w:t>, Нац</w:t>
      </w:r>
      <w:r w:rsidR="00FD38DC" w:rsidRPr="00D513B9">
        <w:rPr>
          <w:rFonts w:ascii="Times New Roman" w:hAnsi="Times New Roman"/>
          <w:color w:val="000000"/>
          <w:sz w:val="28"/>
          <w:lang w:val="uk-UA" w:eastAsia="ru-RU"/>
        </w:rPr>
        <w:t xml:space="preserve">іональним </w:t>
      </w:r>
      <w:r w:rsidRPr="00D513B9">
        <w:rPr>
          <w:rFonts w:ascii="Times New Roman" w:hAnsi="Times New Roman"/>
          <w:color w:val="000000"/>
          <w:sz w:val="28"/>
          <w:lang w:val="uk-UA" w:eastAsia="ru-RU"/>
        </w:rPr>
        <w:t>банком</w:t>
      </w:r>
      <w:r w:rsidR="00FD38DC" w:rsidRPr="00D513B9">
        <w:rPr>
          <w:rFonts w:ascii="Times New Roman" w:hAnsi="Times New Roman"/>
          <w:color w:val="000000"/>
          <w:sz w:val="28"/>
          <w:lang w:val="uk-UA" w:eastAsia="ru-RU"/>
        </w:rPr>
        <w:t xml:space="preserve"> України</w:t>
      </w:r>
      <w:r w:rsidRPr="00D513B9">
        <w:rPr>
          <w:rFonts w:ascii="Times New Roman" w:hAnsi="Times New Roman"/>
          <w:color w:val="000000"/>
          <w:sz w:val="28"/>
          <w:lang w:val="uk-UA" w:eastAsia="ru-RU"/>
        </w:rPr>
        <w:t xml:space="preserve">, </w:t>
      </w:r>
      <w:r w:rsidR="00FD38DC" w:rsidRPr="00D513B9">
        <w:rPr>
          <w:rFonts w:ascii="Times New Roman" w:hAnsi="Times New Roman"/>
          <w:color w:val="000000"/>
          <w:sz w:val="28"/>
          <w:lang w:val="uk-UA" w:eastAsia="ru-RU"/>
        </w:rPr>
        <w:t>Міністерством цифрової трансформації України</w:t>
      </w:r>
      <w:r w:rsidRPr="00D513B9">
        <w:rPr>
          <w:rFonts w:ascii="Times New Roman" w:hAnsi="Times New Roman"/>
          <w:color w:val="000000"/>
          <w:sz w:val="28"/>
          <w:lang w:val="uk-UA" w:eastAsia="ru-RU"/>
        </w:rPr>
        <w:t>, Державною податковою службою України</w:t>
      </w:r>
      <w:r w:rsidR="00747BF7">
        <w:rPr>
          <w:rFonts w:ascii="Times New Roman" w:hAnsi="Times New Roman"/>
          <w:color w:val="000000"/>
          <w:sz w:val="28"/>
          <w:lang w:val="uk-UA" w:eastAsia="ru-RU"/>
        </w:rPr>
        <w:t>,</w:t>
      </w:r>
      <w:r w:rsidRPr="00D513B9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="00747BF7" w:rsidRPr="00747BF7">
        <w:rPr>
          <w:rFonts w:ascii="Times New Roman" w:hAnsi="Times New Roman"/>
          <w:color w:val="000000"/>
          <w:sz w:val="28"/>
          <w:lang w:eastAsia="ru-RU"/>
        </w:rPr>
        <w:t xml:space="preserve">Державною регуляторною службою </w:t>
      </w:r>
      <w:proofErr w:type="spellStart"/>
      <w:r w:rsidR="00747BF7" w:rsidRPr="00747BF7">
        <w:rPr>
          <w:rFonts w:ascii="Times New Roman" w:hAnsi="Times New Roman"/>
          <w:color w:val="000000"/>
          <w:sz w:val="28"/>
          <w:lang w:eastAsia="ru-RU"/>
        </w:rPr>
        <w:t>України</w:t>
      </w:r>
      <w:proofErr w:type="spellEnd"/>
      <w:r w:rsidR="00747BF7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bookmarkStart w:id="0" w:name="_GoBack"/>
      <w:bookmarkEnd w:id="0"/>
      <w:r w:rsidRPr="00D513B9">
        <w:rPr>
          <w:rFonts w:ascii="Times New Roman" w:hAnsi="Times New Roman"/>
          <w:color w:val="000000"/>
          <w:sz w:val="28"/>
          <w:lang w:val="uk-UA" w:eastAsia="ru-RU"/>
        </w:rPr>
        <w:t xml:space="preserve">та потребує проведення правової експертизи </w:t>
      </w:r>
      <w:r w:rsidR="00FD38DC" w:rsidRPr="00D513B9">
        <w:rPr>
          <w:rFonts w:ascii="Times New Roman" w:hAnsi="Times New Roman"/>
          <w:color w:val="000000"/>
          <w:sz w:val="28"/>
          <w:lang w:val="uk-UA" w:eastAsia="ru-RU"/>
        </w:rPr>
        <w:t>Міністерством юстиції України</w:t>
      </w:r>
      <w:r w:rsidRPr="00D513B9">
        <w:rPr>
          <w:rFonts w:ascii="Times New Roman" w:hAnsi="Times New Roman"/>
          <w:color w:val="000000"/>
          <w:sz w:val="28"/>
          <w:lang w:val="uk-UA" w:eastAsia="ru-RU"/>
        </w:rPr>
        <w:t>.</w:t>
      </w:r>
    </w:p>
    <w:p w:rsidR="00060C0A" w:rsidRPr="00D513B9" w:rsidRDefault="00060C0A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060C0A" w:rsidRPr="00D513B9" w:rsidRDefault="00632F16">
      <w:pPr>
        <w:pStyle w:val="a4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Оцінка відповідності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У законопроекті відсутні положення, що: 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стосуються прав та свобод, гарантованих Конвенцією про захист прав людини і основоположних свобод;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впливають на забезпечення рівних прав та можливостей жінок і чоловіків; 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містять ризики вчинення корупційних правопорушень та правопорушень, пов’язаних з корупцією; 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створюють підстави для дискримінації. </w:t>
      </w:r>
    </w:p>
    <w:p w:rsidR="00060C0A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Громадська антикорупційна, громадська </w:t>
      </w:r>
      <w:proofErr w:type="spellStart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антидискримінаційна</w:t>
      </w:r>
      <w:proofErr w:type="spellEnd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та громадська </w:t>
      </w:r>
      <w:proofErr w:type="spellStart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гендерно</w:t>
      </w:r>
      <w:proofErr w:type="spellEnd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-правова експертизи не проводилися. Проект </w:t>
      </w:r>
      <w:proofErr w:type="spellStart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акта</w:t>
      </w:r>
      <w:proofErr w:type="spellEnd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потребує визначення доцільності проведення НАЗК антикорупційної експертизи.</w:t>
      </w:r>
    </w:p>
    <w:p w:rsidR="00060C0A" w:rsidRPr="00D513B9" w:rsidRDefault="00060C0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060C0A" w:rsidRPr="00D513B9" w:rsidRDefault="00632F16">
      <w:pPr>
        <w:pStyle w:val="a4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Прогноз результатів</w:t>
      </w:r>
    </w:p>
    <w:p w:rsidR="00060C0A" w:rsidRPr="00D513B9" w:rsidRDefault="00632F16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Прийняття </w:t>
      </w:r>
      <w:proofErr w:type="spellStart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акта</w:t>
      </w:r>
      <w:proofErr w:type="spellEnd"/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</w:t>
      </w:r>
      <w:r w:rsidRPr="00D513B9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lastRenderedPageBreak/>
        <w:t>утвореними відходами, інші суспільні відносини та інтереси заінтересованих сторін.</w:t>
      </w:r>
    </w:p>
    <w:p w:rsidR="00060C0A" w:rsidRPr="00D513B9" w:rsidRDefault="00632F1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13B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Прийняття законопроекту передбачає узгодження норм Кодексу та норм Закону, а також </w:t>
      </w:r>
      <w:r w:rsidR="00B3729B" w:rsidRPr="00D513B9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надає </w:t>
      </w:r>
      <w:r w:rsidRPr="00D513B9">
        <w:rPr>
          <w:rFonts w:ascii="Times New Roman" w:hAnsi="Times New Roman"/>
          <w:color w:val="000000"/>
          <w:sz w:val="28"/>
          <w:szCs w:val="28"/>
          <w:lang w:val="uk-UA"/>
        </w:rPr>
        <w:t xml:space="preserve">можливість для подальшого розвитку страхування в Україні. </w:t>
      </w:r>
    </w:p>
    <w:p w:rsidR="00060C0A" w:rsidRPr="00D513B9" w:rsidRDefault="00060C0A">
      <w:pPr>
        <w:pStyle w:val="a4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60C0A" w:rsidRPr="00D513B9" w:rsidRDefault="00060C0A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60C0A" w:rsidRPr="00D513B9" w:rsidRDefault="00632F1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D513B9">
        <w:rPr>
          <w:rFonts w:ascii="Times New Roman" w:hAnsi="Times New Roman"/>
          <w:b/>
          <w:color w:val="000000"/>
          <w:sz w:val="28"/>
          <w:lang w:val="uk-UA" w:eastAsia="ru-RU"/>
        </w:rPr>
        <w:t>Міністр</w:t>
      </w:r>
      <w:r w:rsidR="0087146D" w:rsidRPr="00D513B9">
        <w:rPr>
          <w:rFonts w:ascii="Times New Roman" w:hAnsi="Times New Roman"/>
          <w:b/>
          <w:color w:val="000000"/>
          <w:sz w:val="28"/>
          <w:lang w:val="uk-UA" w:eastAsia="ru-RU"/>
        </w:rPr>
        <w:t xml:space="preserve"> </w:t>
      </w:r>
      <w:r w:rsidRPr="00D513B9">
        <w:rPr>
          <w:rFonts w:ascii="Times New Roman" w:hAnsi="Times New Roman"/>
          <w:b/>
          <w:color w:val="000000"/>
          <w:sz w:val="28"/>
          <w:lang w:val="uk-UA" w:eastAsia="ru-RU"/>
        </w:rPr>
        <w:t>фінансів України</w:t>
      </w:r>
      <w:r w:rsidRPr="00D513B9">
        <w:rPr>
          <w:rFonts w:ascii="Times New Roman" w:hAnsi="Times New Roman"/>
          <w:b/>
          <w:color w:val="000000"/>
          <w:sz w:val="28"/>
          <w:lang w:val="uk-UA" w:eastAsia="ru-RU"/>
        </w:rPr>
        <w:tab/>
      </w:r>
      <w:r w:rsidRPr="00D513B9">
        <w:rPr>
          <w:rFonts w:ascii="Times New Roman" w:hAnsi="Times New Roman"/>
          <w:b/>
          <w:color w:val="000000"/>
          <w:sz w:val="28"/>
          <w:lang w:val="uk-UA" w:eastAsia="ru-RU"/>
        </w:rPr>
        <w:tab/>
      </w:r>
      <w:r w:rsidRPr="00D513B9">
        <w:rPr>
          <w:rFonts w:ascii="Times New Roman" w:hAnsi="Times New Roman"/>
          <w:b/>
          <w:color w:val="000000"/>
          <w:sz w:val="28"/>
          <w:lang w:val="uk-UA" w:eastAsia="ru-RU"/>
        </w:rPr>
        <w:tab/>
      </w:r>
      <w:r w:rsidRPr="00D513B9">
        <w:rPr>
          <w:rFonts w:ascii="Times New Roman" w:hAnsi="Times New Roman"/>
          <w:b/>
          <w:color w:val="000000"/>
          <w:sz w:val="28"/>
          <w:lang w:val="uk-UA" w:eastAsia="ru-RU"/>
        </w:rPr>
        <w:tab/>
      </w:r>
      <w:r w:rsidRPr="00D513B9">
        <w:rPr>
          <w:rFonts w:ascii="Times New Roman" w:hAnsi="Times New Roman"/>
          <w:b/>
          <w:color w:val="000000"/>
          <w:sz w:val="28"/>
          <w:lang w:val="uk-UA" w:eastAsia="ru-RU"/>
        </w:rPr>
        <w:tab/>
        <w:t xml:space="preserve">         </w:t>
      </w:r>
      <w:r w:rsidR="0087146D" w:rsidRPr="00D513B9">
        <w:rPr>
          <w:rFonts w:ascii="Times New Roman" w:hAnsi="Times New Roman"/>
          <w:b/>
          <w:color w:val="000000"/>
          <w:sz w:val="28"/>
          <w:lang w:val="uk-UA" w:eastAsia="ru-RU"/>
        </w:rPr>
        <w:t>Сергій МАРЧЕНКО</w:t>
      </w:r>
    </w:p>
    <w:p w:rsidR="00060C0A" w:rsidRPr="00D513B9" w:rsidRDefault="00060C0A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sectPr w:rsidR="00060C0A" w:rsidRPr="00D513B9" w:rsidSect="00D513B9">
      <w:headerReference w:type="default" r:id="rId8"/>
      <w:pgSz w:w="11906" w:h="16838"/>
      <w:pgMar w:top="1134" w:right="567" w:bottom="1701" w:left="1701" w:header="709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0F" w:rsidRDefault="006E100F">
      <w:pPr>
        <w:spacing w:after="0" w:line="240" w:lineRule="auto"/>
      </w:pPr>
    </w:p>
  </w:endnote>
  <w:endnote w:type="continuationSeparator" w:id="0">
    <w:p w:rsidR="006E100F" w:rsidRDefault="006E10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0F" w:rsidRDefault="006E100F">
      <w:pPr>
        <w:spacing w:after="0" w:line="240" w:lineRule="auto"/>
      </w:pPr>
    </w:p>
  </w:footnote>
  <w:footnote w:type="continuationSeparator" w:id="0">
    <w:p w:rsidR="006E100F" w:rsidRDefault="006E10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C0A" w:rsidRDefault="00632F16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47BF7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060C0A" w:rsidRDefault="00060C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B3F"/>
    <w:multiLevelType w:val="hybridMultilevel"/>
    <w:tmpl w:val="6D54D1E4"/>
    <w:lvl w:ilvl="0" w:tplc="3150261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BBA"/>
    <w:multiLevelType w:val="hybridMultilevel"/>
    <w:tmpl w:val="9F700596"/>
    <w:lvl w:ilvl="0" w:tplc="0FEAEC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2180A"/>
    <w:multiLevelType w:val="hybridMultilevel"/>
    <w:tmpl w:val="E228D228"/>
    <w:lvl w:ilvl="0" w:tplc="808E499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5C6F"/>
    <w:multiLevelType w:val="hybridMultilevel"/>
    <w:tmpl w:val="865CFB38"/>
    <w:lvl w:ilvl="0" w:tplc="E7CAC1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05235"/>
    <w:multiLevelType w:val="hybridMultilevel"/>
    <w:tmpl w:val="52863E2C"/>
    <w:lvl w:ilvl="0" w:tplc="E63AF018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0A"/>
    <w:rsid w:val="000427BB"/>
    <w:rsid w:val="00060C0A"/>
    <w:rsid w:val="00073D22"/>
    <w:rsid w:val="000C29C5"/>
    <w:rsid w:val="000D2FD4"/>
    <w:rsid w:val="000D46BB"/>
    <w:rsid w:val="000E1528"/>
    <w:rsid w:val="000F4E99"/>
    <w:rsid w:val="00100A6C"/>
    <w:rsid w:val="00105271"/>
    <w:rsid w:val="0013566F"/>
    <w:rsid w:val="00145D8B"/>
    <w:rsid w:val="00160A40"/>
    <w:rsid w:val="001B31E8"/>
    <w:rsid w:val="001D51C1"/>
    <w:rsid w:val="00205DFF"/>
    <w:rsid w:val="00267603"/>
    <w:rsid w:val="00297FF9"/>
    <w:rsid w:val="002C5A62"/>
    <w:rsid w:val="002E23DE"/>
    <w:rsid w:val="002E4FAC"/>
    <w:rsid w:val="00306157"/>
    <w:rsid w:val="00306512"/>
    <w:rsid w:val="00313447"/>
    <w:rsid w:val="00327177"/>
    <w:rsid w:val="00332455"/>
    <w:rsid w:val="0033263B"/>
    <w:rsid w:val="00376375"/>
    <w:rsid w:val="00385CCE"/>
    <w:rsid w:val="00391A11"/>
    <w:rsid w:val="00426846"/>
    <w:rsid w:val="00497976"/>
    <w:rsid w:val="004A16BC"/>
    <w:rsid w:val="004D217A"/>
    <w:rsid w:val="00527136"/>
    <w:rsid w:val="00532ED3"/>
    <w:rsid w:val="005646D1"/>
    <w:rsid w:val="0056561C"/>
    <w:rsid w:val="00571F03"/>
    <w:rsid w:val="005811D6"/>
    <w:rsid w:val="005920E7"/>
    <w:rsid w:val="00632F16"/>
    <w:rsid w:val="00667909"/>
    <w:rsid w:val="00670D36"/>
    <w:rsid w:val="00686328"/>
    <w:rsid w:val="0069740D"/>
    <w:rsid w:val="006A77E2"/>
    <w:rsid w:val="006D0B00"/>
    <w:rsid w:val="006E100F"/>
    <w:rsid w:val="006E4C83"/>
    <w:rsid w:val="00733508"/>
    <w:rsid w:val="00745552"/>
    <w:rsid w:val="00747BF7"/>
    <w:rsid w:val="00766551"/>
    <w:rsid w:val="007873A5"/>
    <w:rsid w:val="007A29B1"/>
    <w:rsid w:val="007F5887"/>
    <w:rsid w:val="00863A87"/>
    <w:rsid w:val="0087146D"/>
    <w:rsid w:val="008A21BD"/>
    <w:rsid w:val="00905159"/>
    <w:rsid w:val="00926259"/>
    <w:rsid w:val="009A4DBE"/>
    <w:rsid w:val="009E1498"/>
    <w:rsid w:val="00A03C36"/>
    <w:rsid w:val="00A143D6"/>
    <w:rsid w:val="00A30186"/>
    <w:rsid w:val="00A31073"/>
    <w:rsid w:val="00A42B05"/>
    <w:rsid w:val="00A47936"/>
    <w:rsid w:val="00AC14BE"/>
    <w:rsid w:val="00AC5C2E"/>
    <w:rsid w:val="00B009AD"/>
    <w:rsid w:val="00B3729B"/>
    <w:rsid w:val="00B40A58"/>
    <w:rsid w:val="00B43129"/>
    <w:rsid w:val="00B5723C"/>
    <w:rsid w:val="00B63C2A"/>
    <w:rsid w:val="00B86791"/>
    <w:rsid w:val="00BA5C22"/>
    <w:rsid w:val="00C2223F"/>
    <w:rsid w:val="00C5483F"/>
    <w:rsid w:val="00C566CD"/>
    <w:rsid w:val="00CB2B67"/>
    <w:rsid w:val="00CB7799"/>
    <w:rsid w:val="00CC26A3"/>
    <w:rsid w:val="00CD58AE"/>
    <w:rsid w:val="00CE6A85"/>
    <w:rsid w:val="00CF5862"/>
    <w:rsid w:val="00D120BE"/>
    <w:rsid w:val="00D40AE8"/>
    <w:rsid w:val="00D50986"/>
    <w:rsid w:val="00D513B9"/>
    <w:rsid w:val="00D6163A"/>
    <w:rsid w:val="00DA0E93"/>
    <w:rsid w:val="00DA1012"/>
    <w:rsid w:val="00DA12EA"/>
    <w:rsid w:val="00DC0B11"/>
    <w:rsid w:val="00DF122F"/>
    <w:rsid w:val="00E21A62"/>
    <w:rsid w:val="00E30210"/>
    <w:rsid w:val="00E418DB"/>
    <w:rsid w:val="00E76355"/>
    <w:rsid w:val="00EF6358"/>
    <w:rsid w:val="00F05B7E"/>
    <w:rsid w:val="00FA5320"/>
    <w:rsid w:val="00FD38D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190"/>
  <w15:docId w15:val="{00C1647F-A059-41A2-9A36-5EAACFBD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 w:eastAsia="ru-RU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annotation text"/>
    <w:basedOn w:val="a"/>
    <w:link w:val="aa"/>
    <w:semiHidden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Pr>
      <w:b/>
      <w:bCs/>
    </w:rPr>
  </w:style>
  <w:style w:type="paragraph" w:styleId="ad">
    <w:name w:val="No Spacing"/>
    <w:qFormat/>
    <w:pPr>
      <w:spacing w:after="0" w:line="240" w:lineRule="auto"/>
    </w:pPr>
    <w:rPr>
      <w:lang w:val="en-US"/>
    </w:rPr>
  </w:style>
  <w:style w:type="paragraph" w:styleId="ae">
    <w:name w:val="footnote text"/>
    <w:link w:val="af"/>
    <w:semiHidden/>
    <w:pPr>
      <w:spacing w:after="0" w:line="240" w:lineRule="auto"/>
    </w:pPr>
    <w:rPr>
      <w:sz w:val="20"/>
      <w:szCs w:val="20"/>
    </w:rPr>
  </w:style>
  <w:style w:type="paragraph" w:styleId="af0">
    <w:name w:val="endnote text"/>
    <w:link w:val="af1"/>
    <w:semiHidden/>
    <w:pPr>
      <w:spacing w:after="0" w:line="240" w:lineRule="auto"/>
    </w:pPr>
    <w:rPr>
      <w:sz w:val="20"/>
      <w:szCs w:val="20"/>
    </w:rPr>
  </w:style>
  <w:style w:type="character" w:styleId="af2">
    <w:name w:val="line number"/>
    <w:basedOn w:val="a0"/>
    <w:semiHidden/>
  </w:style>
  <w:style w:type="character" w:styleId="af3">
    <w:name w:val="Hyperlink"/>
    <w:basedOn w:val="a0"/>
    <w:semiHidden/>
    <w:rPr>
      <w:color w:val="0563C1" w:themeColor="hyperlink"/>
      <w:u w:val="single"/>
    </w:rPr>
  </w:style>
  <w:style w:type="character" w:customStyle="1" w:styleId="a6">
    <w:name w:val="Верхній колонтитул Знак"/>
    <w:basedOn w:val="a0"/>
    <w:link w:val="a5"/>
  </w:style>
  <w:style w:type="character" w:customStyle="1" w:styleId="a8">
    <w:name w:val="Нижній колонтитул Знак"/>
    <w:basedOn w:val="a0"/>
    <w:link w:val="a7"/>
  </w:style>
  <w:style w:type="character" w:styleId="af4">
    <w:name w:val="annotation reference"/>
    <w:basedOn w:val="a0"/>
    <w:semiHidden/>
    <w:rPr>
      <w:sz w:val="16"/>
      <w:szCs w:val="16"/>
    </w:rPr>
  </w:style>
  <w:style w:type="character" w:customStyle="1" w:styleId="aa">
    <w:name w:val="Текст примітки Знак"/>
    <w:basedOn w:val="a0"/>
    <w:link w:val="a9"/>
    <w:semiHidden/>
    <w:rPr>
      <w:sz w:val="20"/>
      <w:szCs w:val="20"/>
    </w:rPr>
  </w:style>
  <w:style w:type="character" w:customStyle="1" w:styleId="ac">
    <w:name w:val="Тема примітки Знак"/>
    <w:basedOn w:val="aa"/>
    <w:link w:val="ab"/>
    <w:semiHidden/>
    <w:rPr>
      <w:b/>
      <w:bCs/>
      <w:sz w:val="20"/>
      <w:szCs w:val="20"/>
    </w:rPr>
  </w:style>
  <w:style w:type="character" w:customStyle="1" w:styleId="Bodytext2">
    <w:name w:val="Body text (2)"/>
    <w:basedOn w:val="a0"/>
    <w:rPr>
      <w:rFonts w:ascii="Times New Roman" w:hAnsi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rvts9">
    <w:name w:val="rvts9"/>
    <w:basedOn w:val="a0"/>
  </w:style>
  <w:style w:type="character" w:styleId="af5">
    <w:name w:val="Emphasis"/>
    <w:basedOn w:val="a0"/>
    <w:qFormat/>
    <w:rPr>
      <w:i/>
      <w:iCs/>
    </w:rPr>
  </w:style>
  <w:style w:type="character" w:styleId="af6">
    <w:name w:val="footnote reference"/>
    <w:semiHidden/>
    <w:rPr>
      <w:vertAlign w:val="superscript"/>
    </w:rPr>
  </w:style>
  <w:style w:type="character" w:customStyle="1" w:styleId="af">
    <w:name w:val="Текст виноски Знак"/>
    <w:link w:val="ae"/>
    <w:semiHidden/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character" w:customStyle="1" w:styleId="af1">
    <w:name w:val="Текст кінцевої виноски Знак"/>
    <w:link w:val="af0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33263B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DC0B11"/>
    <w:rPr>
      <w:color w:val="605E5C"/>
      <w:shd w:val="clear" w:color="auto" w:fill="E1DFDD"/>
    </w:rPr>
  </w:style>
  <w:style w:type="character" w:customStyle="1" w:styleId="rvts37">
    <w:name w:val="rvts37"/>
    <w:basedOn w:val="a0"/>
    <w:rsid w:val="00145D8B"/>
  </w:style>
  <w:style w:type="paragraph" w:styleId="af9">
    <w:name w:val="Balloon Text"/>
    <w:basedOn w:val="a"/>
    <w:link w:val="afa"/>
    <w:uiPriority w:val="99"/>
    <w:semiHidden/>
    <w:unhideWhenUsed/>
    <w:rsid w:val="0057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571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EBCE-8537-4F50-AE49-EF8EF3BF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4581</Words>
  <Characters>2612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Нестеренко Ірина Анатоліївна</cp:lastModifiedBy>
  <cp:revision>8</cp:revision>
  <dcterms:created xsi:type="dcterms:W3CDTF">2023-11-10T12:26:00Z</dcterms:created>
  <dcterms:modified xsi:type="dcterms:W3CDTF">2023-12-14T08:28:00Z</dcterms:modified>
</cp:coreProperties>
</file>